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20" w:before="120" w:line="360" w:lineRule="auto"/>
        <w:jc w:val="both"/>
        <w:rPr>
          <w:b w:val="1"/>
          <w:sz w:val="74"/>
          <w:szCs w:val="74"/>
        </w:rPr>
      </w:pPr>
      <w:r w:rsidDel="00000000" w:rsidR="00000000" w:rsidRPr="00000000">
        <w:rPr>
          <w:b w:val="1"/>
          <w:sz w:val="80"/>
          <w:szCs w:val="80"/>
          <w:rtl w:val="0"/>
        </w:rPr>
        <w:t xml:space="preserve">COCA-COLA DISTRIBUTION</w:t>
      </w:r>
      <w:r w:rsidDel="00000000" w:rsidR="00000000" w:rsidRPr="00000000">
        <w:rPr>
          <w:rtl w:val="0"/>
        </w:rPr>
      </w:r>
    </w:p>
    <w:p w:rsidR="00000000" w:rsidDel="00000000" w:rsidP="00000000" w:rsidRDefault="00000000" w:rsidRPr="00000000" w14:paraId="00000002">
      <w:pPr>
        <w:spacing w:line="360" w:lineRule="auto"/>
        <w:ind w:left="0" w:firstLine="0"/>
        <w:jc w:val="both"/>
        <w:rPr/>
      </w:pPr>
      <w:r w:rsidDel="00000000" w:rsidR="00000000" w:rsidRPr="00000000">
        <w:rPr>
          <w:b w:val="1"/>
          <w:sz w:val="30"/>
          <w:szCs w:val="30"/>
          <w:rtl w:val="0"/>
        </w:rPr>
        <w:t xml:space="preserve">SAÉ 1.06 : Découverte de l’environnement économique et numérique.</w:t>
      </w:r>
      <w:r w:rsidDel="00000000" w:rsidR="00000000" w:rsidRPr="00000000">
        <w:rPr>
          <w:rtl w:val="0"/>
        </w:rPr>
      </w:r>
    </w:p>
    <w:sdt>
      <w:sdtPr>
        <w:lock w:val="contentLocked"/>
        <w:tag w:val="goog_rdk_0"/>
      </w:sdtPr>
      <w:sdtContent>
        <w:tbl>
          <w:tblPr>
            <w:tblStyle w:val="Table1"/>
            <w:tblW w:w="9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4"/>
            <w:gridCol w:w="4544"/>
            <w:tblGridChange w:id="0">
              <w:tblGrid>
                <w:gridCol w:w="4544"/>
                <w:gridCol w:w="4544"/>
              </w:tblGrid>
            </w:tblGridChange>
          </w:tblGrid>
          <w:tr>
            <w:trPr>
              <w:cantSplit w:val="0"/>
              <w:tblHeader w:val="0"/>
            </w:trPr>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0"/>
                    <w:szCs w:val="30"/>
                  </w:rPr>
                </w:pPr>
                <w:r w:rsidDel="00000000" w:rsidR="00000000" w:rsidRPr="00000000">
                  <w:rPr>
                    <w:b w:val="1"/>
                    <w:sz w:val="30"/>
                    <w:szCs w:val="30"/>
                    <w:rtl w:val="0"/>
                  </w:rPr>
                  <w:t xml:space="preserve">Mention : </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30"/>
                    <w:szCs w:val="30"/>
                  </w:rPr>
                </w:pPr>
                <w:r w:rsidDel="00000000" w:rsidR="00000000" w:rsidRPr="00000000">
                  <w:rPr>
                    <w:b w:val="1"/>
                    <w:sz w:val="30"/>
                    <w:szCs w:val="30"/>
                    <w:rtl w:val="0"/>
                  </w:rPr>
                  <w:t xml:space="preserve">Rédigé par : </w:t>
                </w:r>
              </w:p>
            </w:tc>
          </w:tr>
          <w:tr>
            <w:trPr>
              <w:cantSplit w:val="0"/>
              <w:tblHeader w:val="0"/>
            </w:trPr>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IUT de Lannion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BUT Informatique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Année Universitaire 2024-2025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Semestre 1</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CHAUVEL Arthur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GUIGUE Simon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LE CHEVERE Yannis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LE SECH Marceau</w:t>
                </w:r>
              </w:p>
            </w:tc>
          </w:tr>
        </w:tbl>
      </w:sdtContent>
    </w:sdt>
    <w:p w:rsidR="00000000" w:rsidDel="00000000" w:rsidP="00000000" w:rsidRDefault="00000000" w:rsidRPr="00000000" w14:paraId="0000000D">
      <w:pPr>
        <w:pStyle w:val="Heading1"/>
        <w:spacing w:line="360" w:lineRule="auto"/>
        <w:ind w:left="0" w:firstLine="0"/>
        <w:jc w:val="both"/>
        <w:rPr/>
      </w:pPr>
      <w:bookmarkStart w:colFirst="0" w:colLast="0" w:name="_heading=h.2kg70kvibxo3" w:id="0"/>
      <w:bookmarkEnd w:id="0"/>
      <w:r w:rsidDel="00000000" w:rsidR="00000000" w:rsidRPr="00000000">
        <w:rPr>
          <w:rtl w:val="0"/>
        </w:rPr>
      </w:r>
    </w:p>
    <w:p w:rsidR="00000000" w:rsidDel="00000000" w:rsidP="00000000" w:rsidRDefault="00000000" w:rsidRPr="00000000" w14:paraId="0000000E">
      <w:pPr>
        <w:pStyle w:val="Heading1"/>
        <w:spacing w:line="360" w:lineRule="auto"/>
        <w:ind w:left="0" w:firstLine="0"/>
        <w:jc w:val="both"/>
        <w:rPr/>
      </w:pPr>
      <w:bookmarkStart w:colFirst="0" w:colLast="0" w:name="_heading=h.w7x0vpfb7ab3" w:id="1"/>
      <w:bookmarkEnd w:id="1"/>
      <w:r w:rsidDel="00000000" w:rsidR="00000000" w:rsidRPr="00000000">
        <w:rPr>
          <w:rtl w:val="0"/>
        </w:rPr>
        <w:t xml:space="preserve">Introduction :</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ind w:firstLine="720"/>
        <w:jc w:val="both"/>
        <w:rPr/>
      </w:pPr>
      <w:r w:rsidDel="00000000" w:rsidR="00000000" w:rsidRPr="00000000">
        <w:rPr>
          <w:rtl w:val="0"/>
        </w:rPr>
        <w:t xml:space="preserve">L'entreprise emblématique Coca-Cola, fondée en 1886 par John Pemberton, a influencé les tendances de consommation mondiale. Elle a su s'adapter aux fluctuations des économies nationales et aux réglementations environnementales croissantes. Son expansion internationale, soutenue par des stratégies de marketing novatrices, a suscité des débats sur les pratiques commerciales, la responsabilité sociale des entreprises et la gestion des ressources naturelles. En examinant ce cas sous l'angle de l'environnement économique, on comprend les défis complexes auxquels les grandes entreprises sont confrontées dans un contexte mondialisé, où la concurrence, la durabilité et la régulation sont essentielles pour assurer la viabilité des activités commerciales. Coca-Cola, en tant que leader incontesté sur le marché des boissons gazeuses, doit désormais concilier son succès commercial avec des contraintes environnementales actuelles, en adaptant ses pratiques pour réduire son impact écologique, promouvoir la durabilité des ressources et répondre aux attentes croissantes en matière de responsabilité sociale et environnementale.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ind w:left="0" w:firstLine="0"/>
        <w:jc w:val="both"/>
        <w:rPr/>
      </w:pPr>
      <w:bookmarkStart w:colFirst="0" w:colLast="0" w:name="_heading=h.fgm5lug8f5xv" w:id="2"/>
      <w:bookmarkEnd w:id="2"/>
      <w:r w:rsidDel="00000000" w:rsidR="00000000" w:rsidRPr="00000000">
        <w:rPr>
          <w:rtl w:val="0"/>
        </w:rPr>
        <w:t xml:space="preserve">Sommaire :</w:t>
      </w:r>
    </w:p>
    <w:p w:rsidR="00000000" w:rsidDel="00000000" w:rsidP="00000000" w:rsidRDefault="00000000" w:rsidRPr="00000000" w14:paraId="00000012">
      <w:pPr>
        <w:pStyle w:val="Heading2"/>
        <w:spacing w:line="360" w:lineRule="auto"/>
        <w:jc w:val="both"/>
        <w:rPr/>
      </w:pPr>
      <w:bookmarkStart w:colFirst="0" w:colLast="0" w:name="_heading=h.71acf9333emr" w:id="3"/>
      <w:bookmarkEnd w:id="3"/>
      <w:hyperlink w:anchor="_heading=h.9q5jedaryl0u">
        <w:r w:rsidDel="00000000" w:rsidR="00000000" w:rsidRPr="00000000">
          <w:rPr>
            <w:rtl w:val="0"/>
          </w:rPr>
          <w:t xml:space="preserve">I - Caractéristiques de l’organisation</w:t>
        </w:r>
      </w:hyperlink>
      <w:r w:rsidDel="00000000" w:rsidR="00000000" w:rsidRPr="00000000">
        <w:rPr>
          <w:rtl w:val="0"/>
        </w:rPr>
      </w:r>
    </w:p>
    <w:p w:rsidR="00000000" w:rsidDel="00000000" w:rsidP="00000000" w:rsidRDefault="00000000" w:rsidRPr="00000000" w14:paraId="00000013">
      <w:pPr>
        <w:pStyle w:val="Heading2"/>
        <w:spacing w:line="360" w:lineRule="auto"/>
        <w:jc w:val="both"/>
        <w:rPr/>
      </w:pPr>
      <w:bookmarkStart w:colFirst="0" w:colLast="0" w:name="_heading=h.iuck1pnxpw25" w:id="4"/>
      <w:bookmarkEnd w:id="4"/>
      <w:hyperlink w:anchor="_heading=h.spbtgs5e48e1">
        <w:r w:rsidDel="00000000" w:rsidR="00000000" w:rsidRPr="00000000">
          <w:rPr>
            <w:rtl w:val="0"/>
          </w:rPr>
          <w:t xml:space="preserve">II - Diagnostic externe de Coca-Cola</w:t>
        </w:r>
      </w:hyperlink>
      <w:r w:rsidDel="00000000" w:rsidR="00000000" w:rsidRPr="00000000">
        <w:rPr>
          <w:rtl w:val="0"/>
        </w:rPr>
      </w:r>
    </w:p>
    <w:p w:rsidR="00000000" w:rsidDel="00000000" w:rsidP="00000000" w:rsidRDefault="00000000" w:rsidRPr="00000000" w14:paraId="00000014">
      <w:pPr>
        <w:pStyle w:val="Heading2"/>
        <w:spacing w:line="360" w:lineRule="auto"/>
        <w:jc w:val="both"/>
        <w:rPr/>
      </w:pPr>
      <w:bookmarkStart w:colFirst="0" w:colLast="0" w:name="_heading=h.ntokvm155gf1" w:id="5"/>
      <w:bookmarkEnd w:id="5"/>
      <w:hyperlink w:anchor="_heading=h.ste4igf2mi3g">
        <w:r w:rsidDel="00000000" w:rsidR="00000000" w:rsidRPr="00000000">
          <w:rPr>
            <w:rtl w:val="0"/>
          </w:rPr>
          <w:t xml:space="preserve">III - RSE de l’entreprise</w:t>
        </w:r>
      </w:hyperlink>
      <w:r w:rsidDel="00000000" w:rsidR="00000000" w:rsidRPr="00000000">
        <w:rPr>
          <w:rtl w:val="0"/>
        </w:rPr>
      </w:r>
    </w:p>
    <w:p w:rsidR="00000000" w:rsidDel="00000000" w:rsidP="00000000" w:rsidRDefault="00000000" w:rsidRPr="00000000" w14:paraId="00000015">
      <w:pPr>
        <w:pStyle w:val="Heading1"/>
        <w:spacing w:line="360" w:lineRule="auto"/>
        <w:ind w:left="0" w:firstLine="0"/>
        <w:jc w:val="both"/>
        <w:rPr/>
      </w:pPr>
      <w:bookmarkStart w:colFirst="0" w:colLast="0" w:name="_heading=h.ny8airqsetff" w:id="6"/>
      <w:bookmarkEnd w:id="6"/>
      <w:r w:rsidDel="00000000" w:rsidR="00000000" w:rsidRPr="00000000">
        <w:rPr>
          <w:rtl w:val="0"/>
        </w:rPr>
      </w:r>
    </w:p>
    <w:p w:rsidR="00000000" w:rsidDel="00000000" w:rsidP="00000000" w:rsidRDefault="00000000" w:rsidRPr="00000000" w14:paraId="00000016">
      <w:pPr>
        <w:pStyle w:val="Heading1"/>
        <w:spacing w:line="360" w:lineRule="auto"/>
        <w:ind w:left="0" w:firstLine="0"/>
        <w:jc w:val="both"/>
        <w:rPr/>
      </w:pPr>
      <w:bookmarkStart w:colFirst="0" w:colLast="0" w:name="_heading=h.ipfsuni501sy" w:id="7"/>
      <w:bookmarkEnd w:id="7"/>
      <w:r w:rsidDel="00000000" w:rsidR="00000000" w:rsidRPr="00000000">
        <w:rPr>
          <w:rtl w:val="0"/>
        </w:rPr>
      </w:r>
    </w:p>
    <w:p w:rsidR="00000000" w:rsidDel="00000000" w:rsidP="00000000" w:rsidRDefault="00000000" w:rsidRPr="00000000" w14:paraId="00000017">
      <w:pPr>
        <w:pStyle w:val="Heading1"/>
        <w:spacing w:line="360" w:lineRule="auto"/>
        <w:ind w:left="0" w:firstLine="0"/>
        <w:jc w:val="both"/>
        <w:rPr/>
      </w:pPr>
      <w:bookmarkStart w:colFirst="0" w:colLast="0" w:name="_heading=h.u1ya3kkx51ce" w:id="8"/>
      <w:bookmarkEnd w:id="8"/>
      <w:r w:rsidDel="00000000" w:rsidR="00000000" w:rsidRPr="00000000">
        <w:rPr>
          <w:rtl w:val="0"/>
        </w:rPr>
      </w:r>
    </w:p>
    <w:p w:rsidR="00000000" w:rsidDel="00000000" w:rsidP="00000000" w:rsidRDefault="00000000" w:rsidRPr="00000000" w14:paraId="00000018">
      <w:pPr>
        <w:pStyle w:val="Heading1"/>
        <w:spacing w:line="360" w:lineRule="auto"/>
        <w:ind w:left="0" w:firstLine="0"/>
        <w:jc w:val="both"/>
        <w:rPr/>
      </w:pPr>
      <w:bookmarkStart w:colFirst="0" w:colLast="0" w:name="_heading=h.5dwc4na8gs92" w:id="9"/>
      <w:bookmarkEnd w:id="9"/>
      <w:r w:rsidDel="00000000" w:rsidR="00000000" w:rsidRPr="00000000">
        <w:rPr>
          <w:rtl w:val="0"/>
        </w:rPr>
      </w:r>
    </w:p>
    <w:p w:rsidR="00000000" w:rsidDel="00000000" w:rsidP="00000000" w:rsidRDefault="00000000" w:rsidRPr="00000000" w14:paraId="00000019">
      <w:pPr>
        <w:pStyle w:val="Heading1"/>
        <w:spacing w:line="360" w:lineRule="auto"/>
        <w:ind w:left="0" w:firstLine="0"/>
        <w:jc w:val="both"/>
        <w:rPr/>
      </w:pPr>
      <w:bookmarkStart w:colFirst="0" w:colLast="0" w:name="_heading=h.ytitfp2esmxp" w:id="10"/>
      <w:bookmarkEnd w:id="10"/>
      <w:r w:rsidDel="00000000" w:rsidR="00000000" w:rsidRPr="00000000">
        <w:rPr>
          <w:rtl w:val="0"/>
        </w:rPr>
      </w:r>
    </w:p>
    <w:p w:rsidR="00000000" w:rsidDel="00000000" w:rsidP="00000000" w:rsidRDefault="00000000" w:rsidRPr="00000000" w14:paraId="0000001A">
      <w:pPr>
        <w:pStyle w:val="Heading1"/>
        <w:spacing w:line="360" w:lineRule="auto"/>
        <w:ind w:left="0" w:firstLine="0"/>
        <w:jc w:val="both"/>
        <w:rPr/>
      </w:pPr>
      <w:bookmarkStart w:colFirst="0" w:colLast="0" w:name="_heading=h.6l1wyb7ua7rq" w:id="11"/>
      <w:bookmarkEnd w:id="11"/>
      <w:r w:rsidDel="00000000" w:rsidR="00000000" w:rsidRPr="00000000">
        <w:rPr>
          <w:rtl w:val="0"/>
        </w:rPr>
      </w:r>
    </w:p>
    <w:p w:rsidR="00000000" w:rsidDel="00000000" w:rsidP="00000000" w:rsidRDefault="00000000" w:rsidRPr="00000000" w14:paraId="0000001B">
      <w:pPr>
        <w:pStyle w:val="Heading1"/>
        <w:spacing w:line="360" w:lineRule="auto"/>
        <w:ind w:left="0" w:firstLine="0"/>
        <w:jc w:val="both"/>
        <w:rPr/>
      </w:pPr>
      <w:bookmarkStart w:colFirst="0" w:colLast="0" w:name="_heading=h.u75gol3t1mv" w:id="12"/>
      <w:bookmarkEnd w:id="12"/>
      <w:r w:rsidDel="00000000" w:rsidR="00000000" w:rsidRPr="00000000">
        <w:rPr>
          <w:rtl w:val="0"/>
        </w:rPr>
      </w:r>
    </w:p>
    <w:p w:rsidR="00000000" w:rsidDel="00000000" w:rsidP="00000000" w:rsidRDefault="00000000" w:rsidRPr="00000000" w14:paraId="0000001C">
      <w:pPr>
        <w:pStyle w:val="Heading1"/>
        <w:spacing w:line="360" w:lineRule="auto"/>
        <w:ind w:left="0" w:firstLine="0"/>
        <w:jc w:val="both"/>
        <w:rPr/>
      </w:pPr>
      <w:bookmarkStart w:colFirst="0" w:colLast="0" w:name="_heading=h.8n906e64z3j6" w:id="13"/>
      <w:bookmarkEnd w:id="13"/>
      <w:r w:rsidDel="00000000" w:rsidR="00000000" w:rsidRPr="00000000">
        <w:rPr>
          <w:rtl w:val="0"/>
        </w:rPr>
      </w:r>
    </w:p>
    <w:p w:rsidR="00000000" w:rsidDel="00000000" w:rsidP="00000000" w:rsidRDefault="00000000" w:rsidRPr="00000000" w14:paraId="0000001D">
      <w:pPr>
        <w:pStyle w:val="Heading1"/>
        <w:spacing w:line="360" w:lineRule="auto"/>
        <w:ind w:left="0" w:firstLine="0"/>
        <w:jc w:val="both"/>
        <w:rPr/>
      </w:pPr>
      <w:bookmarkStart w:colFirst="0" w:colLast="0" w:name="_heading=h.pt06ya3fcr0z" w:id="14"/>
      <w:bookmarkEnd w:id="14"/>
      <w:r w:rsidDel="00000000" w:rsidR="00000000" w:rsidRPr="00000000">
        <w:rPr>
          <w:rtl w:val="0"/>
        </w:rPr>
      </w:r>
    </w:p>
    <w:p w:rsidR="00000000" w:rsidDel="00000000" w:rsidP="00000000" w:rsidRDefault="00000000" w:rsidRPr="00000000" w14:paraId="0000001E">
      <w:pPr>
        <w:pStyle w:val="Heading1"/>
        <w:spacing w:line="360" w:lineRule="auto"/>
        <w:ind w:left="0" w:firstLine="0"/>
        <w:jc w:val="both"/>
        <w:rPr/>
      </w:pPr>
      <w:bookmarkStart w:colFirst="0" w:colLast="0" w:name="_heading=h.9q5jedaryl0u" w:id="15"/>
      <w:bookmarkEnd w:id="15"/>
      <w:r w:rsidDel="00000000" w:rsidR="00000000" w:rsidRPr="00000000">
        <w:rPr>
          <w:rtl w:val="0"/>
        </w:rPr>
        <w:t xml:space="preserve">I - Caractéristiques de l’organisation : </w:t>
      </w:r>
    </w:p>
    <w:p w:rsidR="00000000" w:rsidDel="00000000" w:rsidP="00000000" w:rsidRDefault="00000000" w:rsidRPr="00000000" w14:paraId="0000001F">
      <w:pPr>
        <w:spacing w:line="360" w:lineRule="auto"/>
        <w:jc w:val="both"/>
        <w:rPr/>
      </w:pP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Dénomination sociale</w:t>
      </w:r>
      <w:r w:rsidDel="00000000" w:rsidR="00000000" w:rsidRPr="00000000">
        <w:rPr>
          <w:rtl w:val="0"/>
        </w:rPr>
        <w:t xml:space="preserve"> : The Coca-Cola Company</w:t>
      </w:r>
    </w:p>
    <w:p w:rsidR="00000000" w:rsidDel="00000000" w:rsidP="00000000" w:rsidRDefault="00000000" w:rsidRPr="00000000" w14:paraId="00000021">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Finalités</w:t>
      </w:r>
      <w:r w:rsidDel="00000000" w:rsidR="00000000" w:rsidRPr="00000000">
        <w:rPr>
          <w:rtl w:val="0"/>
        </w:rPr>
        <w:t xml:space="preserve"> : Lucratives</w:t>
      </w:r>
    </w:p>
    <w:p w:rsidR="00000000" w:rsidDel="00000000" w:rsidP="00000000" w:rsidRDefault="00000000" w:rsidRPr="00000000" w14:paraId="00000022">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Forme</w:t>
      </w:r>
      <w:r w:rsidDel="00000000" w:rsidR="00000000" w:rsidRPr="00000000">
        <w:rPr>
          <w:rtl w:val="0"/>
        </w:rPr>
        <w:t xml:space="preserve"> : Entreprise privée</w:t>
      </w:r>
    </w:p>
    <w:p w:rsidR="00000000" w:rsidDel="00000000" w:rsidP="00000000" w:rsidRDefault="00000000" w:rsidRPr="00000000" w14:paraId="00000023">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Type</w:t>
      </w:r>
      <w:r w:rsidDel="00000000" w:rsidR="00000000" w:rsidRPr="00000000">
        <w:rPr>
          <w:rtl w:val="0"/>
        </w:rPr>
        <w:t xml:space="preserve"> : Entreprise de biens de consommation</w:t>
      </w:r>
    </w:p>
    <w:p w:rsidR="00000000" w:rsidDel="00000000" w:rsidP="00000000" w:rsidRDefault="00000000" w:rsidRPr="00000000" w14:paraId="00000024">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Statut juridique</w:t>
      </w:r>
      <w:r w:rsidDel="00000000" w:rsidR="00000000" w:rsidRPr="00000000">
        <w:rPr>
          <w:rtl w:val="0"/>
        </w:rPr>
        <w:t xml:space="preserve"> : Société Anonyme (SA)</w:t>
      </w:r>
    </w:p>
    <w:p w:rsidR="00000000" w:rsidDel="00000000" w:rsidP="00000000" w:rsidRDefault="00000000" w:rsidRPr="00000000" w14:paraId="00000025">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Objectifs</w:t>
      </w:r>
      <w:r w:rsidDel="00000000" w:rsidR="00000000" w:rsidRPr="00000000">
        <w:rPr>
          <w:rtl w:val="0"/>
        </w:rPr>
        <w:t xml:space="preserve"> : Offrir des boissons rafraîchissantes, étendre sa présence mondiale, maximiser la rentabilité, et s'engager dans le développement durable.</w:t>
      </w:r>
    </w:p>
    <w:p w:rsidR="00000000" w:rsidDel="00000000" w:rsidP="00000000" w:rsidRDefault="00000000" w:rsidRPr="00000000" w14:paraId="00000026">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Nationalité</w:t>
      </w:r>
      <w:r w:rsidDel="00000000" w:rsidR="00000000" w:rsidRPr="00000000">
        <w:rPr>
          <w:rtl w:val="0"/>
        </w:rPr>
        <w:t xml:space="preserve"> : Américaine</w:t>
      </w:r>
    </w:p>
    <w:p w:rsidR="00000000" w:rsidDel="00000000" w:rsidP="00000000" w:rsidRDefault="00000000" w:rsidRPr="00000000" w14:paraId="00000027">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Activité principale</w:t>
      </w:r>
      <w:r w:rsidDel="00000000" w:rsidR="00000000" w:rsidRPr="00000000">
        <w:rPr>
          <w:rtl w:val="0"/>
        </w:rPr>
        <w:t xml:space="preserve"> : Production et distribution de boissons non alcoolisées</w:t>
      </w:r>
    </w:p>
    <w:p w:rsidR="00000000" w:rsidDel="00000000" w:rsidP="00000000" w:rsidRDefault="00000000" w:rsidRPr="00000000" w14:paraId="00000028">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Secteur d’activité</w:t>
      </w:r>
      <w:r w:rsidDel="00000000" w:rsidR="00000000" w:rsidRPr="00000000">
        <w:rPr>
          <w:rtl w:val="0"/>
        </w:rPr>
        <w:t xml:space="preserve"> : Tertiaire (industrie des boissons)</w:t>
      </w:r>
    </w:p>
    <w:p w:rsidR="00000000" w:rsidDel="00000000" w:rsidP="00000000" w:rsidRDefault="00000000" w:rsidRPr="00000000" w14:paraId="00000029">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Taille</w:t>
      </w:r>
      <w:r w:rsidDel="00000000" w:rsidR="00000000" w:rsidRPr="00000000">
        <w:rPr>
          <w:rtl w:val="0"/>
        </w:rPr>
        <w:t xml:space="preserve"> : Présence dans plus de 200 pays avec une large gamme de produits</w:t>
      </w:r>
    </w:p>
    <w:p w:rsidR="00000000" w:rsidDel="00000000" w:rsidP="00000000" w:rsidRDefault="00000000" w:rsidRPr="00000000" w14:paraId="0000002A">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Domaine d’intervention</w:t>
      </w:r>
      <w:r w:rsidDel="00000000" w:rsidR="00000000" w:rsidRPr="00000000">
        <w:rPr>
          <w:rtl w:val="0"/>
        </w:rPr>
        <w:t xml:space="preserve"> : International (mondial)</w:t>
      </w:r>
    </w:p>
    <w:p w:rsidR="00000000" w:rsidDel="00000000" w:rsidP="00000000" w:rsidRDefault="00000000" w:rsidRPr="00000000" w14:paraId="0000002B">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Ressources</w:t>
      </w:r>
      <w:r w:rsidDel="00000000" w:rsidR="00000000" w:rsidRPr="00000000">
        <w:rPr>
          <w:rtl w:val="0"/>
        </w:rPr>
        <w:t xml:space="preserve"> : Partenaires embouteilleurs locaux, infrastructure logistique mondiale, innovation marketing, réseaux de distribution efficaces, capitaux privés</w:t>
      </w:r>
    </w:p>
    <w:p w:rsidR="00000000" w:rsidDel="00000000" w:rsidP="00000000" w:rsidRDefault="00000000" w:rsidRPr="00000000" w14:paraId="0000002C">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Performances</w:t>
      </w:r>
      <w:r w:rsidDel="00000000" w:rsidR="00000000" w:rsidRPr="00000000">
        <w:rPr>
          <w:rtl w:val="0"/>
        </w:rPr>
        <w:t xml:space="preserve"> : Marque mondialement reconnue, croissance continue grâce à l'innovation produit, fort engagement dans les stratégies de marketing et de durabilité</w:t>
      </w:r>
    </w:p>
    <w:p w:rsidR="00000000" w:rsidDel="00000000" w:rsidP="00000000" w:rsidRDefault="00000000" w:rsidRPr="00000000" w14:paraId="0000002D">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Mode de coordination</w:t>
      </w:r>
      <w:r w:rsidDel="00000000" w:rsidR="00000000" w:rsidRPr="00000000">
        <w:rPr>
          <w:rtl w:val="0"/>
        </w:rPr>
        <w:t xml:space="preserve"> : Organisation globalisée avec des franchises locales, coordination via des structures régionales et internationales</w:t>
      </w:r>
    </w:p>
    <w:p w:rsidR="00000000" w:rsidDel="00000000" w:rsidP="00000000" w:rsidRDefault="00000000" w:rsidRPr="00000000" w14:paraId="0000002E">
      <w:pPr>
        <w:numPr>
          <w:ilvl w:val="0"/>
          <w:numId w:val="2"/>
        </w:numPr>
        <w:spacing w:line="360" w:lineRule="auto"/>
        <w:ind w:left="720" w:hanging="360"/>
        <w:jc w:val="both"/>
        <w:rPr>
          <w:rFonts w:ascii="Arial" w:cs="Arial" w:eastAsia="Arial" w:hAnsi="Arial"/>
          <w:color w:val="202122"/>
          <w:highlight w:val="white"/>
        </w:rPr>
      </w:pPr>
      <w:r w:rsidDel="00000000" w:rsidR="00000000" w:rsidRPr="00000000">
        <w:rPr>
          <w:b w:val="1"/>
          <w:rtl w:val="0"/>
        </w:rPr>
        <w:t xml:space="preserve">Mode de direction</w:t>
      </w:r>
      <w:r w:rsidDel="00000000" w:rsidR="00000000" w:rsidRPr="00000000">
        <w:rPr>
          <w:rtl w:val="0"/>
        </w:rPr>
        <w:t xml:space="preserve"> : Dirigée par un conseil d'administration et une équipe exécutive, avec un fort accent sur l'innovation, l'efficacité opérationnelle et la croissance durable.</w:t>
      </w:r>
      <w:r w:rsidDel="00000000" w:rsidR="00000000" w:rsidRPr="00000000">
        <w:rPr>
          <w:rtl w:val="0"/>
        </w:rPr>
      </w:r>
    </w:p>
    <w:p w:rsidR="00000000" w:rsidDel="00000000" w:rsidP="00000000" w:rsidRDefault="00000000" w:rsidRPr="00000000" w14:paraId="0000002F">
      <w:pPr>
        <w:spacing w:line="360" w:lineRule="auto"/>
        <w:ind w:firstLine="720"/>
        <w:jc w:val="both"/>
        <w:rPr/>
      </w:pPr>
      <w:r w:rsidDel="00000000" w:rsidR="00000000" w:rsidRPr="00000000">
        <w:rPr>
          <w:rtl w:val="0"/>
        </w:rPr>
      </w:r>
    </w:p>
    <w:p w:rsidR="00000000" w:rsidDel="00000000" w:rsidP="00000000" w:rsidRDefault="00000000" w:rsidRPr="00000000" w14:paraId="00000030">
      <w:pPr>
        <w:pStyle w:val="Heading1"/>
        <w:spacing w:line="360" w:lineRule="auto"/>
        <w:ind w:left="0" w:firstLine="0"/>
        <w:jc w:val="both"/>
        <w:rPr/>
      </w:pPr>
      <w:bookmarkStart w:colFirst="0" w:colLast="0" w:name="_heading=h.spbtgs5e48e1" w:id="16"/>
      <w:bookmarkEnd w:id="16"/>
      <w:r w:rsidDel="00000000" w:rsidR="00000000" w:rsidRPr="00000000">
        <w:rPr>
          <w:rtl w:val="0"/>
        </w:rPr>
        <w:t xml:space="preserve">II - </w:t>
      </w:r>
      <w:r w:rsidDel="00000000" w:rsidR="00000000" w:rsidRPr="00000000">
        <w:rPr>
          <w:rtl w:val="0"/>
        </w:rPr>
        <w:t xml:space="preserve">Diagnostic externe de Coca-Cola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dt>
      <w:sdtPr>
        <w:lock w:val="contentLocked"/>
        <w:tag w:val="goog_rdk_1"/>
      </w:sdtPr>
      <w:sdtContent>
        <w:tbl>
          <w:tblPr>
            <w:tblStyle w:val="Table2"/>
            <w:tblW w:w="930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725"/>
            <w:gridCol w:w="3397.5"/>
            <w:gridCol w:w="3397.5"/>
            <w:tblGridChange w:id="0">
              <w:tblGrid>
                <w:gridCol w:w="780"/>
                <w:gridCol w:w="1725"/>
                <w:gridCol w:w="3397.5"/>
                <w:gridCol w:w="3397.5"/>
              </w:tblGrid>
            </w:tblGridChange>
          </w:tblGrid>
          <w:tr>
            <w:trPr>
              <w:cantSplit w:val="0"/>
              <w:trHeight w:val="424.453125" w:hRule="atLeast"/>
              <w:tblHeader w:val="0"/>
            </w:trPr>
            <w:tc>
              <w:tcPr>
                <w:gridSpan w:val="2"/>
                <w:tcBorders>
                  <w:top w:color="000000" w:space="0" w:sz="0" w:val="nil"/>
                  <w:left w:color="000000" w:space="0" w:sz="0" w:val="nil"/>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color w:val="862f2f"/>
                  </w:rPr>
                </w:pPr>
                <w:r w:rsidDel="00000000" w:rsidR="00000000" w:rsidRPr="00000000">
                  <w:rPr>
                    <w:b w:val="1"/>
                    <w:rtl w:val="0"/>
                  </w:rPr>
                  <w:t xml:space="preserve">Opportunitées</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color w:val="862f2f"/>
                  </w:rPr>
                </w:pPr>
                <w:r w:rsidDel="00000000" w:rsidR="00000000" w:rsidRPr="00000000">
                  <w:rPr>
                    <w:b w:val="1"/>
                    <w:rtl w:val="0"/>
                  </w:rPr>
                  <w:t xml:space="preserve">Menace</w:t>
                </w:r>
                <w:r w:rsidDel="00000000" w:rsidR="00000000" w:rsidRPr="00000000">
                  <w:rPr>
                    <w:rtl w:val="0"/>
                  </w:rPr>
                </w:r>
              </w:p>
            </w:tc>
          </w:tr>
          <w:tr>
            <w:trPr>
              <w:cantSplit w:val="0"/>
              <w:trHeight w:val="440" w:hRule="atLeast"/>
              <w:tblHeader w:val="0"/>
            </w:trPr>
            <w:tc>
              <w:tcPr>
                <w:vMerge w:val="restart"/>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color w:val="862f2f"/>
                  </w:rPr>
                </w:pPr>
                <w:r w:rsidDel="00000000" w:rsidR="00000000" w:rsidRPr="00000000">
                  <w:rPr>
                    <w:b w:val="1"/>
                  </w:rPr>
                  <mc:AlternateContent>
                    <mc:Choice Requires="wpg">
                      <w:drawing>
                        <wp:inline distB="114300" distT="114300" distL="114300" distR="114300">
                          <wp:extent cx="301087" cy="1874512"/>
                          <wp:effectExtent b="0" l="0" r="0" t="0"/>
                          <wp:docPr id="1919959270" name=""/>
                          <a:graphic>
                            <a:graphicData uri="http://schemas.microsoft.com/office/word/2010/wordprocessingShape">
                              <wps:wsp>
                                <wps:cNvSpPr txBox="1"/>
                                <wps:cNvPr id="3" name="Shape 3"/>
                                <wps:spPr>
                                  <a:xfrm rot="-5400000">
                                    <a:off x="697400" y="1526100"/>
                                    <a:ext cx="1820100" cy="27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Micro-Environnement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01087" cy="1874512"/>
                          <wp:effectExtent b="0" l="0" r="0" t="0"/>
                          <wp:docPr id="191995927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01087" cy="1874512"/>
                                  </a:xfrm>
                                  <a:prstGeom prst="rect"/>
                                  <a:ln/>
                                </pic:spPr>
                              </pic:pic>
                            </a:graphicData>
                          </a:graphic>
                        </wp:inline>
                      </w:drawing>
                    </mc:Fallback>
                  </mc:AlternateConten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color w:val="862f2f"/>
                  </w:rPr>
                </w:pPr>
                <w:r w:rsidDel="00000000" w:rsidR="00000000" w:rsidRPr="00000000">
                  <w:rPr>
                    <w:b w:val="1"/>
                    <w:rtl w:val="0"/>
                  </w:rPr>
                  <w:t xml:space="preserve">Produits de substitution</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pPr>
                <w:r w:rsidDel="00000000" w:rsidR="00000000" w:rsidRPr="00000000">
                  <w:rPr>
                    <w:rtl w:val="0"/>
                  </w:rPr>
                  <w:t xml:space="preserve">L'absence de produits de substitution majeurs → permet d'investir en R&amp;D pour devancer la concurrence.</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both"/>
                  <w:rPr/>
                </w:pPr>
                <w:r w:rsidDel="00000000" w:rsidR="00000000" w:rsidRPr="00000000">
                  <w:rPr>
                    <w:rtl w:val="0"/>
                  </w:rPr>
                  <w:t xml:space="preserve">Boissons énergisantes issues de l’agriculture biologique.</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color w:val="862f2f"/>
                  </w:rPr>
                </w:pPr>
                <w:r w:rsidDel="00000000" w:rsidR="00000000" w:rsidRPr="00000000">
                  <w:rPr>
                    <w:b w:val="1"/>
                    <w:rtl w:val="0"/>
                  </w:rPr>
                  <w:t xml:space="preserve">Concurrence directe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both"/>
                  <w:rPr/>
                </w:pPr>
                <w:r w:rsidDel="00000000" w:rsidR="00000000" w:rsidRPr="00000000">
                  <w:rPr>
                    <w:rtl w:val="0"/>
                  </w:rPr>
                  <w:t xml:space="preserve">Innover avec de nouveaux produits pour capter des parts de marché, comme les boissons à base de plantes.</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color w:val="862f2f"/>
                  </w:rPr>
                </w:pPr>
                <w:r w:rsidDel="00000000" w:rsidR="00000000" w:rsidRPr="00000000">
                  <w:rPr>
                    <w:rtl w:val="0"/>
                  </w:rPr>
                  <w:t xml:space="preserve">Pepsi, Tropicana, Starbucks, les jus Lipton, Costa Coffee et Nescafé.</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center"/>
                  <w:rPr>
                    <w:color w:val="862f2f"/>
                  </w:rPr>
                </w:pPr>
                <w:r w:rsidDel="00000000" w:rsidR="00000000" w:rsidRPr="00000000">
                  <w:rPr>
                    <w:b w:val="1"/>
                    <w:rtl w:val="0"/>
                  </w:rPr>
                  <w:t xml:space="preserve">Nouveaux entrants</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both"/>
                  <w:rPr/>
                </w:pPr>
                <w:r w:rsidDel="00000000" w:rsidR="00000000" w:rsidRPr="00000000">
                  <w:rPr>
                    <w:rtl w:val="0"/>
                  </w:rPr>
                  <w:t xml:space="preserve">Peu de nouveaux entrants → permettent de renforcer les positions actuelles en innovant vers plus de durabilité.</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pPr>
                <w:r w:rsidDel="00000000" w:rsidR="00000000" w:rsidRPr="00000000">
                  <w:rPr>
                    <w:rtl w:val="0"/>
                  </w:rPr>
                  <w:t xml:space="preserve">Désir croissant de boissons issues d'une production biologique.</w:t>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color w:val="862f2f"/>
                  </w:rPr>
                </w:pPr>
                <w:r w:rsidDel="00000000" w:rsidR="00000000" w:rsidRPr="00000000">
                  <w:rPr>
                    <w:b w:val="1"/>
                    <w:rtl w:val="0"/>
                  </w:rPr>
                  <w:t xml:space="preserve">Pouvoir de négociation des client</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both"/>
                  <w:rPr>
                    <w:color w:val="862f2f"/>
                    <w:vertAlign w:val="superscript"/>
                  </w:rPr>
                </w:pPr>
                <w:r w:rsidDel="00000000" w:rsidR="00000000" w:rsidRPr="00000000">
                  <w:rPr>
                    <w:rtl w:val="0"/>
                  </w:rPr>
                  <w:t xml:space="preserve">Développer des gammes de produits plus sains et plus écologiques pour répondre aux attentes des consommateurs.</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color w:val="862f2f"/>
                  </w:rPr>
                </w:pPr>
                <w:r w:rsidDel="00000000" w:rsidR="00000000" w:rsidRPr="00000000">
                  <w:rPr>
                    <w:rtl w:val="0"/>
                  </w:rPr>
                  <w:t xml:space="preserve">La dimension sanitaire et écologique, point noir du groupe.</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b w:val="1"/>
                  </w:rPr>
                </w:pPr>
                <w:r w:rsidDel="00000000" w:rsidR="00000000" w:rsidRPr="00000000">
                  <w:rPr>
                    <w:b w:val="1"/>
                    <w:rtl w:val="0"/>
                  </w:rPr>
                  <w:t xml:space="preserve">Pouvoir de négociation des fournisseurs</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both"/>
                  <w:rPr>
                    <w:color w:val="862f2f"/>
                  </w:rPr>
                </w:pPr>
                <w:r w:rsidDel="00000000" w:rsidR="00000000" w:rsidRPr="00000000">
                  <w:rPr>
                    <w:rtl w:val="0"/>
                  </w:rPr>
                  <w:t xml:space="preserve">Diversifier les sources d'approvisionnement pour réduire la dépendance.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both"/>
                  <w:rPr>
                    <w:color w:val="862f2f"/>
                  </w:rPr>
                </w:pPr>
                <w:r w:rsidDel="00000000" w:rsidR="00000000" w:rsidRPr="00000000">
                  <w:rPr>
                    <w:rtl w:val="0"/>
                  </w:rPr>
                  <w:t xml:space="preserve">Insignifiant dans la plupart des marchés, ce qui peut conduire à des pressions sur les marges.</w:t>
                </w:r>
                <w:r w:rsidDel="00000000" w:rsidR="00000000" w:rsidRPr="00000000">
                  <w:rPr>
                    <w:rtl w:val="0"/>
                  </w:rPr>
                </w:r>
              </w:p>
            </w:tc>
          </w:tr>
          <w:tr>
            <w:trPr>
              <w:cantSplit w:val="0"/>
              <w:trHeight w:val="440" w:hRule="atLeast"/>
              <w:tblHeader w:val="0"/>
            </w:trPr>
            <w:tc>
              <w:tcPr>
                <w:vMerge w:val="restart"/>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both"/>
                  <w:rPr>
                    <w:color w:val="862f2f"/>
                  </w:rPr>
                </w:pPr>
                <w:r w:rsidDel="00000000" w:rsidR="00000000" w:rsidRPr="00000000">
                  <w:rPr>
                    <w:b w:val="1"/>
                  </w:rPr>
                  <mc:AlternateContent>
                    <mc:Choice Requires="wpg">
                      <w:drawing>
                        <wp:inline distB="114300" distT="114300" distL="114300" distR="114300">
                          <wp:extent cx="485775" cy="2044700"/>
                          <wp:effectExtent b="0" l="0" r="0" t="0"/>
                          <wp:docPr id="1919959271" name=""/>
                          <a:graphic>
                            <a:graphicData uri="http://schemas.microsoft.com/office/word/2010/wordprocessingShape">
                              <wps:wsp>
                                <wps:cNvSpPr txBox="1"/>
                                <wps:cNvPr id="3" name="Shape 3"/>
                                <wps:spPr>
                                  <a:xfrm rot="-5400000">
                                    <a:off x="1282775" y="1528300"/>
                                    <a:ext cx="18201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Macro-Environnement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85775" cy="2044700"/>
                          <wp:effectExtent b="0" l="0" r="0" t="0"/>
                          <wp:docPr id="191995927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85775" cy="2044700"/>
                                  </a:xfrm>
                                  <a:prstGeom prst="rect"/>
                                  <a:ln/>
                                </pic:spPr>
                              </pic:pic>
                            </a:graphicData>
                          </a:graphic>
                        </wp:inline>
                      </w:drawing>
                    </mc:Fallback>
                  </mc:AlternateConten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color w:val="862f2f"/>
                  </w:rPr>
                </w:pPr>
                <w:r w:rsidDel="00000000" w:rsidR="00000000" w:rsidRPr="00000000">
                  <w:rPr>
                    <w:b w:val="1"/>
                    <w:rtl w:val="0"/>
                  </w:rPr>
                  <w:t xml:space="preserve">Politique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both"/>
                  <w:rPr>
                    <w:color w:val="862f2f"/>
                  </w:rPr>
                </w:pPr>
                <w:r w:rsidDel="00000000" w:rsidR="00000000" w:rsidRPr="00000000">
                  <w:rPr>
                    <w:rtl w:val="0"/>
                  </w:rPr>
                  <w:t xml:space="preserve">Stabilité politique dans certains marchés permet une planification à long terme.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pPr>
                <w:r w:rsidDel="00000000" w:rsidR="00000000" w:rsidRPr="00000000">
                  <w:rPr>
                    <w:rtl w:val="0"/>
                  </w:rPr>
                  <w:t xml:space="preserve">R</w:t>
                </w:r>
                <w:r w:rsidDel="00000000" w:rsidR="00000000" w:rsidRPr="00000000">
                  <w:rPr>
                    <w:rtl w:val="0"/>
                  </w:rPr>
                  <w:t xml:space="preserve">églementations alimentaires et sanitaires différentes dans chaque pays.</w:t>
                </w:r>
              </w:p>
              <w:p w:rsidR="00000000" w:rsidDel="00000000" w:rsidP="00000000" w:rsidRDefault="00000000" w:rsidRPr="00000000" w14:paraId="0000004F">
                <w:pPr>
                  <w:widowControl w:val="0"/>
                  <w:spacing w:line="360" w:lineRule="auto"/>
                  <w:jc w:val="both"/>
                  <w:rPr>
                    <w:color w:val="862f2f"/>
                  </w:rPr>
                </w:pPr>
                <w:r w:rsidDel="00000000" w:rsidR="00000000" w:rsidRPr="00000000">
                  <w:rPr>
                    <w:rtl w:val="0"/>
                  </w:rPr>
                  <w:t xml:space="preserve">Les opérations dans des régions politiquement instables peuvent déranger l’entreprise.</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color w:val="862f2f"/>
                  </w:rPr>
                </w:pPr>
                <w:r w:rsidDel="00000000" w:rsidR="00000000" w:rsidRPr="00000000">
                  <w:rPr>
                    <w:b w:val="1"/>
                    <w:rtl w:val="0"/>
                  </w:rPr>
                  <w:t xml:space="preserve">Economique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both"/>
                  <w:rPr/>
                </w:pPr>
                <w:r w:rsidDel="00000000" w:rsidR="00000000" w:rsidRPr="00000000">
                  <w:rPr>
                    <w:rtl w:val="0"/>
                  </w:rPr>
                  <w:t xml:space="preserve">Croissance économique notable dans les marchés émergents.</w:t>
                </w:r>
              </w:p>
              <w:p w:rsidR="00000000" w:rsidDel="00000000" w:rsidP="00000000" w:rsidRDefault="00000000" w:rsidRPr="00000000" w14:paraId="00000053">
                <w:pPr>
                  <w:widowControl w:val="0"/>
                  <w:spacing w:line="360" w:lineRule="auto"/>
                  <w:jc w:val="both"/>
                  <w:rPr/>
                </w:pPr>
                <w:r w:rsidDel="00000000" w:rsidR="00000000" w:rsidRPr="00000000">
                  <w:rPr>
                    <w:rtl w:val="0"/>
                  </w:rPr>
                  <w:t xml:space="preserve">Exemple : l’Inde et le Brésil.</w:t>
                </w:r>
              </w:p>
              <w:p w:rsidR="00000000" w:rsidDel="00000000" w:rsidP="00000000" w:rsidRDefault="00000000" w:rsidRPr="00000000" w14:paraId="00000054">
                <w:pPr>
                  <w:widowControl w:val="0"/>
                  <w:spacing w:line="360" w:lineRule="auto"/>
                  <w:jc w:val="both"/>
                  <w:rPr>
                    <w:color w:val="862f2f"/>
                  </w:rPr>
                </w:pPr>
                <w:r w:rsidDel="00000000" w:rsidR="00000000" w:rsidRPr="00000000">
                  <w:rPr>
                    <w:rtl w:val="0"/>
                  </w:rPr>
                  <w:t xml:space="preserve">En 2022 → 43,04 G$ de CA.</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pPr>
                <w:r w:rsidDel="00000000" w:rsidR="00000000" w:rsidRPr="00000000">
                  <w:rPr>
                    <w:rtl w:val="0"/>
                  </w:rPr>
                  <w:t xml:space="preserve">Fluctuations des taux de change.</w:t>
                </w:r>
              </w:p>
              <w:p w:rsidR="00000000" w:rsidDel="00000000" w:rsidP="00000000" w:rsidRDefault="00000000" w:rsidRPr="00000000" w14:paraId="00000056">
                <w:pPr>
                  <w:widowControl w:val="0"/>
                  <w:spacing w:line="360" w:lineRule="auto"/>
                  <w:jc w:val="both"/>
                  <w:rPr/>
                </w:pPr>
                <w:r w:rsidDel="00000000" w:rsidR="00000000" w:rsidRPr="00000000">
                  <w:rPr>
                    <w:rtl w:val="0"/>
                  </w:rPr>
                  <w:t xml:space="preserve">Exemple : la dépréciation du peso argentin.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color w:val="862f2f"/>
                  </w:rPr>
                </w:pPr>
                <w:r w:rsidDel="00000000" w:rsidR="00000000" w:rsidRPr="00000000">
                  <w:rPr>
                    <w:b w:val="1"/>
                    <w:rtl w:val="0"/>
                  </w:rPr>
                  <w:t xml:space="preserve">Socioculturel</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color w:val="862f2f"/>
                  </w:rPr>
                </w:pPr>
                <w:r w:rsidDel="00000000" w:rsidR="00000000" w:rsidRPr="00000000">
                  <w:rPr>
                    <w:rtl w:val="0"/>
                  </w:rPr>
                  <w:t xml:space="preserve">Augmentation de la demande pour des boissons sans sucre et des thés glacés.</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both"/>
                  <w:rPr>
                    <w:color w:val="862f2f"/>
                  </w:rPr>
                </w:pPr>
                <w:r w:rsidDel="00000000" w:rsidR="00000000" w:rsidRPr="00000000">
                  <w:rPr>
                    <w:rtl w:val="0"/>
                  </w:rPr>
                  <w:t xml:space="preserve">La demande croissante pour des boissons plus saines peut réduire les ventes de produits traditionnels.</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color w:val="862f2f"/>
                  </w:rPr>
                </w:pPr>
                <w:r w:rsidDel="00000000" w:rsidR="00000000" w:rsidRPr="00000000">
                  <w:rPr>
                    <w:b w:val="1"/>
                    <w:rtl w:val="0"/>
                  </w:rPr>
                  <w:t xml:space="preserve">Technologique</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pPr>
                <w:r w:rsidDel="00000000" w:rsidR="00000000" w:rsidRPr="00000000">
                  <w:rPr>
                    <w:rtl w:val="0"/>
                  </w:rPr>
                  <w:t xml:space="preserve">Coca-Cola investit massivement dans la technologie. Exemple : en 2023 → investit 1 G$ en R&amp;D pour améliorer ses processus de production et développer de nouveaux produits.</w:t>
                </w:r>
              </w:p>
              <w:p w:rsidR="00000000" w:rsidDel="00000000" w:rsidP="00000000" w:rsidRDefault="00000000" w:rsidRPr="00000000" w14:paraId="0000005F">
                <w:pPr>
                  <w:widowControl w:val="0"/>
                  <w:spacing w:line="360" w:lineRule="auto"/>
                  <w:jc w:val="both"/>
                  <w:rPr>
                    <w:color w:val="862f2f"/>
                  </w:rPr>
                </w:pPr>
                <w:r w:rsidDel="00000000" w:rsidR="00000000" w:rsidRPr="00000000">
                  <w:rPr>
                    <w:rtl w:val="0"/>
                  </w:rPr>
                  <w:t xml:space="preserve">Coca-Cola utilise des technologies avancées pour le marketing digital et les ventes en ligne → +15% en 2022</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color w:val="862f2f"/>
                  </w:rPr>
                </w:pPr>
                <w:r w:rsidDel="00000000" w:rsidR="00000000" w:rsidRPr="00000000">
                  <w:rPr>
                    <w:rtl w:val="0"/>
                  </w:rPr>
                  <w:t xml:space="preserve">Innovation rapide nécessitant des investissements constants en R&amp;D.</w:t>
                </w:r>
                <w:r w:rsidDel="00000000" w:rsidR="00000000" w:rsidRPr="00000000">
                  <w:rPr>
                    <w:rtl w:val="0"/>
                  </w:rPr>
                </w:r>
              </w:p>
            </w:tc>
          </w:tr>
          <w:tr>
            <w:trPr>
              <w:cantSplit w:val="0"/>
              <w:trHeight w:val="547.96875"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b w:val="1"/>
                  </w:rPr>
                </w:pPr>
                <w:r w:rsidDel="00000000" w:rsidR="00000000" w:rsidRPr="00000000">
                  <w:rPr>
                    <w:b w:val="1"/>
                    <w:rtl w:val="0"/>
                  </w:rPr>
                  <w:t xml:space="preserve">Écologique</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both"/>
                  <w:rPr>
                    <w:b w:val="1"/>
                    <w:color w:val="862f2f"/>
                  </w:rPr>
                </w:pPr>
                <w:r w:rsidDel="00000000" w:rsidR="00000000" w:rsidRPr="00000000">
                  <w:rPr>
                    <w:rtl w:val="0"/>
                  </w:rPr>
                  <w:t xml:space="preserve">Durabilité : engagement à utiliser 50% de matériaux recyclés dans ses emballages d’ici 2030. En 2022, l’entreprise a atteint 25% de cet objectif.</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pPr>
                <w:r w:rsidDel="00000000" w:rsidR="00000000" w:rsidRPr="00000000">
                  <w:rPr>
                    <w:rtl w:val="0"/>
                  </w:rPr>
                  <w:t xml:space="preserve">F</w:t>
                </w:r>
                <w:r w:rsidDel="00000000" w:rsidR="00000000" w:rsidRPr="00000000">
                  <w:rPr>
                    <w:rtl w:val="0"/>
                  </w:rPr>
                  <w:t xml:space="preserve">avorise l’utilisation des sources d’énergie renouvelable dans 60% de ses usines en 2022. </w:t>
                </w:r>
              </w:p>
              <w:p w:rsidR="00000000" w:rsidDel="00000000" w:rsidP="00000000" w:rsidRDefault="00000000" w:rsidRPr="00000000" w14:paraId="00000065">
                <w:pPr>
                  <w:widowControl w:val="0"/>
                  <w:spacing w:line="360" w:lineRule="auto"/>
                  <w:jc w:val="both"/>
                  <w:rPr>
                    <w:color w:val="862f2f"/>
                  </w:rPr>
                </w:pPr>
                <w:r w:rsidDel="00000000" w:rsidR="00000000" w:rsidRPr="00000000">
                  <w:rPr>
                    <w:rtl w:val="0"/>
                  </w:rPr>
                  <w:t xml:space="preserve">Normes environnementales de plus en plus rigoureuses.</w:t>
                </w:r>
                <w:r w:rsidDel="00000000" w:rsidR="00000000" w:rsidRPr="00000000">
                  <w:rPr>
                    <w:rtl w:val="0"/>
                  </w:rPr>
                </w:r>
              </w:p>
            </w:tc>
          </w:tr>
          <w:tr>
            <w:trPr>
              <w:cantSplit w:val="0"/>
              <w:trHeight w:val="440" w:hRule="atLeast"/>
              <w:tblHeader w:val="0"/>
            </w:trPr>
            <w:tc>
              <w:tcPr>
                <w:vMerge w:val="continue"/>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862f2f"/>
                  </w:rPr>
                </w:pP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b w:val="1"/>
                  </w:rPr>
                </w:pPr>
                <w:r w:rsidDel="00000000" w:rsidR="00000000" w:rsidRPr="00000000">
                  <w:rPr>
                    <w:b w:val="1"/>
                    <w:rtl w:val="0"/>
                  </w:rPr>
                  <w:t xml:space="preserve">Légale</w:t>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color w:val="862f2f"/>
                  </w:rPr>
                </w:pPr>
                <w:r w:rsidDel="00000000" w:rsidR="00000000" w:rsidRPr="00000000">
                  <w:rPr>
                    <w:rtl w:val="0"/>
                  </w:rPr>
                  <w:t xml:space="preserve">Propriété intellectuelle → la protection des marques et des brevets pour maintenir un avantage concurrentiel.</w:t>
                </w:r>
                <w:r w:rsidDel="00000000" w:rsidR="00000000" w:rsidRPr="00000000">
                  <w:rPr>
                    <w:rtl w:val="0"/>
                  </w:rPr>
                </w:r>
              </w:p>
            </w:tc>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color w:val="862f2f"/>
                  </w:rPr>
                </w:pPr>
                <w:r w:rsidDel="00000000" w:rsidR="00000000" w:rsidRPr="00000000">
                  <w:rPr>
                    <w:rtl w:val="0"/>
                  </w:rPr>
                  <w:t xml:space="preserve">Les lois sur la santé publique, comme les taxes sur les boissons sucrées, peuvent affecter les ventes.</w:t>
                </w:r>
                <w:r w:rsidDel="00000000" w:rsidR="00000000" w:rsidRPr="00000000">
                  <w:rPr>
                    <w:rtl w:val="0"/>
                  </w:rPr>
                </w:r>
              </w:p>
            </w:tc>
          </w:tr>
        </w:tbl>
      </w:sdtContent>
    </w:sdt>
    <w:p w:rsidR="00000000" w:rsidDel="00000000" w:rsidP="00000000" w:rsidRDefault="00000000" w:rsidRPr="00000000" w14:paraId="0000006A">
      <w:pPr>
        <w:spacing w:after="120" w:before="120" w:line="360" w:lineRule="auto"/>
        <w:jc w:val="both"/>
        <w:rPr>
          <w:color w:val="862f2f"/>
        </w:rPr>
      </w:pPr>
      <w:r w:rsidDel="00000000" w:rsidR="00000000" w:rsidRPr="00000000">
        <w:rPr>
          <w:rtl w:val="0"/>
        </w:rPr>
      </w:r>
    </w:p>
    <w:p w:rsidR="00000000" w:rsidDel="00000000" w:rsidP="00000000" w:rsidRDefault="00000000" w:rsidRPr="00000000" w14:paraId="0000006B">
      <w:pPr>
        <w:spacing w:after="120" w:before="120" w:line="360" w:lineRule="auto"/>
        <w:jc w:val="both"/>
        <w:rPr/>
      </w:pPr>
      <w:r w:rsidDel="00000000" w:rsidR="00000000" w:rsidRPr="00000000">
        <w:rPr>
          <w:rtl w:val="0"/>
        </w:rPr>
        <w:tab/>
      </w:r>
    </w:p>
    <w:p w:rsidR="00000000" w:rsidDel="00000000" w:rsidP="00000000" w:rsidRDefault="00000000" w:rsidRPr="00000000" w14:paraId="0000006C">
      <w:pPr>
        <w:spacing w:after="120" w:before="120" w:line="360" w:lineRule="auto"/>
        <w:jc w:val="both"/>
        <w:rPr>
          <w:b w:val="1"/>
          <w:color w:val="862f2f"/>
          <w:sz w:val="64"/>
          <w:szCs w:val="6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spacing w:after="120" w:before="120" w:line="360" w:lineRule="auto"/>
        <w:ind w:left="0" w:firstLine="720"/>
        <w:jc w:val="both"/>
        <w:rPr/>
      </w:pPr>
      <w:bookmarkStart w:colFirst="0" w:colLast="0" w:name="_heading=h.ste4igf2mi3g" w:id="17"/>
      <w:bookmarkEnd w:id="17"/>
      <w:r w:rsidDel="00000000" w:rsidR="00000000" w:rsidRPr="00000000">
        <w:rPr>
          <w:rtl w:val="0"/>
        </w:rPr>
        <w:t xml:space="preserve">III - R.S.E de l’entreprise :</w:t>
      </w:r>
    </w:p>
    <w:p w:rsidR="00000000" w:rsidDel="00000000" w:rsidP="00000000" w:rsidRDefault="00000000" w:rsidRPr="00000000" w14:paraId="0000006E">
      <w:pPr>
        <w:spacing w:line="360" w:lineRule="auto"/>
        <w:jc w:val="both"/>
        <w:rPr>
          <w:sz w:val="12"/>
          <w:szCs w:val="12"/>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La </w:t>
      </w:r>
      <w:r w:rsidDel="00000000" w:rsidR="00000000" w:rsidRPr="00000000">
        <w:rPr>
          <w:b w:val="1"/>
          <w:u w:val="single"/>
          <w:rtl w:val="0"/>
        </w:rPr>
        <w:t xml:space="preserve">responsabilité sociétale des entreprises (RSE)</w:t>
      </w:r>
      <w:r w:rsidDel="00000000" w:rsidR="00000000" w:rsidRPr="00000000">
        <w:rPr>
          <w:rtl w:val="0"/>
        </w:rPr>
        <w:t xml:space="preserve"> de Coca-Cola se structure autour de plusieurs axes visant à intégrer des pratiques durables, éthiques et respectueuses de l'environnement. </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numPr>
          <w:ilvl w:val="0"/>
          <w:numId w:val="1"/>
        </w:numPr>
        <w:spacing w:line="360" w:lineRule="auto"/>
        <w:ind w:left="720" w:hanging="360"/>
        <w:jc w:val="both"/>
        <w:rPr>
          <w:b w:val="1"/>
          <w:color w:val="980000"/>
        </w:rPr>
      </w:pPr>
      <w:r w:rsidDel="00000000" w:rsidR="00000000" w:rsidRPr="00000000">
        <w:rPr>
          <w:b w:val="1"/>
          <w:color w:val="980000"/>
          <w:rtl w:val="0"/>
        </w:rPr>
        <w:t xml:space="preserve">Gestion durable de l'eau :</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L'eau étant l'ingrédient principal des boissons Coca-Cola, la gestion responsable de cette ressource est un enjeu crucial. Coca-Cola s'est fixé pour objectif de </w:t>
      </w:r>
      <w:r w:rsidDel="00000000" w:rsidR="00000000" w:rsidRPr="00000000">
        <w:rPr>
          <w:b w:val="1"/>
          <w:rtl w:val="0"/>
        </w:rPr>
        <w:t xml:space="preserve">rendre à la nature 100</w:t>
      </w:r>
      <w:r w:rsidDel="00000000" w:rsidR="00000000" w:rsidRPr="00000000">
        <w:rPr>
          <w:b w:val="1"/>
          <w:rtl w:val="0"/>
        </w:rPr>
        <w:t xml:space="preserve"> % de l'eau</w:t>
      </w:r>
      <w:r w:rsidDel="00000000" w:rsidR="00000000" w:rsidRPr="00000000">
        <w:rPr>
          <w:rtl w:val="0"/>
        </w:rPr>
        <w:t xml:space="preserve"> utilisée dans la production de ses boissons, notamment à travers des </w:t>
      </w:r>
      <w:r w:rsidDel="00000000" w:rsidR="00000000" w:rsidRPr="00000000">
        <w:rPr>
          <w:b w:val="1"/>
          <w:rtl w:val="0"/>
        </w:rPr>
        <w:t xml:space="preserve">projets de reforestation</w:t>
      </w:r>
      <w:r w:rsidDel="00000000" w:rsidR="00000000" w:rsidRPr="00000000">
        <w:rPr>
          <w:rtl w:val="0"/>
        </w:rPr>
        <w:t xml:space="preserve">, de </w:t>
      </w:r>
      <w:r w:rsidDel="00000000" w:rsidR="00000000" w:rsidRPr="00000000">
        <w:rPr>
          <w:b w:val="1"/>
          <w:rtl w:val="0"/>
        </w:rPr>
        <w:t xml:space="preserve">préservation des bassins hydrographiques</w:t>
      </w:r>
      <w:r w:rsidDel="00000000" w:rsidR="00000000" w:rsidRPr="00000000">
        <w:rPr>
          <w:rtl w:val="0"/>
        </w:rPr>
        <w:t xml:space="preserve"> et de </w:t>
      </w:r>
      <w:r w:rsidDel="00000000" w:rsidR="00000000" w:rsidRPr="00000000">
        <w:rPr>
          <w:b w:val="1"/>
          <w:rtl w:val="0"/>
        </w:rPr>
        <w:t xml:space="preserve">réduction de la consommation d'eau</w:t>
      </w:r>
      <w:r w:rsidDel="00000000" w:rsidR="00000000" w:rsidRPr="00000000">
        <w:rPr>
          <w:rtl w:val="0"/>
        </w:rPr>
        <w:t xml:space="preserve"> dans ses usines.</w:t>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jc w:val="both"/>
        <w:rPr>
          <w:b w:val="1"/>
          <w:color w:val="980000"/>
        </w:rPr>
      </w:pPr>
      <w:r w:rsidDel="00000000" w:rsidR="00000000" w:rsidRPr="00000000">
        <w:rPr>
          <w:b w:val="1"/>
          <w:color w:val="980000"/>
          <w:rtl w:val="0"/>
        </w:rPr>
        <w:t xml:space="preserve">Réduction des déchets plastiques :</w:t>
      </w:r>
    </w:p>
    <w:p w:rsidR="00000000" w:rsidDel="00000000" w:rsidP="00000000" w:rsidRDefault="00000000" w:rsidRPr="00000000" w14:paraId="00000075">
      <w:pPr>
        <w:spacing w:line="360" w:lineRule="auto"/>
        <w:ind w:left="720" w:firstLine="0"/>
        <w:jc w:val="both"/>
        <w:rPr/>
      </w:pPr>
      <w:r w:rsidDel="00000000" w:rsidR="00000000" w:rsidRPr="00000000">
        <w:rPr>
          <w:rtl w:val="0"/>
        </w:rPr>
        <w:t xml:space="preserve">Coca-Cola s'engage à lutter contre la pollution plastique, un des principaux défis environnementaux. Leur </w:t>
      </w:r>
      <w:r w:rsidDel="00000000" w:rsidR="00000000" w:rsidRPr="00000000">
        <w:rPr>
          <w:rtl w:val="0"/>
        </w:rPr>
        <w:t xml:space="preserve">initiative </w:t>
      </w:r>
      <w:r w:rsidDel="00000000" w:rsidR="00000000" w:rsidRPr="00000000">
        <w:rPr>
          <w:b w:val="1"/>
          <w:rtl w:val="0"/>
        </w:rPr>
        <w:t xml:space="preserve">“World</w:t>
      </w:r>
      <w:r w:rsidDel="00000000" w:rsidR="00000000" w:rsidRPr="00000000">
        <w:rPr>
          <w:b w:val="1"/>
          <w:rtl w:val="0"/>
        </w:rPr>
        <w:t xml:space="preserve"> Without </w:t>
      </w:r>
      <w:r w:rsidDel="00000000" w:rsidR="00000000" w:rsidRPr="00000000">
        <w:rPr>
          <w:b w:val="1"/>
          <w:rtl w:val="0"/>
        </w:rPr>
        <w:t xml:space="preserve">Waste“</w:t>
      </w:r>
      <w:r w:rsidDel="00000000" w:rsidR="00000000" w:rsidRPr="00000000">
        <w:rPr>
          <w:rtl w:val="0"/>
        </w:rPr>
        <w:t xml:space="preserve"> vise</w:t>
      </w:r>
      <w:r w:rsidDel="00000000" w:rsidR="00000000" w:rsidRPr="00000000">
        <w:rPr>
          <w:rtl w:val="0"/>
        </w:rPr>
        <w:t xml:space="preserve"> à </w:t>
      </w:r>
      <w:r w:rsidDel="00000000" w:rsidR="00000000" w:rsidRPr="00000000">
        <w:rPr>
          <w:b w:val="1"/>
          <w:rtl w:val="0"/>
        </w:rPr>
        <w:t xml:space="preserve">collecter et recycler l'équivalent de chaque bouteille ou canette vendue d'ici 2030</w:t>
      </w:r>
      <w:r w:rsidDel="00000000" w:rsidR="00000000" w:rsidRPr="00000000">
        <w:rPr>
          <w:rtl w:val="0"/>
        </w:rPr>
        <w:t xml:space="preserve">. L'entreprise investit également dans des emballages recyclables, réutilisables et biodégradables.</w:t>
      </w:r>
    </w:p>
    <w:p w:rsidR="00000000" w:rsidDel="00000000" w:rsidP="00000000" w:rsidRDefault="00000000" w:rsidRPr="00000000" w14:paraId="00000076">
      <w:pPr>
        <w:spacing w:line="360"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b w:val="1"/>
          <w:color w:val="980000"/>
        </w:rPr>
      </w:pPr>
      <w:r w:rsidDel="00000000" w:rsidR="00000000" w:rsidRPr="00000000">
        <w:rPr>
          <w:b w:val="1"/>
          <w:color w:val="980000"/>
          <w:rtl w:val="0"/>
        </w:rPr>
        <w:t xml:space="preserve">Réduction de l'empreinte carbone :</w:t>
      </w:r>
    </w:p>
    <w:p w:rsidR="00000000" w:rsidDel="00000000" w:rsidP="00000000" w:rsidRDefault="00000000" w:rsidRPr="00000000" w14:paraId="00000078">
      <w:pPr>
        <w:spacing w:line="360" w:lineRule="auto"/>
        <w:ind w:left="720" w:firstLine="0"/>
        <w:jc w:val="both"/>
        <w:rPr/>
      </w:pPr>
      <w:r w:rsidDel="00000000" w:rsidR="00000000" w:rsidRPr="00000000">
        <w:rPr>
          <w:rtl w:val="0"/>
        </w:rPr>
        <w:t xml:space="preserve">Coca-Cola met en place des efforts pour réduire ses émissions de gaz à effet de serre. </w:t>
      </w:r>
      <w:r w:rsidDel="00000000" w:rsidR="00000000" w:rsidRPr="00000000">
        <w:rPr>
          <w:b w:val="1"/>
          <w:rtl w:val="0"/>
        </w:rPr>
        <w:t xml:space="preserve">L'entreprise s'engage à réduire ses émissions globales de 25 % d'ici 2030</w:t>
      </w:r>
      <w:r w:rsidDel="00000000" w:rsidR="00000000" w:rsidRPr="00000000">
        <w:rPr>
          <w:rtl w:val="0"/>
        </w:rPr>
        <w:t xml:space="preserve">, en </w:t>
      </w:r>
      <w:r w:rsidDel="00000000" w:rsidR="00000000" w:rsidRPr="00000000">
        <w:rPr>
          <w:b w:val="1"/>
          <w:rtl w:val="0"/>
        </w:rPr>
        <w:t xml:space="preserve">adoptant des sources d'énergie renouvelables</w:t>
      </w:r>
      <w:r w:rsidDel="00000000" w:rsidR="00000000" w:rsidRPr="00000000">
        <w:rPr>
          <w:rtl w:val="0"/>
        </w:rPr>
        <w:t xml:space="preserve"> dans ses usines et en </w:t>
      </w:r>
      <w:r w:rsidDel="00000000" w:rsidR="00000000" w:rsidRPr="00000000">
        <w:rPr>
          <w:b w:val="1"/>
          <w:rtl w:val="0"/>
        </w:rPr>
        <w:t xml:space="preserve">optimisant la chaîne d'approvisionnement</w:t>
      </w:r>
      <w:r w:rsidDel="00000000" w:rsidR="00000000" w:rsidRPr="00000000">
        <w:rPr>
          <w:rtl w:val="0"/>
        </w:rPr>
        <w:t xml:space="preserve">. Cela inclut l'amélioration de la logistique et le développement de véhicules moins polluants.</w:t>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sectPr>
      <w:headerReference r:id="rId9" w:type="default"/>
      <w:headerReference r:id="rId10" w:type="first"/>
      <w:footerReference r:id="rId11" w:type="default"/>
      <w:footerReference r:id="rId12" w:type="first"/>
      <w:footerReference r:id="rId13" w:type="even"/>
      <w:pgSz w:h="16845" w:w="11910" w:orient="portrait"/>
      <w:pgMar w:bottom="1411.6535433070867" w:top="901.4173228346458" w:left="1411.6535433070867" w:right="1411.6535433070867" w:header="566.929133858267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spacing w:line="360" w:lineRule="auto"/>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jc w:val="center"/>
      <w:rPr>
        <w:b w:val="1"/>
        <w:sz w:val="36"/>
        <w:szCs w:val="3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center"/>
      <w:rPr/>
    </w:pPr>
    <w:r w:rsidDel="00000000" w:rsidR="00000000" w:rsidRPr="00000000">
      <w:rPr/>
      <mc:AlternateContent>
        <mc:Choice Requires="wpg">
          <w:drawing>
            <wp:inline distB="114300" distT="114300" distL="114300" distR="114300">
              <wp:extent cx="5728526" cy="396590"/>
              <wp:effectExtent b="0" l="0" r="0" t="0"/>
              <wp:docPr id="1919959268" name=""/>
              <a:graphic>
                <a:graphicData uri="http://schemas.microsoft.com/office/word/2010/wordprocessingShape">
                  <wps:wsp>
                    <wps:cNvSpPr/>
                    <wps:cNvPr id="2" name="Shape 2"/>
                    <wps:spPr>
                      <a:xfrm>
                        <a:off x="203350" y="1318450"/>
                        <a:ext cx="6175800" cy="414300"/>
                      </a:xfrm>
                      <a:prstGeom prst="roundRect">
                        <a:avLst>
                          <a:gd fmla="val 16667" name="adj"/>
                        </a:avLst>
                      </a:prstGeom>
                      <a:solidFill>
                        <a:srgbClr val="BA2A1E"/>
                      </a:solid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r w:rsidDel="00000000" w:rsidR="00000000" w:rsidRPr="00000000">
                            <w:rPr>
                              <w:rFonts w:ascii="Calibri" w:cs="Calibri" w:eastAsia="Calibri" w:hAnsi="Calibri"/>
                              <w:b w:val="0"/>
                              <w:i w:val="0"/>
                              <w:smallCaps w:val="0"/>
                              <w:strike w:val="0"/>
                              <w:color w:val="ffffff"/>
                              <w:sz w:val="22"/>
                              <w:vertAlign w:val="baseline"/>
                            </w:rPr>
                            <w:t xml:space="preserve">SAÉ 1.06 - </w:t>
                          </w:r>
                          <w:r w:rsidDel="00000000" w:rsidR="00000000" w:rsidRPr="00000000">
                            <w:rPr>
                              <w:rFonts w:ascii="Calibri" w:cs="Calibri" w:eastAsia="Calibri" w:hAnsi="Calibri"/>
                              <w:b w:val="0"/>
                              <w:i w:val="0"/>
                              <w:smallCaps w:val="0"/>
                              <w:strike w:val="0"/>
                              <w:color w:val="ffffff"/>
                              <w:sz w:val="22"/>
                              <w:vertAlign w:val="baseline"/>
                            </w:rPr>
                            <w:t xml:space="preserve">LE CHE</w:t>
                          </w:r>
                          <w:r w:rsidDel="00000000" w:rsidR="00000000" w:rsidRPr="00000000">
                            <w:rPr>
                              <w:rFonts w:ascii="Calibri" w:cs="Calibri" w:eastAsia="Calibri" w:hAnsi="Calibri"/>
                              <w:b w:val="0"/>
                              <w:i w:val="0"/>
                              <w:smallCaps w:val="0"/>
                              <w:strike w:val="0"/>
                              <w:color w:val="ffffff"/>
                              <w:sz w:val="22"/>
                              <w:vertAlign w:val="baseline"/>
                            </w:rPr>
                            <w:t xml:space="preserve">VÈR</w:t>
                          </w:r>
                          <w:r w:rsidDel="00000000" w:rsidR="00000000" w:rsidRPr="00000000">
                            <w:rPr>
                              <w:rFonts w:ascii="Calibri" w:cs="Calibri" w:eastAsia="Calibri" w:hAnsi="Calibri"/>
                              <w:b w:val="0"/>
                              <w:i w:val="0"/>
                              <w:smallCaps w:val="0"/>
                              <w:strike w:val="0"/>
                              <w:color w:val="ffffff"/>
                              <w:sz w:val="22"/>
                              <w:vertAlign w:val="baseline"/>
                            </w:rPr>
                            <w:t xml:space="preserve">E</w:t>
                          </w:r>
                          <w:r w:rsidDel="00000000" w:rsidR="00000000" w:rsidRPr="00000000">
                            <w:rPr>
                              <w:rFonts w:ascii="Calibri" w:cs="Calibri" w:eastAsia="Calibri" w:hAnsi="Calibri"/>
                              <w:b w:val="0"/>
                              <w:i w:val="0"/>
                              <w:smallCaps w:val="0"/>
                              <w:strike w:val="0"/>
                              <w:color w:val="ffffff"/>
                              <w:sz w:val="22"/>
                              <w:vertAlign w:val="baseline"/>
                            </w:rPr>
                            <w:t xml:space="preserve"> Yannis</w:t>
                          </w:r>
                          <w:r w:rsidDel="00000000" w:rsidR="00000000" w:rsidRPr="00000000">
                            <w:rPr>
                              <w:rFonts w:ascii="Calibri" w:cs="Calibri" w:eastAsia="Calibri" w:hAnsi="Calibri"/>
                              <w:b w:val="0"/>
                              <w:i w:val="0"/>
                              <w:smallCaps w:val="0"/>
                              <w:strike w:val="0"/>
                              <w:color w:val="ffffff"/>
                              <w:sz w:val="22"/>
                              <w:vertAlign w:val="baseline"/>
                            </w:rPr>
                            <w:t xml:space="preserve">, GUIGUE Simon, LE SECH Marceau, CHAUVEL Arthur -</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28526" cy="396590"/>
              <wp:effectExtent b="0" l="0" r="0" t="0"/>
              <wp:docPr id="191995926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28526" cy="396590"/>
                      </a:xfrm>
                      <a:prstGeom prst="rect"/>
                      <a:ln/>
                    </pic:spPr>
                  </pic:pic>
                </a:graphicData>
              </a:graphic>
            </wp:inline>
          </w:drawing>
        </mc:Fallback>
      </mc:AlternateConten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right"/>
      <w:rPr/>
    </w:pPr>
    <w:r w:rsidDel="00000000" w:rsidR="00000000" w:rsidRPr="00000000">
      <w:rPr/>
      <mc:AlternateContent>
        <mc:Choice Requires="wpg">
          <w:drawing>
            <wp:inline distB="114300" distT="114300" distL="114300" distR="114300">
              <wp:extent cx="5728526" cy="396590"/>
              <wp:effectExtent b="0" l="0" r="0" t="0"/>
              <wp:docPr id="1919959269" name=""/>
              <a:graphic>
                <a:graphicData uri="http://schemas.microsoft.com/office/word/2010/wordprocessingShape">
                  <wps:wsp>
                    <wps:cNvSpPr/>
                    <wps:cNvPr id="2" name="Shape 2"/>
                    <wps:spPr>
                      <a:xfrm>
                        <a:off x="203350" y="1318450"/>
                        <a:ext cx="6175800" cy="414300"/>
                      </a:xfrm>
                      <a:prstGeom prst="roundRect">
                        <a:avLst>
                          <a:gd fmla="val 16667" name="adj"/>
                        </a:avLst>
                      </a:prstGeom>
                      <a:solidFill>
                        <a:srgbClr val="BA2A1E"/>
                      </a:solid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SAÉ 1.06 - </w:t>
                          </w:r>
                          <w:r w:rsidDel="00000000" w:rsidR="00000000" w:rsidRPr="00000000">
                            <w:rPr>
                              <w:rFonts w:ascii="Calibri" w:cs="Calibri" w:eastAsia="Calibri" w:hAnsi="Calibri"/>
                              <w:b w:val="0"/>
                              <w:i w:val="0"/>
                              <w:smallCaps w:val="0"/>
                              <w:strike w:val="0"/>
                              <w:color w:val="ffffff"/>
                              <w:sz w:val="22"/>
                              <w:vertAlign w:val="baseline"/>
                            </w:rPr>
                            <w:t xml:space="preserve">LE CHE</w:t>
                          </w:r>
                          <w:r w:rsidDel="00000000" w:rsidR="00000000" w:rsidRPr="00000000">
                            <w:rPr>
                              <w:rFonts w:ascii="Calibri" w:cs="Calibri" w:eastAsia="Calibri" w:hAnsi="Calibri"/>
                              <w:b w:val="0"/>
                              <w:i w:val="0"/>
                              <w:smallCaps w:val="0"/>
                              <w:strike w:val="0"/>
                              <w:color w:val="ffffff"/>
                              <w:sz w:val="22"/>
                              <w:vertAlign w:val="baseline"/>
                            </w:rPr>
                            <w:t xml:space="preserve">VÈR</w:t>
                          </w:r>
                          <w:r w:rsidDel="00000000" w:rsidR="00000000" w:rsidRPr="00000000">
                            <w:rPr>
                              <w:rFonts w:ascii="Calibri" w:cs="Calibri" w:eastAsia="Calibri" w:hAnsi="Calibri"/>
                              <w:b w:val="0"/>
                              <w:i w:val="0"/>
                              <w:smallCaps w:val="0"/>
                              <w:strike w:val="0"/>
                              <w:color w:val="ffffff"/>
                              <w:sz w:val="22"/>
                              <w:vertAlign w:val="baseline"/>
                            </w:rPr>
                            <w:t xml:space="preserve">E</w:t>
                          </w:r>
                          <w:r w:rsidDel="00000000" w:rsidR="00000000" w:rsidRPr="00000000">
                            <w:rPr>
                              <w:rFonts w:ascii="Calibri" w:cs="Calibri" w:eastAsia="Calibri" w:hAnsi="Calibri"/>
                              <w:b w:val="0"/>
                              <w:i w:val="0"/>
                              <w:smallCaps w:val="0"/>
                              <w:strike w:val="0"/>
                              <w:color w:val="ffffff"/>
                              <w:sz w:val="22"/>
                              <w:vertAlign w:val="baseline"/>
                            </w:rPr>
                            <w:t xml:space="preserve"> Yannis</w:t>
                          </w:r>
                          <w:r w:rsidDel="00000000" w:rsidR="00000000" w:rsidRPr="00000000">
                            <w:rPr>
                              <w:rFonts w:ascii="Calibri" w:cs="Calibri" w:eastAsia="Calibri" w:hAnsi="Calibri"/>
                              <w:b w:val="0"/>
                              <w:i w:val="0"/>
                              <w:smallCaps w:val="0"/>
                              <w:strike w:val="0"/>
                              <w:color w:val="ffffff"/>
                              <w:sz w:val="22"/>
                              <w:vertAlign w:val="baseline"/>
                            </w:rPr>
                            <w:t xml:space="preserve">, GUIGUE Simon, LE SECH Marceau, CHAUVEL Arthur - </w:t>
                          </w:r>
                          <w:r w:rsidDel="00000000" w:rsidR="00000000" w:rsidRPr="00000000">
                            <w:rPr>
                              <w:rFonts w:ascii="Calibri" w:cs="Calibri" w:eastAsia="Calibri" w:hAnsi="Calibri"/>
                              <w:b w:val="0"/>
                              <w:i w:val="0"/>
                              <w:smallCaps w:val="0"/>
                              <w:strike w:val="0"/>
                              <w:color w:val="ffffff"/>
                              <w:sz w:val="24"/>
                              <w:vertAlign w:val="baseline"/>
                            </w:rPr>
                            <w:t xml:space="preserve">10/</w:t>
                          </w:r>
                          <w:r w:rsidDel="00000000" w:rsidR="00000000" w:rsidRPr="00000000">
                            <w:rPr>
                              <w:rFonts w:ascii="Calibri" w:cs="Calibri" w:eastAsia="Calibri" w:hAnsi="Calibri"/>
                              <w:b w:val="0"/>
                              <w:i w:val="0"/>
                              <w:smallCaps w:val="0"/>
                              <w:strike w:val="0"/>
                              <w:color w:val="ffffff"/>
                              <w:sz w:val="24"/>
                              <w:vertAlign w:val="baseline"/>
                            </w:rPr>
                            <w:t xml:space="preserve">10</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28526" cy="396590"/>
              <wp:effectExtent b="0" l="0" r="0" t="0"/>
              <wp:docPr id="191995926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8526" cy="39659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spacing w:after="120" w:before="120"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spacing w:after="120" w:before="12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pPr>
    <w:rPr>
      <w:b w:val="1"/>
      <w:color w:val="980000"/>
      <w:sz w:val="50"/>
      <w:szCs w:val="5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4dChMmIH2VICDCpgmtSKAB8l5A==">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2024-09-25T12:27:00Z</dcterms:created>
  <dc:creator>Apache POI</dc:creator>
</cp:coreProperties>
</file>