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urier New" w:cs="Courier New" w:eastAsia="Courier New" w:hAnsi="Courier New"/>
          <w:b/>
          <w:bCs/>
          <w:caps/>
          <w:color w:val="C53030"/>
          <w:sz w:val="18"/>
          <w:szCs w:val="18"/>
        </w:rPr>
        <w:t xml:space="preserve">COMMUNIQUÉ DE PRESSE CITOYEN</w:t>
      </w:r>
    </w:p>
    <w:p>
      <w:pPr>
        <w:spacing w:after="40"/>
      </w:pPr>
      <w:r>
        <w:rPr>
          <w:rFonts w:ascii="Georgia" w:cs="Georgia" w:eastAsia="Georgia" w:hAnsi="Georgia"/>
          <w:color w:val="4A5568"/>
          <w:sz w:val="20"/>
          <w:szCs w:val="20"/>
        </w:rPr>
        <w:t xml:space="preserve">Bruxelles, 7 février 2026</w:t>
      </w:r>
    </w:p>
    <w:p>
      <w:pPr>
        <w:spacing w:after="60"/>
      </w:pPr>
      <w:r>
        <w:rPr>
          <w:rFonts w:ascii="Courier New" w:cs="Courier New" w:eastAsia="Courier New" w:hAnsi="Courier New"/>
          <w:color w:val="48BB78"/>
          <w:sz w:val="16"/>
          <w:szCs w:val="16"/>
        </w:rPr>
        <w:t xml:space="preserve">Diffusion libre — reproduction et adaptation encouragées</w:t>
      </w:r>
    </w:p>
    <w:p>
      <w:pPr>
        <w:pBdr>
          <w:bottom w:val="single" w:color="D69E2E" w:sz="2"/>
        </w:pBdr>
        <w:spacing w:after="300"/>
      </w:pPr>
      <w:r>
        <w:t xml:space="preserve"/>
      </w:r>
    </w:p>
    <w:p>
      <w:pPr>
        <w:spacing w:after="120"/>
        <w:jc w:val="center"/>
      </w:pPr>
      <w:r>
        <w:rPr>
          <w:rFonts w:ascii="Georgia" w:cs="Georgia" w:eastAsia="Georgia" w:hAnsi="Georgia"/>
          <w:b/>
          <w:bCs/>
          <w:color w:val="1A1A2E"/>
          <w:sz w:val="40"/>
          <w:szCs w:val="40"/>
        </w:rPr>
        <w:t xml:space="preserve">Y a-t-il un pilote dans l’État ?</w:t>
      </w:r>
    </w:p>
    <w:p>
      <w:pPr>
        <w:spacing w:after="360"/>
        <w:jc w:val="center"/>
      </w:pPr>
      <w:r>
        <w:rPr>
          <w:rFonts w:ascii="Georgia" w:cs="Georgia" w:eastAsia="Georgia" w:hAnsi="Georgia"/>
          <w:i/>
          <w:iCs/>
          <w:color w:val="4A5568"/>
          <w:sz w:val="24"/>
          <w:szCs w:val="24"/>
        </w:rPr>
        <w:t xml:space="preserve">Radiographie factuelle d’une démocratie en pilote automatique</w:t>
      </w:r>
    </w:p>
    <w:p>
      <w:pPr>
        <w:spacing w:after="160"/>
      </w:pPr>
      <w:r>
        <w:t xml:space="preserve">La Belgique dépense </w:t>
      </w:r>
      <w:r>
        <w:rPr>
          <w:b/>
          <w:bCs/>
          <w:color w:val="C53030"/>
        </w:rPr>
        <w:t xml:space="preserve">21 milliards d’euros par an</w:t>
      </w:r>
      <w:r>
        <w:t xml:space="preserve"> pour maintenir </w:t>
      </w:r>
      <w:r>
        <w:rPr>
          <w:b/>
          <w:bCs/>
          <w:color w:val="C53030"/>
        </w:rPr>
        <w:t xml:space="preserve">978 000 personnes</w:t>
      </w:r>
      <w:r>
        <w:t xml:space="preserve"> en inactivité forcée. L’État ignore </w:t>
      </w:r>
      <w:r>
        <w:rPr>
          <w:b/>
          <w:bCs/>
          <w:color w:val="C53030"/>
        </w:rPr>
        <w:t xml:space="preserve">plus de 9 000 décisions de justice</w:t>
      </w:r>
      <w:r>
        <w:t xml:space="preserve"> rendues contre lui. Les parlementaires votent selon la discipline de parti dans </w:t>
      </w:r>
      <w:r>
        <w:rPr>
          <w:b/>
          <w:bCs/>
          <w:color w:val="C53030"/>
        </w:rPr>
        <w:t xml:space="preserve">environ 98 % des scrutins</w:t>
      </w:r>
      <w:r>
        <w:t xml:space="preserve">. Le débat public, lui, se focalise sur </w:t>
      </w:r>
      <w:r>
        <w:rPr>
          <w:b/>
          <w:bCs/>
          <w:color w:val="C53030"/>
        </w:rPr>
        <w:t xml:space="preserve">0,3 % de fraude détectée</w:t>
      </w:r>
      <w:r>
        <w:t xml:space="preserve"> chez les allocataires sociaux.</w:t>
      </w:r>
    </w:p>
    <w:p>
      <w:pPr>
        <w:spacing w:after="160"/>
      </w:pPr>
      <w:r>
        <w:t xml:space="preserve">Ce communiqué rassemble, sans commentaire, les données factuelles qui fondent ce constat. Chaque chiffre est sourçé. Les conclusions appartiennent au lecteur.</w:t>
      </w:r>
    </w:p>
    <w:p>
      <w:pPr>
        <w:pStyle w:val="Heading1"/>
      </w:pPr>
      <w:r>
        <w:t xml:space="preserve">1. Inactivité forcée — 978 000 personnes cloudées au sol</w:t>
      </w:r>
    </w:p>
    <w:p>
      <w:pPr>
        <w:spacing w:after="160"/>
      </w:pPr>
      <w:r>
        <w:t xml:space="preserve">Le Bureau fédéral du Plan et l’INAMI documentent une réalité que le débat politique traite comme un problème de comportement individuel alors qu’il s’agit d’un phénomène structurel.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Personnes en invalidité/incapacité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C53030"/>
                <w:sz w:val="20"/>
                <w:szCs w:val="20"/>
              </w:rPr>
              <w:t xml:space="preserve">978 000 (2024)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Coût annuel de l’inactivité forcée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C53030"/>
                <w:sz w:val="20"/>
                <w:szCs w:val="20"/>
              </w:rPr>
              <w:t xml:space="preserve">21 milliards €/an (Bureau du Plan)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Taux de fraude détectée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0,3 % des allocataires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Hausse des demandes CPAS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+23 % depuis 2022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Sous-financement santé mentale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-40 % vs. besoins (KCE)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Coupes Arizona 2025–2042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3,86 milliards € cumulés (projections)</w:t>
            </w:r>
          </w:p>
        </w:tc>
      </w:tr>
    </w:tbl>
    <w:p>
      <w:pPr>
        <w:spacing w:before="100" w:after="240"/>
      </w:pPr>
      <w:r>
        <w:rPr>
          <w:i/>
          <w:iCs/>
          <w:color w:val="4A5568"/>
          <w:sz w:val="18"/>
          <w:szCs w:val="18"/>
        </w:rPr>
        <w:t xml:space="preserve">Source : INAMI, Bureau fédéral du Plan, KCE (Centre fédéral d’expertise des soins de santé), Fédération des CPAS.</w:t>
      </w:r>
    </w:p>
    <w:p>
      <w:pPr>
        <w:pStyle w:val="Heading1"/>
      </w:pPr>
      <w:r>
        <w:t xml:space="preserve">2. État de droit — plus de 9 000 décisions de justice ignorées</w:t>
      </w:r>
    </w:p>
    <w:p>
      <w:pPr>
        <w:spacing w:after="160"/>
      </w:pPr>
      <w:r>
        <w:t xml:space="preserve">L’État belge est le plus gros justiciable défaillant de son propre système judiciaire. Il est condamné, il ne s’exécute pas, et aucun mécanisme effectif ne l’y contraint.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Décisions de justice non exécutées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C53030"/>
                <w:sz w:val="20"/>
                <w:szCs w:val="20"/>
              </w:rPr>
              <w:t xml:space="preserve">Plus de 9 000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Mécanisme de contrainte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Inexistant dans la pratique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Conséquence constitutionnelle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Violation systémique de l’art. 33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Principe constitutionnel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« Tous les pouvoirs émanent de la Nation »</w:t>
            </w:r>
          </w:p>
        </w:tc>
      </w:tr>
    </w:tbl>
    <w:p>
      <w:pPr>
        <w:spacing w:before="100" w:after="240"/>
      </w:pPr>
      <w:r>
        <w:rPr>
          <w:i/>
          <w:iCs/>
          <w:color w:val="4A5568"/>
          <w:sz w:val="18"/>
          <w:szCs w:val="18"/>
        </w:rPr>
        <w:t xml:space="preserve">Source : Cour des comptes, rapports parlementaires, doctrine constitutionnelle belge.</w:t>
      </w:r>
    </w:p>
    <w:p>
      <w:pPr>
        <w:pStyle w:val="Heading1"/>
      </w:pPr>
      <w:r>
        <w:t xml:space="preserve">3. Particratie — une Constitution vidée par la discipline de parti</w:t>
      </w:r>
    </w:p>
    <w:p>
      <w:pPr>
        <w:spacing w:after="160"/>
      </w:pPr>
      <w:r>
        <w:t xml:space="preserve">La Constitution belge organise un système de représentation où les élus sont censés représenter la Nation, pas leur parti. La pratique a inversé ce principe sans modifier les textes.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Votes selon discipline de parti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C53030"/>
                <w:sz w:val="20"/>
                <w:szCs w:val="20"/>
              </w:rPr>
              <w:t xml:space="preserve">~98 % des scrutins parlementaires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Mandat impératif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Interdit par la Constitution (art. 42)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Pratique effective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Discipline de parti systématique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Durée formation gvt Arizona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541 jours de négociation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Contrôle citoyen effectif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Quasi inexistant entre deux élections</w:t>
            </w:r>
          </w:p>
        </w:tc>
      </w:tr>
    </w:tbl>
    <w:p>
      <w:pPr>
        <w:spacing w:before="100" w:after="240"/>
      </w:pPr>
      <w:r>
        <w:rPr>
          <w:i/>
          <w:iCs/>
          <w:color w:val="4A5568"/>
          <w:sz w:val="18"/>
          <w:szCs w:val="18"/>
        </w:rPr>
        <w:t xml:space="preserve">Source : analyses parlementaires, CRISP, doctrine constitutionnelle (art. 33, 42, 142+).</w:t>
      </w:r>
    </w:p>
    <w:p>
      <w:pPr>
        <w:pStyle w:val="Heading1"/>
      </w:pPr>
      <w:r>
        <w:t xml:space="preserve">4. Stigmatisation médiatique — le procès public des malades</w:t>
      </w:r>
    </w:p>
    <w:p>
      <w:pPr>
        <w:spacing w:after="160"/>
      </w:pPr>
      <w:r>
        <w:t xml:space="preserve">En janvier 2025, le documentaire « Sans boulot : tous fraudeurs ? » (RTL-TVI) a filmé des malades longue durée en caméra cachée, avec un cadrage systématiquement à charge et une musique de thriller. Aucun droit de réponse structuré n’a été accordé.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Documentaire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« Sans boulot : tous fraudeurs ? » (RTL-TVI)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Procédés utilisés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Caméra cachée, musique anxiogène, cadrage à charge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Droit de réponse accordé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Aucun (structuré)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Population ciblée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Malades longue durée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Effet documenté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Vague de stigmatisation, témoignages de patients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Objectif citoyen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C53030"/>
                <w:sz w:val="20"/>
                <w:szCs w:val="20"/>
              </w:rPr>
              <w:t xml:space="preserve">50 signatures organisationnelles de mise en demeure</w:t>
            </w:r>
          </w:p>
        </w:tc>
      </w:tr>
    </w:tbl>
    <w:p>
      <w:pPr>
        <w:spacing w:before="100" w:after="240"/>
      </w:pPr>
      <w:r>
        <w:rPr>
          <w:i/>
          <w:iCs/>
          <w:color w:val="4A5568"/>
          <w:sz w:val="18"/>
          <w:szCs w:val="18"/>
        </w:rPr>
        <w:t xml:space="preserve">Source : associations de patients, CSA, témoignages collectés, veille ouaisfieu.be.</w:t>
      </w:r>
    </w:p>
    <w:p>
      <w:pPr>
        <w:pStyle w:val="Heading1"/>
      </w:pPr>
      <w:r>
        <w:t xml:space="preserve">5. Le cimetière des budgets sociaux — projections Arizona 2025–2042</w:t>
      </w:r>
    </w:p>
    <w:p>
      <w:pPr>
        <w:spacing w:after="160"/>
      </w:pPr>
      <w:r>
        <w:t xml:space="preserve">L’accord de coalition Arizona prévoit des coupes structurelles sur les postes qui touchent directement les populations les plus précaires. Les projections ci-dessous croisent les documents budgétaires publiés et les modélisations du Bureau fédéral du Plan.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Coupes cumulées 2025–2042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C53030"/>
                <w:sz w:val="20"/>
                <w:szCs w:val="20"/>
              </w:rPr>
              <w:t xml:space="preserve">3,86 milliards €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Postes affectés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CPAS, santé mentale, aide à la jeunesse, logement social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Santé mentale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Déjà sous-financée de 40 % (KCE)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Hausse demandes aide alimentaire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Tendance haussière continue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Population directement impactée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C53030"/>
                <w:sz w:val="20"/>
                <w:szCs w:val="20"/>
              </w:rPr>
              <w:t xml:space="preserve">978 000 personnes + familles</w:t>
            </w:r>
          </w:p>
        </w:tc>
      </w:tr>
    </w:tbl>
    <w:p>
      <w:pPr>
        <w:spacing w:before="100" w:after="240"/>
      </w:pPr>
      <w:r>
        <w:rPr>
          <w:i/>
          <w:iCs/>
          <w:color w:val="4A5568"/>
          <w:sz w:val="18"/>
          <w:szCs w:val="18"/>
        </w:rPr>
        <w:t xml:space="preserve">Source : accord de coalition Arizona, Bureau fédéral du Plan, KCE, Fédération des CPAS.</w:t>
      </w:r>
    </w:p>
    <w:p>
      <w:pPr>
        <w:pBdr>
          <w:top w:val="single" w:color="D69E2E" w:sz="2"/>
          <w:bottom w:val="single" w:color="D69E2E" w:sz="2"/>
        </w:pBdr>
        <w:spacing w:before="300" w:after="200"/>
        <w:jc w:val="center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SYNTHÈSE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CE QU’ON VOUS 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CE QUI EST DOCUMENTÉ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ÉCART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« Les malades fraudent 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0,3 % de fraude détectée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C53030"/>
                <w:sz w:val="18"/>
                <w:szCs w:val="18"/>
              </w:rPr>
              <w:t xml:space="preserve">99,7 % de malades légitimes invisibilisés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« On n’a plus les moyens 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21 Mds€/an pour l’inactivité forcée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C53030"/>
                <w:sz w:val="18"/>
                <w:szCs w:val="18"/>
              </w:rPr>
              <w:t xml:space="preserve">On finance l’exclusion, pas l’inclusion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« L’État respecte la loi 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9 000+ jugements non exécutés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C53030"/>
                <w:sz w:val="18"/>
                <w:szCs w:val="18"/>
              </w:rPr>
              <w:t xml:space="preserve">L’État est le premier hors-la-loi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« Vos élus vous représentent 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98 % de votes selon le parti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C53030"/>
                <w:sz w:val="18"/>
                <w:szCs w:val="18"/>
              </w:rPr>
              <w:t xml:space="preserve">Le mandat impératif interdit est la norme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« L’austérité est nécessaire 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18"/>
                <w:szCs w:val="18"/>
              </w:rPr>
              <w:t xml:space="preserve">3,86 Mds€ de coupes sur les plus fragiles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C53030"/>
                <w:sz w:val="18"/>
                <w:szCs w:val="18"/>
              </w:rPr>
              <w:t xml:space="preserve">Les fragiles paient, les structures restent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Note méthodologique</w:t>
      </w:r>
    </w:p>
    <w:p>
      <w:pPr>
        <w:spacing w:after="160"/>
      </w:pPr>
      <w:r>
        <w:t xml:space="preserve">Ce communiqué ne contient aucune opinion. Il rassemble des données publiées par des institutions belges officielles : INAMI, Bureau fédéral du Plan, KCE, Cour des comptes, CRISP, Fédération des CPAS. Les projections budgétaires sont issues de l’accord de coalition Arizona et de ses annexes. La qualification de « particratie » est documentée par la littérature académique belge. Les conclusions sont laissées au lecteur.</w:t>
      </w:r>
    </w:p>
    <w:p>
      <w:pPr>
        <w:pBdr>
          <w:top w:val="single" w:color="48BB78" w:sz="1"/>
        </w:pBdr>
        <w:spacing w:before="360" w:after="100"/>
      </w:pPr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48BB78"/>
          <w:sz w:val="18"/>
          <w:szCs w:val="18"/>
        </w:rPr>
        <w:t xml:space="preserve">CONTACT PRESSE</w:t>
      </w:r>
    </w:p>
    <w:p>
      <w:pPr>
        <w:spacing w:after="160"/>
      </w:pPr>
      <w:r>
        <w:rPr>
          <w:b/>
          <w:bCs/>
          <w:color w:val="48BB78"/>
        </w:rPr>
        <w:t xml:space="preserve">ouaisfieu.be</w:t>
      </w:r>
      <w:r>
        <w:t xml:space="preserve"> — initiative citoyenne d’intelligence augmentée</w:t>
      </w:r>
    </w:p>
    <w:p>
      <w:pPr>
        <w:spacing w:after="160"/>
      </w:pPr>
      <w:r>
        <w:t xml:space="preserve">Web : </w:t>
      </w:r>
      <w:hyperlink w:history="1" r:id="rIdvcdykawabudjrxogmrump">
        <w:r>
          <w:rPr>
            <w:color w:val="48BB78"/>
            <w:u w:val="single"/>
          </w:rPr>
          <w:t xml:space="preserve">ouaisfieu.be</w:t>
        </w:r>
      </w:hyperlink>
    </w:p>
    <w:p>
      <w:pPr>
        <w:spacing w:after="160"/>
      </w:pPr>
      <w:r>
        <w:t xml:space="preserve">Licence : CC BY-NC 4.0 — reproduction et adaptation libres</w:t>
      </w:r>
    </w:p>
    <w:p>
      <w:pPr>
        <w:spacing w:after="120"/>
      </w:pPr>
      <w:r>
        <w:t xml:space="preserve"/>
      </w:r>
    </w:p>
    <w:p>
      <w:pPr>
        <w:spacing w:after="60"/>
        <w:jc w:val="center"/>
      </w:pPr>
      <w:r>
        <w:rPr>
          <w:color w:val="D69E2E"/>
          <w:sz w:val="28"/>
          <w:szCs w:val="28"/>
        </w:rPr>
        <w:t xml:space="preserve">• • •</w:t>
      </w:r>
    </w:p>
    <w:p>
      <w:pPr>
        <w:spacing w:after="40"/>
        <w:jc w:val="center"/>
      </w:pPr>
      <w:r>
        <w:rPr>
          <w:rFonts w:ascii="Georgia" w:cs="Georgia" w:eastAsia="Georgia" w:hAnsi="Georgia"/>
          <w:i/>
          <w:iCs/>
          <w:color w:val="4A5568"/>
          <w:sz w:val="22"/>
          <w:szCs w:val="22"/>
        </w:rPr>
        <w:t xml:space="preserve">« Il n’existe pas de pilote automatique pour la démocratie. »</w:t>
      </w:r>
    </w:p>
    <w:p>
      <w:pPr>
        <w:jc w:val="center"/>
      </w:pPr>
      <w:r>
        <w:rPr>
          <w:rFonts w:ascii="Georgia" w:cs="Georgia" w:eastAsia="Georgia" w:hAnsi="Georgia"/>
          <w:color w:val="4A5568"/>
          <w:sz w:val="20"/>
          <w:szCs w:val="20"/>
        </w:rPr>
        <w:t xml:space="preserve">Le cockpit est vide. Le reste, c’est à vous.</w:t>
      </w:r>
    </w:p>
    <w:sectPr>
      <w:headerReference w:type="default" r:id="rId6"/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ourier New" w:cs="Courier New" w:eastAsia="Courier New" w:hAnsi="Courier New"/>
        <w:color w:val="4A5568"/>
        <w:sz w:val="14"/>
        <w:szCs w:val="14"/>
      </w:rPr>
      <w:t xml:space="preserve">CC BY-NC 4.0 — ouaisfieu.be — Page </w:t>
    </w:r>
    <w:r>
      <w:rPr>
        <w:rFonts w:ascii="Courier New" w:cs="Courier New" w:eastAsia="Courier New" w:hAnsi="Courier New"/>
        <w:color w:val="4A556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Courier New" w:cs="Courier New" w:eastAsia="Courier New" w:hAnsi="Courier New"/>
        <w:color w:val="48BB78"/>
        <w:sz w:val="16"/>
        <w:szCs w:val="16"/>
      </w:rPr>
      <w:t xml:space="preserve">ouaisfieu.be</w:t>
    </w:r>
    <w:r>
      <w:rPr>
        <w:rFonts w:ascii="Courier New" w:cs="Courier New" w:eastAsia="Courier New" w:hAnsi="Courier New"/>
        <w:color w:val="4A5568"/>
        <w:sz w:val="16"/>
        <w:szCs w:val="16"/>
      </w:rPr>
      <w:t xml:space="preserve">  —  intelligence citoyenne augmentée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Georgia" w:cs="Georgia" w:eastAsia="Georgia" w:hAnsi="Georgia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Georgia" w:cs="Georgia" w:eastAsia="Georgia" w:hAnsi="Georgia"/>
      <w:b/>
      <w:bCs/>
      <w:color w:val="4A556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Georgia" w:cs="Georgia" w:eastAsia="Georgia" w:hAnsi="Georgia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vcdykawabudjrxogmrump" Type="http://schemas.openxmlformats.org/officeDocument/2006/relationships/hyperlink" Target="https://ouaisfieu.be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2026-02-07T20:07:29.858Z</dcterms:created>
  <dcterms:modified xsi:type="dcterms:W3CDTF">2026-02-07T20:07:29.859Z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