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JetBrains Mono" w:cs="JetBrains Mono" w:eastAsia="JetBrains Mono" w:hAnsi="JetBrains Mono"/>
          <w:b/>
          <w:bCs/>
          <w:color w:val="48BB78"/>
          <w:sz w:val="18"/>
          <w:szCs w:val="18"/>
        </w:rPr>
        <w:t xml:space="preserve">DOSSIER OUAISFIEU · MARS 2026</w:t>
      </w:r>
    </w:p>
    <w:p>
      <w:pPr>
        <w:pBdr>
          <w:bottom w:val="single" w:color="E53E3E" w:sz="6" w:space="8"/>
        </w:pBdr>
        <w:spacing w:after="60"/>
      </w:pPr>
      <w:r>
        <w:rPr>
          <w:rFonts w:ascii="Georgia" w:cs="Georgia" w:eastAsia="Georgia" w:hAnsi="Georgia"/>
          <w:b/>
          <w:bCs/>
          <w:color w:val="1A202C"/>
          <w:sz w:val="56"/>
          <w:szCs w:val="56"/>
        </w:rPr>
        <w:t xml:space="preserve">Obligé de Voter,</w:t>
      </w:r>
    </w:p>
    <w:p>
      <w:pPr>
        <w:spacing w:after="300"/>
      </w:pPr>
      <w:r>
        <w:rPr>
          <w:rFonts w:ascii="Georgia" w:cs="Georgia" w:eastAsia="Georgia" w:hAnsi="Georgia"/>
          <w:b/>
          <w:bCs/>
          <w:color w:val="E53E3E"/>
          <w:sz w:val="56"/>
          <w:szCs w:val="56"/>
        </w:rPr>
        <w:t xml:space="preserve">Interdit de Décider.</w:t>
      </w:r>
    </w:p>
    <w:p>
      <w:pPr>
        <w:spacing w:after="80"/>
      </w:pPr>
      <w:r>
        <w:rPr>
          <w:rFonts w:ascii="Georgia" w:cs="Georgia" w:eastAsia="Georgia" w:hAnsi="Georgia"/>
          <w:i/>
          <w:iCs/>
          <w:color w:val="4A5568"/>
          <w:sz w:val="28"/>
          <w:szCs w:val="28"/>
        </w:rPr>
        <w:t xml:space="preserve">Le paradoxe fondateur de la particratie belge</w:t>
      </w:r>
    </w:p>
    <w:p>
      <w:pPr>
        <w:spacing w:after="40"/>
      </w:pPr>
      <w:r>
        <w:rPr>
          <w:rFonts w:ascii="JetBrains Mono" w:cs="JetBrains Mono" w:eastAsia="JetBrains Mono" w:hAnsi="JetBrains Mono"/>
          <w:color w:val="4A5568"/>
          <w:sz w:val="16"/>
          <w:szCs w:val="16"/>
        </w:rPr>
        <w:t xml:space="preserve">Vote obligatoire (Art. 62) × Référendum interdit (Art. 33) × Discipline à 99,73%</w:t>
      </w:r>
    </w:p>
    <w:p>
      <w:pPr>
        <w:spacing w:after="40"/>
      </w:pPr>
      <w:r>
        <w:rPr>
          <w:rFonts w:ascii="JetBrains Mono" w:cs="JetBrains Mono" w:eastAsia="JetBrains Mono" w:hAnsi="JetBrains Mono"/>
          <w:color w:val="4A5568"/>
          <w:sz w:val="16"/>
          <w:szCs w:val="16"/>
        </w:rPr>
        <w:t xml:space="preserve">Dossier consolidé : 270+ documents du corpus ouaisfieu</w:t>
      </w:r>
    </w:p>
    <w:p>
      <w:pPr>
        <w:spacing w:after="200"/>
      </w:pPr>
    </w:p>
    <w:p>
      <w:pPr>
        <w:spacing w:after="200"/>
      </w:pPr>
    </w:p>
    <w:p>
      <w:pPr>
        <w:spacing w:after="200"/>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E2E8F0" w:sz="1"/>
              <w:left w:val="single" w:color="E2E8F0" w:sz="1"/>
              <w:bottom w:val="single" w:color="E2E8F0" w:sz="1"/>
              <w:right w:val="single" w:color="E2E8F0" w:sz="1"/>
            </w:tcBorders>
            <w:shd w:fill="0C0C12" w:val="clear"/>
            <w:tcMar>
              <w:top w:type="dxa" w:w="60"/>
              <w:left w:type="dxa" w:w="80"/>
              <w:bottom w:type="dxa" w:w="60"/>
              <w:right w:type="dxa" w:w="80"/>
            </w:tcMar>
          </w:tcPr>
          <w:p>
            <w:r>
              <w:rPr>
                <w:rFonts w:ascii="JetBrains Mono" w:cs="JetBrains Mono" w:eastAsia="JetBrains Mono" w:hAnsi="JetBrains Mono"/>
                <w:b/>
                <w:bCs/>
                <w:color w:val="FFFFFF"/>
                <w:sz w:val="16"/>
                <w:szCs w:val="16"/>
              </w:rPr>
              <w:t xml:space="preserve">CONFIANCE</w:t>
            </w:r>
          </w:p>
        </w:tc>
        <w:tc>
          <w:tcPr>
            <w:tcW w:type="dxa" w:w="2257"/>
            <w:tcBorders>
              <w:top w:val="single" w:color="E2E8F0" w:sz="1"/>
              <w:left w:val="single" w:color="E2E8F0" w:sz="1"/>
              <w:bottom w:val="single" w:color="E2E8F0" w:sz="1"/>
              <w:right w:val="single" w:color="E2E8F0" w:sz="1"/>
            </w:tcBorders>
            <w:shd w:fill="0C0C12" w:val="clear"/>
            <w:tcMar>
              <w:top w:type="dxa" w:w="60"/>
              <w:left w:type="dxa" w:w="80"/>
              <w:bottom w:type="dxa" w:w="60"/>
              <w:right w:type="dxa" w:w="80"/>
            </w:tcMar>
          </w:tcPr>
          <w:p>
            <w:r>
              <w:rPr>
                <w:rFonts w:ascii="JetBrains Mono" w:cs="JetBrains Mono" w:eastAsia="JetBrains Mono" w:hAnsi="JetBrains Mono"/>
                <w:b/>
                <w:bCs/>
                <w:color w:val="FFFFFF"/>
                <w:sz w:val="16"/>
                <w:szCs w:val="16"/>
              </w:rPr>
              <w:t xml:space="preserve">FINANCEMENT</w:t>
            </w:r>
          </w:p>
        </w:tc>
        <w:tc>
          <w:tcPr>
            <w:tcW w:type="dxa" w:w="2256"/>
            <w:tcBorders>
              <w:top w:val="single" w:color="E2E8F0" w:sz="1"/>
              <w:left w:val="single" w:color="E2E8F0" w:sz="1"/>
              <w:bottom w:val="single" w:color="E2E8F0" w:sz="1"/>
              <w:right w:val="single" w:color="E2E8F0" w:sz="1"/>
            </w:tcBorders>
            <w:shd w:fill="0C0C12" w:val="clear"/>
            <w:tcMar>
              <w:top w:type="dxa" w:w="60"/>
              <w:left w:type="dxa" w:w="80"/>
              <w:bottom w:type="dxa" w:w="60"/>
              <w:right w:type="dxa" w:w="80"/>
            </w:tcMar>
          </w:tcPr>
          <w:p>
            <w:r>
              <w:rPr>
                <w:rFonts w:ascii="JetBrains Mono" w:cs="JetBrains Mono" w:eastAsia="JetBrains Mono" w:hAnsi="JetBrains Mono"/>
                <w:b/>
                <w:bCs/>
                <w:color w:val="FFFFFF"/>
                <w:sz w:val="16"/>
                <w:szCs w:val="16"/>
              </w:rPr>
              <w:t xml:space="preserve">RÉFÉRENDUMS</w:t>
            </w:r>
          </w:p>
        </w:tc>
        <w:tc>
          <w:tcPr>
            <w:tcW w:type="dxa" w:w="2257"/>
            <w:tcBorders>
              <w:top w:val="single" w:color="E2E8F0" w:sz="1"/>
              <w:left w:val="single" w:color="E2E8F0" w:sz="1"/>
              <w:bottom w:val="single" w:color="E2E8F0" w:sz="1"/>
              <w:right w:val="single" w:color="E2E8F0" w:sz="1"/>
            </w:tcBorders>
            <w:shd w:fill="0C0C12" w:val="clear"/>
            <w:tcMar>
              <w:top w:type="dxa" w:w="60"/>
              <w:left w:type="dxa" w:w="80"/>
              <w:bottom w:type="dxa" w:w="60"/>
              <w:right w:type="dxa" w:w="80"/>
            </w:tcMar>
          </w:tcPr>
          <w:p>
            <w:r>
              <w:rPr>
                <w:rFonts w:ascii="JetBrains Mono" w:cs="JetBrains Mono" w:eastAsia="JetBrains Mono" w:hAnsi="JetBrains Mono"/>
                <w:b/>
                <w:bCs/>
                <w:color w:val="FFFFFF"/>
                <w:sz w:val="16"/>
                <w:szCs w:val="16"/>
              </w:rPr>
              <w:t xml:space="preserve">ABSTENTION 2024</w:t>
            </w:r>
          </w:p>
        </w:tc>
      </w:tr>
      <w:tr>
        <w:tc>
          <w:tcPr>
            <w:tcW w:type="dxa" w:w="2256"/>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E53E3E"/>
                <w:sz w:val="18"/>
                <w:szCs w:val="18"/>
              </w:rPr>
              <w:t xml:space="preserve">8%</w:t>
            </w:r>
          </w:p>
        </w:tc>
        <w:tc>
          <w:tcPr>
            <w:tcW w:type="dxa" w:w="2257"/>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9F7AEA"/>
                <w:sz w:val="18"/>
                <w:szCs w:val="18"/>
              </w:rPr>
              <w:t xml:space="preserve">188,3 M€/an</w:t>
            </w:r>
          </w:p>
        </w:tc>
        <w:tc>
          <w:tcPr>
            <w:tcW w:type="dxa" w:w="2256"/>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D69E2E"/>
                <w:sz w:val="18"/>
                <w:szCs w:val="18"/>
              </w:rPr>
              <w:t xml:space="preserve">0 depuis 1831</w:t>
            </w:r>
          </w:p>
        </w:tc>
        <w:tc>
          <w:tcPr>
            <w:tcW w:type="dxa" w:w="2257"/>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2F855A"/>
                <w:sz w:val="18"/>
                <w:szCs w:val="18"/>
              </w:rPr>
              <w:t xml:space="preserve">1.050.000</w:t>
            </w:r>
          </w:p>
        </w:tc>
      </w:tr>
      <w:tr>
        <w:tc>
          <w:tcPr>
            <w:tcW w:type="dxa" w:w="2256"/>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Solidaris 2025</w:t>
            </w:r>
          </w:p>
        </w:tc>
        <w:tc>
          <w:tcPr>
            <w:tcW w:type="dxa" w:w="2257"/>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Maddens, KU Leuven</w:t>
            </w:r>
          </w:p>
        </w:tc>
        <w:tc>
          <w:tcPr>
            <w:tcW w:type="dxa" w:w="2256"/>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Constitution belge</w:t>
            </w:r>
          </w:p>
        </w:tc>
        <w:tc>
          <w:tcPr>
            <w:tcW w:type="dxa" w:w="2257"/>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SPF Intérieur</w:t>
            </w:r>
          </w:p>
        </w:tc>
      </w:tr>
    </w:tbl>
    <w:p>
      <w:pPr>
        <w:spacing w:after="200"/>
      </w:pPr>
    </w:p>
    <w:p>
      <w:pPr>
        <w:spacing w:after="200"/>
      </w:pPr>
    </w:p>
    <w:p>
      <w:pPr>
        <w:spacing w:after="40"/>
      </w:pPr>
      <w:r>
        <w:rPr>
          <w:rFonts w:ascii="JetBrains Mono" w:cs="JetBrains Mono" w:eastAsia="JetBrains Mono" w:hAnsi="JetBrains Mono"/>
          <w:color w:val="4A5568"/>
          <w:sz w:val="16"/>
          <w:szCs w:val="16"/>
        </w:rPr>
        <w:t xml:space="preserve">ouaisfieu · ccplc.eu — Yan &amp; Claude (Anthropic)</w:t>
      </w:r>
    </w:p>
    <w:p>
      <w:r>
        <w:rPr>
          <w:rFonts w:ascii="JetBrains Mono" w:cs="JetBrains Mono" w:eastAsia="JetBrains Mono" w:hAnsi="JetBrains Mono"/>
          <w:color w:val="4A5568"/>
          <w:sz w:val="14"/>
          <w:szCs w:val="14"/>
        </w:rPr>
        <w:t xml:space="preserve">CC BY-NC 4.0 · Fork · Hack · Spread</w:t>
      </w:r>
    </w:p>
    <w:p>
      <w:pPr>
        <w:sectPr>
          <w:pgSz w:w="11906" w:h="16838" w:orient="portrait"/>
          <w:pgMar w:top="2880" w:right="1440" w:bottom="1440" w:left="1440" w:header="708" w:footer="708" w:gutter="0"/>
          <w:pgNumType/>
          <w:docGrid w:linePitch="360"/>
        </w:sectPr>
      </w:pP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 : un paradoxe qui n’en est pas un</w:t>
      </w:r>
    </w:p>
    <w:p>
      <w:pPr>
        <w:spacing w:after="120" w:line="276"/>
      </w:pPr>
      <w:r>
        <w:rPr>
          <w:rFonts w:ascii="Georgia" w:cs="Georgia" w:eastAsia="Georgia" w:hAnsi="Georgia"/>
          <w:sz w:val="21"/>
          <w:szCs w:val="21"/>
        </w:rPr>
        <w:t xml:space="preserve">La Belgique est le </w:t>
      </w:r>
      <w:r>
        <w:rPr>
          <w:rFonts w:ascii="Georgia" w:cs="Georgia" w:eastAsia="Georgia" w:hAnsi="Georgia"/>
          <w:b/>
          <w:bCs/>
          <w:sz w:val="21"/>
          <w:szCs w:val="21"/>
        </w:rPr>
        <w:t xml:space="preserve">seul pays de l’Union européenne</w:t>
      </w:r>
      <w:r>
        <w:rPr>
          <w:rFonts w:ascii="Georgia" w:cs="Georgia" w:eastAsia="Georgia" w:hAnsi="Georgia"/>
          <w:sz w:val="21"/>
          <w:szCs w:val="21"/>
        </w:rPr>
        <w:t xml:space="preserve"> à combiner vote obligatoire et interdiction constitutionnelle du référendum national. Ce dossier consolide l’ensemble des recherches du corpus ouaisfieu — 270+ documents analytiques — pour démontrer que cette combinaison n’est pas un hasard historique mais une </w:t>
      </w:r>
      <w:r>
        <w:rPr>
          <w:rFonts w:ascii="Georgia" w:cs="Georgia" w:eastAsia="Georgia" w:hAnsi="Georgia"/>
          <w:b/>
          <w:bCs/>
          <w:sz w:val="21"/>
          <w:szCs w:val="21"/>
        </w:rPr>
        <w:t xml:space="preserve">architecture systémique cohérente</w:t>
      </w:r>
      <w:r>
        <w:rPr>
          <w:rFonts w:ascii="Georgia" w:cs="Georgia" w:eastAsia="Georgia" w:hAnsi="Georgia"/>
          <w:sz w:val="21"/>
          <w:szCs w:val="21"/>
        </w:rPr>
        <w:t xml:space="preserve"> où le citoyen est constitutionnellement tenu de légitimer un système qu’il ne peut jamais contraindre directement.</w:t>
      </w:r>
    </w:p>
    <w:p>
      <w:pPr>
        <w:spacing w:after="120" w:line="276"/>
      </w:pPr>
      <w:r>
        <w:rPr>
          <w:rFonts w:ascii="Georgia" w:cs="Georgia" w:eastAsia="Georgia" w:hAnsi="Georgia"/>
          <w:sz w:val="21"/>
          <w:szCs w:val="21"/>
        </w:rPr>
        <w:t xml:space="preserve">Trois verrous s’emboîtent : l’</w:t>
      </w:r>
      <w:r>
        <w:rPr>
          <w:rFonts w:ascii="Georgia" w:cs="Georgia" w:eastAsia="Georgia" w:hAnsi="Georgia"/>
          <w:b/>
          <w:bCs/>
          <w:sz w:val="21"/>
          <w:szCs w:val="21"/>
        </w:rPr>
        <w:t xml:space="preserve">article 62</w:t>
      </w:r>
      <w:r>
        <w:rPr>
          <w:rFonts w:ascii="Georgia" w:cs="Georgia" w:eastAsia="Georgia" w:hAnsi="Georgia"/>
          <w:sz w:val="21"/>
          <w:szCs w:val="21"/>
        </w:rPr>
        <w:t xml:space="preserve"> (vote obligatoire depuis 1893), l’</w:t>
      </w:r>
      <w:r>
        <w:rPr>
          <w:rFonts w:ascii="Georgia" w:cs="Georgia" w:eastAsia="Georgia" w:hAnsi="Georgia"/>
          <w:b/>
          <w:bCs/>
          <w:sz w:val="21"/>
          <w:szCs w:val="21"/>
        </w:rPr>
        <w:t xml:space="preserve">article 33</w:t>
      </w:r>
      <w:r>
        <w:rPr>
          <w:rFonts w:ascii="Georgia" w:cs="Georgia" w:eastAsia="Georgia" w:hAnsi="Georgia"/>
          <w:sz w:val="21"/>
          <w:szCs w:val="21"/>
        </w:rPr>
        <w:t xml:space="preserve"> (interdiction du référendum depuis 1831), et la </w:t>
      </w:r>
      <w:r>
        <w:rPr>
          <w:rFonts w:ascii="Georgia" w:cs="Georgia" w:eastAsia="Georgia" w:hAnsi="Georgia"/>
          <w:b/>
          <w:bCs/>
          <w:sz w:val="21"/>
          <w:szCs w:val="21"/>
        </w:rPr>
        <w:t xml:space="preserve">particratie</w:t>
      </w:r>
      <w:r>
        <w:rPr>
          <w:rFonts w:ascii="Georgia" w:cs="Georgia" w:eastAsia="Georgia" w:hAnsi="Georgia"/>
          <w:sz w:val="21"/>
          <w:szCs w:val="21"/>
        </w:rPr>
        <w:t xml:space="preserve"> (discipline de vote à 99,73%, financement public à 188,3 M€/an). Le résultat : 8% de confiance envers les partis (Solidaris 2025), zéro référendum en 195 ans, et des mécanismes participatifs décoratifs dont aucun panel fédéral n’a jamais été activé.</w:t>
      </w:r>
    </w:p>
    <w:p>
      <w:pPr>
        <w:spacing w:after="120" w:line="276"/>
      </w:pPr>
      <w:r>
        <w:rPr>
          <w:rFonts w:ascii="Georgia" w:cs="Georgia" w:eastAsia="Georgia" w:hAnsi="Georgia"/>
          <w:sz w:val="21"/>
          <w:szCs w:val="21"/>
        </w:rPr>
        <w:t xml:space="preserve">Ce dossier fait suite à la bombe sémantique HTML </w:t>
      </w:r>
      <w:r>
        <w:rPr>
          <w:rFonts w:ascii="Georgia" w:cs="Georgia" w:eastAsia="Georgia" w:hAnsi="Georgia"/>
          <w:i/>
          <w:iCs/>
          <w:sz w:val="21"/>
          <w:szCs w:val="21"/>
        </w:rPr>
        <w:t xml:space="preserve">« Obligé de Voter, Interdit de Décider »</w:t>
      </w:r>
      <w:r>
        <w:rPr>
          <w:rFonts w:ascii="Georgia" w:cs="Georgia" w:eastAsia="Georgia" w:hAnsi="Georgia"/>
          <w:sz w:val="21"/>
          <w:szCs w:val="21"/>
        </w:rPr>
        <w:t xml:space="preserve"> (ouaisfi.eu, mars 2026) et consolide les apports de nos dossiers antérieurs : </w:t>
      </w:r>
      <w:r>
        <w:rPr>
          <w:rFonts w:ascii="Georgia" w:cs="Georgia" w:eastAsia="Georgia" w:hAnsi="Georgia"/>
          <w:i/>
          <w:iCs/>
          <w:sz w:val="21"/>
          <w:szCs w:val="21"/>
        </w:rPr>
        <w:t xml:space="preserve">Fusion exécutif-législatif en Belgique</w:t>
      </w:r>
      <w:r>
        <w:rPr>
          <w:rFonts w:ascii="Georgia" w:cs="Georgia" w:eastAsia="Georgia" w:hAnsi="Georgia"/>
          <w:sz w:val="21"/>
          <w:szCs w:val="21"/>
        </w:rPr>
        <w:t xml:space="preserve">, </w:t>
      </w:r>
      <w:r>
        <w:rPr>
          <w:rFonts w:ascii="Georgia" w:cs="Georgia" w:eastAsia="Georgia" w:hAnsi="Georgia"/>
          <w:i/>
          <w:iCs/>
          <w:sz w:val="21"/>
          <w:szCs w:val="21"/>
        </w:rPr>
        <w:t xml:space="preserve">La dépossession du pouvoir d’agir citoyen</w:t>
      </w:r>
      <w:r>
        <w:rPr>
          <w:rFonts w:ascii="Georgia" w:cs="Georgia" w:eastAsia="Georgia" w:hAnsi="Georgia"/>
          <w:sz w:val="21"/>
          <w:szCs w:val="21"/>
        </w:rPr>
        <w:t xml:space="preserve">, </w:t>
      </w:r>
      <w:r>
        <w:rPr>
          <w:rFonts w:ascii="Georgia" w:cs="Georgia" w:eastAsia="Georgia" w:hAnsi="Georgia"/>
          <w:i/>
          <w:iCs/>
          <w:sz w:val="21"/>
          <w:szCs w:val="21"/>
        </w:rPr>
        <w:t xml:space="preserve">Belgique : Particratie, Citoyenneté et Totalitarisme</w:t>
      </w:r>
      <w:r>
        <w:rPr>
          <w:rFonts w:ascii="Georgia" w:cs="Georgia" w:eastAsia="Georgia" w:hAnsi="Georgia"/>
          <w:sz w:val="21"/>
          <w:szCs w:val="21"/>
        </w:rPr>
        <w:t xml:space="preserve">, </w:t>
      </w:r>
      <w:r>
        <w:rPr>
          <w:rFonts w:ascii="Georgia" w:cs="Georgia" w:eastAsia="Georgia" w:hAnsi="Georgia"/>
          <w:i/>
          <w:iCs/>
          <w:sz w:val="21"/>
          <w:szCs w:val="21"/>
        </w:rPr>
        <w:t xml:space="preserve">Le Manifeste du Prolotariat</w:t>
      </w:r>
      <w:r>
        <w:rPr>
          <w:rFonts w:ascii="Georgia" w:cs="Georgia" w:eastAsia="Georgia" w:hAnsi="Georgia"/>
          <w:sz w:val="21"/>
          <w:szCs w:val="21"/>
        </w:rPr>
        <w:t xml:space="preserve">, et le </w:t>
      </w:r>
      <w:r>
        <w:rPr>
          <w:rFonts w:ascii="Georgia" w:cs="Georgia" w:eastAsia="Georgia" w:hAnsi="Georgia"/>
          <w:i/>
          <w:iCs/>
          <w:sz w:val="21"/>
          <w:szCs w:val="21"/>
        </w:rPr>
        <w:t xml:space="preserve">Rapport qOUFTI</w:t>
      </w:r>
      <w:r>
        <w:rPr>
          <w:rFonts w:ascii="Georgia" w:cs="Georgia" w:eastAsia="Georgia" w:hAnsi="Georgia"/>
          <w:sz w:val="21"/>
          <w:szCs w:val="21"/>
        </w:rPr>
        <w:t xml:space="preserve">.</w:t>
      </w:r>
    </w:p>
    <w:p>
      <w:r>
        <w:br w:type="page"/>
      </w:r>
    </w:p>
    <w:p>
      <w:pPr>
        <w:pStyle w:val="Heading1"/>
      </w:pPr>
      <w:r>
        <w:t xml:space="preserve">I. Le piège constitutionnel : deux articles, un système clos</w:t>
      </w:r>
    </w:p>
    <w:p>
      <w:pPr>
        <w:pStyle w:val="Heading2"/>
      </w:pPr>
      <w:r>
        <w:t xml:space="preserve">1.1 L’obligation de voter : un tigre de papier</w:t>
      </w:r>
    </w:p>
    <w:p>
      <w:pPr>
        <w:spacing w:after="120" w:line="276"/>
      </w:pPr>
      <w:r>
        <w:rPr>
          <w:rFonts w:ascii="Georgia" w:cs="Georgia" w:eastAsia="Georgia" w:hAnsi="Georgia"/>
          <w:sz w:val="21"/>
          <w:szCs w:val="21"/>
        </w:rPr>
        <w:t xml:space="preserve">L’article 62 de la Constitution belge impose le vote obligatoire depuis le </w:t>
      </w:r>
      <w:r>
        <w:rPr>
          <w:rFonts w:ascii="Georgia" w:cs="Georgia" w:eastAsia="Georgia" w:hAnsi="Georgia"/>
          <w:b/>
          <w:bCs/>
          <w:sz w:val="21"/>
          <w:szCs w:val="21"/>
        </w:rPr>
        <w:t xml:space="preserve">7 septembre 1893</w:t>
      </w:r>
      <w:r>
        <w:rPr>
          <w:rFonts w:ascii="Georgia" w:cs="Georgia" w:eastAsia="Georgia" w:hAnsi="Georgia"/>
          <w:sz w:val="21"/>
          <w:szCs w:val="21"/>
        </w:rPr>
        <w:t xml:space="preserve">, simultanément avec le suffrage universel masculin plural. L’électorat passa de 136 755 à 1 370 687 votants, l’abstention chutant de 27% à 5,4% dès 1894. L’extension aux femmes intervint en </w:t>
      </w:r>
      <w:r>
        <w:rPr>
          <w:rFonts w:ascii="Georgia" w:cs="Georgia" w:eastAsia="Georgia" w:hAnsi="Georgia"/>
          <w:b/>
          <w:bCs/>
          <w:sz w:val="21"/>
          <w:szCs w:val="21"/>
        </w:rPr>
        <w:t xml:space="preserve">1948</w:t>
      </w:r>
      <w:r>
        <w:rPr>
          <w:rFonts w:ascii="Georgia" w:cs="Georgia" w:eastAsia="Georgia" w:hAnsi="Georgia"/>
          <w:sz w:val="21"/>
          <w:szCs w:val="21"/>
        </w:rPr>
        <w:t xml:space="preserve">.</w:t>
      </w:r>
    </w:p>
    <w:p>
      <w:pPr>
        <w:spacing w:after="120" w:line="276"/>
      </w:pPr>
      <w:r>
        <w:rPr>
          <w:rFonts w:ascii="Georgia" w:cs="Georgia" w:eastAsia="Georgia" w:hAnsi="Georgia"/>
          <w:sz w:val="21"/>
          <w:szCs w:val="21"/>
        </w:rPr>
        <w:t xml:space="preserve">Les sanctions théoriques existent : </w:t>
      </w:r>
      <w:r>
        <w:rPr>
          <w:rFonts w:ascii="Georgia" w:cs="Georgia" w:eastAsia="Georgia" w:hAnsi="Georgia"/>
          <w:b/>
          <w:bCs/>
          <w:sz w:val="21"/>
          <w:szCs w:val="21"/>
        </w:rPr>
        <w:t xml:space="preserve">40 à 80 €</w:t>
      </w:r>
      <w:r>
        <w:rPr>
          <w:rFonts w:ascii="Georgia" w:cs="Georgia" w:eastAsia="Georgia" w:hAnsi="Georgia"/>
          <w:sz w:val="21"/>
          <w:szCs w:val="21"/>
        </w:rPr>
        <w:t xml:space="preserve"> d’amende (Code électoral, art. 207-210), </w:t>
      </w:r>
      <w:r>
        <w:rPr>
          <w:rFonts w:ascii="Georgia" w:cs="Georgia" w:eastAsia="Georgia" w:hAnsi="Georgia"/>
          <w:b/>
          <w:bCs/>
          <w:sz w:val="21"/>
          <w:szCs w:val="21"/>
        </w:rPr>
        <w:t xml:space="preserve">80 à 200 €</w:t>
      </w:r>
      <w:r>
        <w:rPr>
          <w:rFonts w:ascii="Georgia" w:cs="Georgia" w:eastAsia="Georgia" w:hAnsi="Georgia"/>
          <w:sz w:val="21"/>
          <w:szCs w:val="21"/>
        </w:rPr>
        <w:t xml:space="preserve"> en récidive, radiation après quatre abstentions en quinze ans. Mais </w:t>
      </w:r>
      <w:r>
        <w:rPr>
          <w:rFonts w:ascii="Georgia" w:cs="Georgia" w:eastAsia="Georgia" w:hAnsi="Georgia"/>
          <w:b/>
          <w:bCs/>
          <w:sz w:val="21"/>
          <w:szCs w:val="21"/>
        </w:rPr>
        <w:t xml:space="preserve">aucun électeur n’a été condamné depuis 2003</w:t>
      </w:r>
      <w:r>
        <w:rPr>
          <w:rFonts w:ascii="Georgia" w:cs="Georgia" w:eastAsia="Georgia" w:hAnsi="Georgia"/>
          <w:sz w:val="21"/>
          <w:szCs w:val="21"/>
        </w:rPr>
        <w:t xml:space="preserve">. En 2007, on comptait 12 poursuites pour ~690 000 non-votants.</w:t>
      </w:r>
    </w:p>
    <w:p>
      <w:pPr>
        <w:spacing w:after="120" w:line="276"/>
      </w:pPr>
      <w:r>
        <w:rPr>
          <w:rFonts w:ascii="Georgia" w:cs="Georgia" w:eastAsia="Georgia" w:hAnsi="Georgia"/>
          <w:sz w:val="21"/>
          <w:szCs w:val="21"/>
        </w:rPr>
        <w:t xml:space="preserve">En </w:t>
      </w:r>
      <w:r>
        <w:rPr>
          <w:rFonts w:ascii="Georgia" w:cs="Georgia" w:eastAsia="Georgia" w:hAnsi="Georgia"/>
          <w:b/>
          <w:bCs/>
          <w:sz w:val="21"/>
          <w:szCs w:val="21"/>
        </w:rPr>
        <w:t xml:space="preserve">2024</w:t>
      </w:r>
      <w:r>
        <w:rPr>
          <w:rFonts w:ascii="Georgia" w:cs="Georgia" w:eastAsia="Georgia" w:hAnsi="Georgia"/>
          <w:sz w:val="21"/>
          <w:szCs w:val="21"/>
        </w:rPr>
        <w:t xml:space="preserve">, l’abstention a battu tous les records : plus de </w:t>
      </w:r>
      <w:r>
        <w:rPr>
          <w:rFonts w:ascii="JetBrains Mono" w:cs="JetBrains Mono" w:eastAsia="JetBrains Mono" w:hAnsi="JetBrains Mono"/>
          <w:b/>
          <w:bCs/>
          <w:color w:val="E53E3E"/>
          <w:sz w:val="21"/>
          <w:szCs w:val="21"/>
        </w:rPr>
        <w:t xml:space="preserve">1 050 000 non-votants</w:t>
      </w:r>
      <w:r>
        <w:rPr>
          <w:rFonts w:ascii="Georgia" w:cs="Georgia" w:eastAsia="Georgia" w:hAnsi="Georgia"/>
          <w:sz w:val="21"/>
          <w:szCs w:val="21"/>
        </w:rPr>
        <w:t xml:space="preserve"> (~12,5% de l’électorat), auxquels s’ajoutent 415 912 votes blancs et nuls. En combinant abstention et votes invalides, environ </w:t>
      </w:r>
      <w:r>
        <w:rPr>
          <w:rFonts w:ascii="Georgia" w:cs="Georgia" w:eastAsia="Georgia" w:hAnsi="Georgia"/>
          <w:b/>
          <w:bCs/>
          <w:sz w:val="21"/>
          <w:szCs w:val="21"/>
        </w:rPr>
        <w:t xml:space="preserve">1,3 million d’électeurs</w:t>
      </w:r>
      <w:r>
        <w:rPr>
          <w:rFonts w:ascii="Georgia" w:cs="Georgia" w:eastAsia="Georgia" w:hAnsi="Georgia"/>
          <w:sz w:val="21"/>
          <w:szCs w:val="21"/>
        </w:rPr>
        <w:t xml:space="preserve"> (17%) n’expriment aucun suffrage valable. Selon la politologue Audrey Vandeleene (ULB, 2024), seuls </w:t>
      </w:r>
      <w:r>
        <w:rPr>
          <w:rFonts w:ascii="Georgia" w:cs="Georgia" w:eastAsia="Georgia" w:hAnsi="Georgia"/>
          <w:b/>
          <w:bCs/>
          <w:sz w:val="21"/>
          <w:szCs w:val="21"/>
        </w:rPr>
        <w:t xml:space="preserve">50 à 60%</w:t>
      </w:r>
      <w:r>
        <w:rPr>
          <w:rFonts w:ascii="Georgia" w:cs="Georgia" w:eastAsia="Georgia" w:hAnsi="Georgia"/>
          <w:sz w:val="21"/>
          <w:szCs w:val="21"/>
        </w:rPr>
        <w:t xml:space="preserve"> des Belges voteraient sans obligation légale.</w:t>
      </w:r>
    </w:p>
    <w:p>
      <w:pPr>
        <w:spacing w:after="120" w:line="276"/>
      </w:pPr>
      <w:r>
        <w:rPr>
          <w:rFonts w:ascii="Georgia" w:cs="Georgia" w:eastAsia="Georgia" w:hAnsi="Georgia"/>
          <w:sz w:val="21"/>
          <w:szCs w:val="21"/>
        </w:rPr>
        <w:t xml:space="preserve">L’expérience flamande le confirme : lors des communales du </w:t>
      </w:r>
      <w:r>
        <w:rPr>
          <w:rFonts w:ascii="Georgia" w:cs="Georgia" w:eastAsia="Georgia" w:hAnsi="Georgia"/>
          <w:b/>
          <w:bCs/>
          <w:sz w:val="21"/>
          <w:szCs w:val="21"/>
        </w:rPr>
        <w:t xml:space="preserve">13 octobre 2024</w:t>
      </w:r>
      <w:r>
        <w:rPr>
          <w:rFonts w:ascii="Georgia" w:cs="Georgia" w:eastAsia="Georgia" w:hAnsi="Georgia"/>
          <w:sz w:val="21"/>
          <w:szCs w:val="21"/>
        </w:rPr>
        <w:t xml:space="preserve"> — premières sans opkomstplicht —, la participation est tombée à </w:t>
      </w:r>
      <w:r>
        <w:rPr>
          <w:rFonts w:ascii="JetBrains Mono" w:cs="JetBrains Mono" w:eastAsia="JetBrains Mono" w:hAnsi="JetBrains Mono"/>
          <w:b/>
          <w:bCs/>
          <w:color w:val="E53E3E"/>
          <w:sz w:val="21"/>
          <w:szCs w:val="21"/>
        </w:rPr>
        <w:t xml:space="preserve">63,6%</w:t>
      </w:r>
      <w:r>
        <w:rPr>
          <w:rFonts w:ascii="Georgia" w:cs="Georgia" w:eastAsia="Georgia" w:hAnsi="Georgia"/>
          <w:sz w:val="21"/>
          <w:szCs w:val="21"/>
        </w:rPr>
        <w:t xml:space="preserve">, avec certaines communes sous 54%.</w:t>
      </w:r>
    </w:p>
    <w:p>
      <w:pPr>
        <w:spacing w:before="80" w:after="200"/>
      </w:pPr>
      <w:r>
        <w:rPr>
          <w:rFonts w:ascii="JetBrains Mono" w:cs="JetBrains Mono" w:eastAsia="JetBrains Mono" w:hAnsi="JetBrains Mono"/>
          <w:i/>
          <w:iCs/>
          <w:color w:val="4A5568"/>
          <w:sz w:val="14"/>
          <w:szCs w:val="14"/>
        </w:rPr>
        <w:t xml:space="preserve">Sources : Constitution belge Art. 62 · Code électoral art. 207-210 · SPF Intérieur · VRT NWS (13/10/2024) · Vandeleene (ULB, 2024) · RTBF 2024</w:t>
      </w:r>
    </w:p>
    <w:p>
      <w:pPr>
        <w:pStyle w:val="Heading2"/>
      </w:pPr>
      <w:r>
        <w:t xml:space="preserve">1.2 L’interdiction du référendum : le verrou de 1831</w:t>
      </w:r>
    </w:p>
    <w:p>
      <w:pPr>
        <w:spacing w:after="120" w:line="276"/>
      </w:pPr>
      <w:r>
        <w:rPr>
          <w:rFonts w:ascii="Georgia" w:cs="Georgia" w:eastAsia="Georgia" w:hAnsi="Georgia"/>
          <w:sz w:val="21"/>
          <w:szCs w:val="21"/>
        </w:rPr>
        <w:t xml:space="preserve">L’article 33, inchangé depuis le </w:t>
      </w:r>
      <w:r>
        <w:rPr>
          <w:rFonts w:ascii="Georgia" w:cs="Georgia" w:eastAsia="Georgia" w:hAnsi="Georgia"/>
          <w:b/>
          <w:bCs/>
          <w:sz w:val="21"/>
          <w:szCs w:val="21"/>
        </w:rPr>
        <w:t xml:space="preserve">7 février 1831</w:t>
      </w:r>
      <w:r>
        <w:rPr>
          <w:rFonts w:ascii="Georgia" w:cs="Georgia" w:eastAsia="Georgia" w:hAnsi="Georgia"/>
          <w:sz w:val="21"/>
          <w:szCs w:val="21"/>
        </w:rPr>
        <w:t xml:space="preserve">, dispose : « Tous les pouvoirs émanent de la Nation. Ils sont exercés de la manière établie par la Constitution. » La section de législation du Conseil d’État a érigé cette disposition en interdiction absolue du référendum fédéral à travers quatre avis majeurs :</w:t>
      </w:r>
    </w:p>
    <w:p>
      <w:pPr>
        <w:pStyle w:val="ListParagraph"/>
        <w:numPr>
          <w:ilvl w:val="0"/>
          <w:numId w:val="2"/>
        </w:numPr>
        <w:spacing w:after="60" w:line="276"/>
      </w:pPr>
      <w:r>
        <w:rPr>
          <w:rFonts w:ascii="Georgia" w:cs="Georgia" w:eastAsia="Georgia" w:hAnsi="Georgia"/>
          <w:b/>
          <w:bCs/>
          <w:sz w:val="21"/>
          <w:szCs w:val="21"/>
        </w:rPr>
        <w:t xml:space="preserve">Avis n° 15.853 (15 mai 1985) </w:t>
      </w:r>
      <w:r>
        <w:rPr>
          <w:rFonts w:ascii="Georgia" w:cs="Georgia" w:eastAsia="Georgia" w:hAnsi="Georgia"/>
          <w:sz w:val="21"/>
          <w:szCs w:val="21"/>
        </w:rPr>
        <w:t xml:space="preserve">— doc. parl. n° 783/2, sur les missiles de croisière : incompatibilité constitutionnelle de toute consultation populaire.</w:t>
      </w:r>
    </w:p>
    <w:p>
      <w:pPr>
        <w:pStyle w:val="ListParagraph"/>
        <w:numPr>
          <w:ilvl w:val="0"/>
          <w:numId w:val="2"/>
        </w:numPr>
        <w:spacing w:after="60" w:line="276"/>
      </w:pPr>
      <w:r>
        <w:rPr>
          <w:rFonts w:ascii="Georgia" w:cs="Georgia" w:eastAsia="Georgia" w:hAnsi="Georgia"/>
          <w:b/>
          <w:bCs/>
          <w:sz w:val="21"/>
          <w:szCs w:val="21"/>
        </w:rPr>
        <w:t xml:space="preserve">Avis du 19 mai 1989 </w:t>
      </w:r>
      <w:r>
        <w:rPr>
          <w:rFonts w:ascii="Georgia" w:cs="Georgia" w:eastAsia="Georgia" w:hAnsi="Georgia"/>
          <w:sz w:val="21"/>
          <w:szCs w:val="21"/>
        </w:rPr>
        <w:t xml:space="preserve">— doc. Sénat n° 595/4 : confirmation.</w:t>
      </w:r>
    </w:p>
    <w:p>
      <w:pPr>
        <w:pStyle w:val="ListParagraph"/>
        <w:numPr>
          <w:ilvl w:val="0"/>
          <w:numId w:val="2"/>
        </w:numPr>
        <w:spacing w:after="60" w:line="276"/>
      </w:pPr>
      <w:r>
        <w:rPr>
          <w:rFonts w:ascii="Georgia" w:cs="Georgia" w:eastAsia="Georgia" w:hAnsi="Georgia"/>
          <w:b/>
          <w:bCs/>
          <w:sz w:val="21"/>
          <w:szCs w:val="21"/>
        </w:rPr>
        <w:t xml:space="preserve">Avis du 3 octobre 2002 </w:t>
      </w:r>
      <w:r>
        <w:rPr>
          <w:rFonts w:ascii="Georgia" w:cs="Georgia" w:eastAsia="Georgia" w:hAnsi="Georgia"/>
          <w:sz w:val="21"/>
          <w:szCs w:val="21"/>
        </w:rPr>
        <w:t xml:space="preserve">— réaffirmation de la position.</w:t>
      </w:r>
    </w:p>
    <w:p>
      <w:pPr>
        <w:pStyle w:val="ListParagraph"/>
        <w:numPr>
          <w:ilvl w:val="0"/>
          <w:numId w:val="2"/>
        </w:numPr>
        <w:spacing w:after="60" w:line="276"/>
      </w:pPr>
      <w:r>
        <w:rPr>
          <w:rFonts w:ascii="Georgia" w:cs="Georgia" w:eastAsia="Georgia" w:hAnsi="Georgia"/>
          <w:b/>
          <w:bCs/>
          <w:sz w:val="21"/>
          <w:szCs w:val="21"/>
        </w:rPr>
        <w:t xml:space="preserve">Avis n° 37.804 (29 novembre 2004) </w:t>
      </w:r>
      <w:r>
        <w:rPr>
          <w:rFonts w:ascii="Georgia" w:cs="Georgia" w:eastAsia="Georgia" w:hAnsi="Georgia"/>
          <w:sz w:val="21"/>
          <w:szCs w:val="21"/>
        </w:rPr>
        <w:t xml:space="preserve">— doc. Chambre n° 281/4, sur le Traité constitutionnel européen : même une consultation est inconstitutionnelle.</w:t>
      </w:r>
    </w:p>
    <w:p>
      <w:pPr>
        <w:spacing w:after="120" w:line="276"/>
      </w:pPr>
      <w:r>
        <w:rPr>
          <w:rFonts w:ascii="Georgia" w:cs="Georgia" w:eastAsia="Georgia" w:hAnsi="Georgia"/>
          <w:sz w:val="21"/>
          <w:szCs w:val="21"/>
        </w:rPr>
        <w:t xml:space="preserve">L’article 42 complète le verrouillage : « Les membres des deux Chambres représentent la Nation, et non uniquement ceux qui les ont élus. » Le député ne doit rien à ses électeurs. Et pourtant, il obéit quasi systématiquement à son président de parti.</w:t>
      </w:r>
    </w:p>
    <w:p>
      <w:pPr>
        <w:spacing w:before="80" w:after="200"/>
      </w:pPr>
      <w:r>
        <w:rPr>
          <w:rFonts w:ascii="JetBrains Mono" w:cs="JetBrains Mono" w:eastAsia="JetBrains Mono" w:hAnsi="JetBrains Mono"/>
          <w:i/>
          <w:iCs/>
          <w:color w:val="4A5568"/>
          <w:sz w:val="14"/>
          <w:szCs w:val="14"/>
        </w:rPr>
        <w:t xml:space="preserve">Sources : Constitution belge Art. 33, 42 · Conseil d’État, avis n° 15.853/1985 et n° 37.804/2004 · Sénat, « Renforcement de la participation citoyenne » (2021)</w:t>
      </w:r>
    </w:p>
    <w:p>
      <w:pPr>
        <w:pStyle w:val="Heading2"/>
      </w:pPr>
      <w:r>
        <w:t xml:space="preserve">1.3 La doctrine constitutionnelle</w:t>
      </w:r>
    </w:p>
    <w:p>
      <w:pPr>
        <w:pBdr>
          <w:left w:val="single" w:color="9F7AEA" w:sz="8" w:space="8"/>
        </w:pBdr>
        <w:spacing w:before="200" w:after="40"/>
        <w:ind w:left="720" w:right="720"/>
      </w:pPr>
      <w:r>
        <w:rPr>
          <w:rFonts w:ascii="Georgia" w:cs="Georgia" w:eastAsia="Georgia" w:hAnsi="Georgia"/>
          <w:i/>
          <w:iCs/>
          <w:color w:val="1A202C"/>
          <w:sz w:val="22"/>
          <w:szCs w:val="22"/>
        </w:rPr>
        <w:t xml:space="preserve">« La Constitution prohibe le référendum législatif et doit a fortiori ne pas laisser place au référendum constituant. »</w:t>
      </w:r>
    </w:p>
    <w:p>
      <w:pPr>
        <w:spacing w:after="200"/>
        <w:ind w:left="720"/>
      </w:pPr>
      <w:r>
        <w:rPr>
          <w:rFonts w:ascii="JetBrains Mono" w:cs="JetBrains Mono" w:eastAsia="JetBrains Mono" w:hAnsi="JetBrains Mono"/>
          <w:color w:val="9F7AEA"/>
          <w:sz w:val="16"/>
          <w:szCs w:val="16"/>
        </w:rPr>
        <w:t xml:space="preserve">— Francis Delpérée, UCLouvain</w:t>
      </w:r>
    </w:p>
    <w:p>
      <w:pPr>
        <w:spacing w:after="120" w:line="276"/>
      </w:pPr>
      <w:r>
        <w:rPr>
          <w:rFonts w:ascii="Georgia" w:cs="Georgia" w:eastAsia="Georgia" w:hAnsi="Georgia"/>
          <w:b/>
          <w:bCs/>
          <w:sz w:val="21"/>
          <w:szCs w:val="21"/>
        </w:rPr>
        <w:t xml:space="preserve">Marc Uyttendaele</w:t>
      </w:r>
      <w:r>
        <w:rPr>
          <w:rFonts w:ascii="Georgia" w:cs="Georgia" w:eastAsia="Georgia" w:hAnsi="Georgia"/>
          <w:sz w:val="21"/>
          <w:szCs w:val="21"/>
        </w:rPr>
        <w:t xml:space="preserve"> (ULB) qualifie le référendum de « réponse inadaptée à une question pertinente », invoquant quatre objections : coalisation de mécontentements contradictoires, binarisme du oui/non, complexité technique, dramatisation irrationnelle — plus l’argument spécifiquement belge d’une majorité flamande (57,96%) pouvant imposer ses vues.</w:t>
      </w:r>
    </w:p>
    <w:p>
      <w:pPr>
        <w:spacing w:after="120" w:line="276"/>
      </w:pPr>
      <w:r>
        <w:rPr>
          <w:rFonts w:ascii="Georgia" w:cs="Georgia" w:eastAsia="Georgia" w:hAnsi="Georgia"/>
          <w:b/>
          <w:bCs/>
          <w:sz w:val="21"/>
          <w:szCs w:val="21"/>
        </w:rPr>
        <w:t xml:space="preserve">Christian Behrendt</w:t>
      </w:r>
      <w:r>
        <w:rPr>
          <w:rFonts w:ascii="Georgia" w:cs="Georgia" w:eastAsia="Georgia" w:hAnsi="Georgia"/>
          <w:sz w:val="21"/>
          <w:szCs w:val="21"/>
        </w:rPr>
        <w:t xml:space="preserve"> (ULiège) reprend André Alen : « Des référendums au niveau fédéral semblent impossibles dans la Belgique bipartite. » </w:t>
      </w:r>
      <w:r>
        <w:rPr>
          <w:rFonts w:ascii="Georgia" w:cs="Georgia" w:eastAsia="Georgia" w:hAnsi="Georgia"/>
          <w:b/>
          <w:bCs/>
          <w:sz w:val="21"/>
          <w:szCs w:val="21"/>
        </w:rPr>
        <w:t xml:space="preserve">Hugues Dumont</w:t>
      </w:r>
      <w:r>
        <w:rPr>
          <w:rFonts w:ascii="Georgia" w:cs="Georgia" w:eastAsia="Georgia" w:hAnsi="Georgia"/>
          <w:sz w:val="21"/>
          <w:szCs w:val="21"/>
        </w:rPr>
        <w:t xml:space="preserve"> (USL-B) distingue « nation diachronique » et « nation synchronique ». </w:t>
      </w:r>
      <w:r>
        <w:rPr>
          <w:rFonts w:ascii="Georgia" w:cs="Georgia" w:eastAsia="Georgia" w:hAnsi="Georgia"/>
          <w:b/>
          <w:bCs/>
          <w:sz w:val="21"/>
          <w:szCs w:val="21"/>
        </w:rPr>
        <w:t xml:space="preserve">Anne-Emmanuelle Bourgaux</w:t>
      </w:r>
      <w:r>
        <w:rPr>
          <w:rFonts w:ascii="Georgia" w:cs="Georgia" w:eastAsia="Georgia" w:hAnsi="Georgia"/>
          <w:sz w:val="21"/>
          <w:szCs w:val="21"/>
        </w:rPr>
        <w:t xml:space="preserve"> (ULB, thèse 2013) est la voix dissidente : l’interdiction ne serait pas aussi absolue que le prétend le Conseil d’État.</w:t>
      </w:r>
    </w:p>
    <w:p>
      <w:pPr>
        <w:spacing w:before="80" w:after="200"/>
      </w:pPr>
      <w:r>
        <w:rPr>
          <w:rFonts w:ascii="JetBrains Mono" w:cs="JetBrains Mono" w:eastAsia="JetBrains Mono" w:hAnsi="JetBrains Mono"/>
          <w:i/>
          <w:iCs/>
          <w:color w:val="4A5568"/>
          <w:sz w:val="14"/>
          <w:szCs w:val="14"/>
        </w:rPr>
        <w:t xml:space="preserve">Sources : Delpérée, Le droit constitutionnel de la Belgique · Uyttendaele, Cairn.info · Dumont, OpenEdition · Bourgaux, thèse ULB 2013 · Behrendt &amp; Bouhon, Introduction à la théorie générale de l’État</w:t>
      </w:r>
    </w:p>
    <w:p>
      <w:r>
        <w:br w:type="page"/>
      </w:r>
    </w:p>
    <w:p>
      <w:pPr>
        <w:pStyle w:val="Heading1"/>
      </w:pPr>
      <w:r>
        <w:t xml:space="preserve">II. La Question Royale de 1950 : le traumatisme fondateur</w:t>
      </w:r>
    </w:p>
    <w:p>
      <w:pPr>
        <w:spacing w:after="120" w:line="276"/>
      </w:pPr>
      <w:r>
        <w:rPr>
          <w:rFonts w:ascii="Georgia" w:cs="Georgia" w:eastAsia="Georgia" w:hAnsi="Georgia"/>
          <w:sz w:val="21"/>
          <w:szCs w:val="21"/>
        </w:rPr>
        <w:t xml:space="preserve">La loi du </w:t>
      </w:r>
      <w:r>
        <w:rPr>
          <w:rFonts w:ascii="Georgia" w:cs="Georgia" w:eastAsia="Georgia" w:hAnsi="Georgia"/>
          <w:b/>
          <w:bCs/>
          <w:sz w:val="21"/>
          <w:szCs w:val="21"/>
        </w:rPr>
        <w:t xml:space="preserve">11 février 1950</w:t>
      </w:r>
      <w:r>
        <w:rPr>
          <w:rFonts w:ascii="Georgia" w:cs="Georgia" w:eastAsia="Georgia" w:hAnsi="Georgia"/>
          <w:sz w:val="21"/>
          <w:szCs w:val="21"/>
        </w:rPr>
        <w:t xml:space="preserve"> organise un vote consultatif sur le retour de Léopold III. Résultat national : </w:t>
      </w:r>
      <w:r>
        <w:rPr>
          <w:rFonts w:ascii="Georgia" w:cs="Georgia" w:eastAsia="Georgia" w:hAnsi="Georgia"/>
          <w:b/>
          <w:bCs/>
          <w:sz w:val="21"/>
          <w:szCs w:val="21"/>
        </w:rPr>
        <w:t xml:space="preserve">57,68% de oui</w:t>
      </w:r>
      <w:r>
        <w:rPr>
          <w:rFonts w:ascii="Georgia" w:cs="Georgia" w:eastAsia="Georgia" w:hAnsi="Georgia"/>
          <w:sz w:val="21"/>
          <w:szCs w:val="21"/>
        </w:rPr>
        <w:t xml:space="preserve"> (2 933 382 voix). Mais la fracture régionale est béante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E2E8F0" w:sz="1"/>
              <w:left w:val="single" w:color="E2E8F0" w:sz="1"/>
              <w:bottom w:val="single" w:color="E2E8F0" w:sz="1"/>
              <w:right w:val="single" w:color="E2E8F0" w:sz="1"/>
            </w:tcBorders>
            <w:shd w:fill="0C0C12" w:val="clear"/>
            <w:tcMar>
              <w:top w:type="dxa" w:w="60"/>
              <w:left w:type="dxa" w:w="80"/>
              <w:bottom w:type="dxa" w:w="60"/>
              <w:right w:type="dxa" w:w="80"/>
            </w:tcMar>
          </w:tcPr>
          <w:p>
            <w:r>
              <w:rPr>
                <w:rFonts w:ascii="JetBrains Mono" w:cs="JetBrains Mono" w:eastAsia="JetBrains Mono" w:hAnsi="JetBrains Mono"/>
                <w:b/>
                <w:bCs/>
                <w:color w:val="FFFFFF"/>
                <w:sz w:val="16"/>
                <w:szCs w:val="16"/>
              </w:rPr>
              <w:t xml:space="preserve">FLANDRE</w:t>
            </w:r>
          </w:p>
        </w:tc>
        <w:tc>
          <w:tcPr>
            <w:tcW w:type="dxa" w:w="2257"/>
            <w:tcBorders>
              <w:top w:val="single" w:color="E2E8F0" w:sz="1"/>
              <w:left w:val="single" w:color="E2E8F0" w:sz="1"/>
              <w:bottom w:val="single" w:color="E2E8F0" w:sz="1"/>
              <w:right w:val="single" w:color="E2E8F0" w:sz="1"/>
            </w:tcBorders>
            <w:shd w:fill="0C0C12" w:val="clear"/>
            <w:tcMar>
              <w:top w:type="dxa" w:w="60"/>
              <w:left w:type="dxa" w:w="80"/>
              <w:bottom w:type="dxa" w:w="60"/>
              <w:right w:type="dxa" w:w="80"/>
            </w:tcMar>
          </w:tcPr>
          <w:p>
            <w:r>
              <w:rPr>
                <w:rFonts w:ascii="JetBrains Mono" w:cs="JetBrains Mono" w:eastAsia="JetBrains Mono" w:hAnsi="JetBrains Mono"/>
                <w:b/>
                <w:bCs/>
                <w:color w:val="FFFFFF"/>
                <w:sz w:val="16"/>
                <w:szCs w:val="16"/>
              </w:rPr>
              <w:t xml:space="preserve">WALLONIE</w:t>
            </w:r>
          </w:p>
        </w:tc>
        <w:tc>
          <w:tcPr>
            <w:tcW w:type="dxa" w:w="2256"/>
            <w:tcBorders>
              <w:top w:val="single" w:color="E2E8F0" w:sz="1"/>
              <w:left w:val="single" w:color="E2E8F0" w:sz="1"/>
              <w:bottom w:val="single" w:color="E2E8F0" w:sz="1"/>
              <w:right w:val="single" w:color="E2E8F0" w:sz="1"/>
            </w:tcBorders>
            <w:shd w:fill="0C0C12" w:val="clear"/>
            <w:tcMar>
              <w:top w:type="dxa" w:w="60"/>
              <w:left w:type="dxa" w:w="80"/>
              <w:bottom w:type="dxa" w:w="60"/>
              <w:right w:type="dxa" w:w="80"/>
            </w:tcMar>
          </w:tcPr>
          <w:p>
            <w:r>
              <w:rPr>
                <w:rFonts w:ascii="JetBrains Mono" w:cs="JetBrains Mono" w:eastAsia="JetBrains Mono" w:hAnsi="JetBrains Mono"/>
                <w:b/>
                <w:bCs/>
                <w:color w:val="FFFFFF"/>
                <w:sz w:val="16"/>
                <w:szCs w:val="16"/>
              </w:rPr>
              <w:t xml:space="preserve">BRUXELLES</w:t>
            </w:r>
          </w:p>
        </w:tc>
        <w:tc>
          <w:tcPr>
            <w:tcW w:type="dxa" w:w="2257"/>
            <w:tcBorders>
              <w:top w:val="single" w:color="E2E8F0" w:sz="1"/>
              <w:left w:val="single" w:color="E2E8F0" w:sz="1"/>
              <w:bottom w:val="single" w:color="E2E8F0" w:sz="1"/>
              <w:right w:val="single" w:color="E2E8F0" w:sz="1"/>
            </w:tcBorders>
            <w:shd w:fill="0C0C12" w:val="clear"/>
            <w:tcMar>
              <w:top w:type="dxa" w:w="60"/>
              <w:left w:type="dxa" w:w="80"/>
              <w:bottom w:type="dxa" w:w="60"/>
              <w:right w:type="dxa" w:w="80"/>
            </w:tcMar>
          </w:tcPr>
          <w:p>
            <w:r>
              <w:rPr>
                <w:rFonts w:ascii="JetBrains Mono" w:cs="JetBrains Mono" w:eastAsia="JetBrains Mono" w:hAnsi="JetBrains Mono"/>
                <w:b/>
                <w:bCs/>
                <w:color w:val="FFFFFF"/>
                <w:sz w:val="16"/>
                <w:szCs w:val="16"/>
              </w:rPr>
              <w:t xml:space="preserve">GRÂCE-BERLEUR</w:t>
            </w:r>
          </w:p>
        </w:tc>
      </w:tr>
      <w:tr>
        <w:tc>
          <w:tcPr>
            <w:tcW w:type="dxa" w:w="2256"/>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2F855A"/>
                <w:sz w:val="18"/>
                <w:szCs w:val="18"/>
              </w:rPr>
              <w:t xml:space="preserve">72% OUI</w:t>
            </w:r>
          </w:p>
        </w:tc>
        <w:tc>
          <w:tcPr>
            <w:tcW w:type="dxa" w:w="2257"/>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E53E3E"/>
                <w:sz w:val="18"/>
                <w:szCs w:val="18"/>
              </w:rPr>
              <w:t xml:space="preserve">42% OUI</w:t>
            </w:r>
          </w:p>
        </w:tc>
        <w:tc>
          <w:tcPr>
            <w:tcW w:type="dxa" w:w="2256"/>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D69E2E"/>
                <w:sz w:val="18"/>
                <w:szCs w:val="18"/>
              </w:rPr>
              <w:t xml:space="preserve">48% OUI</w:t>
            </w:r>
          </w:p>
        </w:tc>
        <w:tc>
          <w:tcPr>
            <w:tcW w:type="dxa" w:w="2257"/>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E53E3E"/>
                <w:sz w:val="18"/>
                <w:szCs w:val="18"/>
              </w:rPr>
              <w:t xml:space="preserve">4 morts</w:t>
            </w:r>
          </w:p>
        </w:tc>
      </w:tr>
    </w:tbl>
    <w:p>
      <w:pPr>
        <w:spacing w:after="200"/>
      </w:pPr>
    </w:p>
    <w:p>
      <w:pPr>
        <w:spacing w:after="120" w:line="276"/>
      </w:pPr>
      <w:r>
        <w:rPr>
          <w:rFonts w:ascii="Georgia" w:cs="Georgia" w:eastAsia="Georgia" w:hAnsi="Georgia"/>
          <w:sz w:val="21"/>
          <w:szCs w:val="21"/>
        </w:rPr>
        <w:t xml:space="preserve">Le retour de Léopold III le 22 juillet 1950 déclenche des grèves massives. Le </w:t>
      </w:r>
      <w:r>
        <w:rPr>
          <w:rFonts w:ascii="Georgia" w:cs="Georgia" w:eastAsia="Georgia" w:hAnsi="Georgia"/>
          <w:b/>
          <w:bCs/>
          <w:sz w:val="21"/>
          <w:szCs w:val="21"/>
        </w:rPr>
        <w:t xml:space="preserve">30 juillet, quatre ouvriers sont tués par balle à Grâce-Berleur</w:t>
      </w:r>
      <w:r>
        <w:rPr>
          <w:rFonts w:ascii="Georgia" w:cs="Georgia" w:eastAsia="Georgia" w:hAnsi="Georgia"/>
          <w:sz w:val="21"/>
          <w:szCs w:val="21"/>
        </w:rPr>
        <w:t xml:space="preserve"> (Liège). Abdication annoncée le 1er août. Depuis 75 ans, cet épisode sert de </w:t>
      </w:r>
      <w:r>
        <w:rPr>
          <w:rFonts w:ascii="Georgia" w:cs="Georgia" w:eastAsia="Georgia" w:hAnsi="Georgia"/>
          <w:b/>
          <w:bCs/>
          <w:sz w:val="21"/>
          <w:szCs w:val="21"/>
        </w:rPr>
        <w:t xml:space="preserve">vaccin constitutionnel</w:t>
      </w:r>
      <w:r>
        <w:rPr>
          <w:rFonts w:ascii="Georgia" w:cs="Georgia" w:eastAsia="Georgia" w:hAnsi="Georgia"/>
          <w:sz w:val="21"/>
          <w:szCs w:val="21"/>
        </w:rPr>
        <w:t xml:space="preserve"> contre tout référendum. Behrendt le qualifie de « contre-indication dirimante ».</w:t>
      </w:r>
    </w:p>
    <w:p>
      <w:pPr>
        <w:spacing w:after="120" w:line="276"/>
      </w:pPr>
      <w:r>
        <w:rPr>
          <w:rFonts w:ascii="Georgia" w:cs="Georgia" w:eastAsia="Georgia" w:hAnsi="Georgia"/>
          <w:sz w:val="21"/>
          <w:szCs w:val="21"/>
        </w:rPr>
        <w:t xml:space="preserve">L’argument ignore que la Belgique de 2026 a été entièrement restructurée : fédéralisée, compétences transférées, mécanismes de protection des minorités (sonnette d’alarme, majorités spéciales). Le traumatisme est fonctionnel : il dispense les partis de justifier rationnellement le verrouillage.</w:t>
      </w:r>
    </w:p>
    <w:p>
      <w:r>
        <w:br w:type="page"/>
      </w:r>
    </w:p>
    <w:p>
      <w:pPr>
        <w:pStyle w:val="Heading1"/>
      </w:pPr>
      <w:r>
        <w:t xml:space="preserve">III. La machine particratique : anatomie du verrouillage</w:t>
      </w:r>
    </w:p>
    <w:p>
      <w:pPr>
        <w:pStyle w:val="Heading2"/>
      </w:pPr>
      <w:r>
        <w:t xml:space="preserve">3.1 La discipline de vote</w:t>
      </w:r>
    </w:p>
    <w:p>
      <w:pPr>
        <w:spacing w:after="120" w:line="276"/>
      </w:pPr>
      <w:r>
        <w:rPr>
          <w:rFonts w:ascii="Georgia" w:cs="Georgia" w:eastAsia="Georgia" w:hAnsi="Georgia"/>
          <w:sz w:val="21"/>
          <w:szCs w:val="21"/>
        </w:rPr>
        <w:t xml:space="preserve">Le terme « particratie » fut forgé par </w:t>
      </w:r>
      <w:r>
        <w:rPr>
          <w:rFonts w:ascii="Georgia" w:cs="Georgia" w:eastAsia="Georgia" w:hAnsi="Georgia"/>
          <w:b/>
          <w:bCs/>
          <w:sz w:val="21"/>
          <w:szCs w:val="21"/>
        </w:rPr>
        <w:t xml:space="preserve">Marcel Grégoire</w:t>
      </w:r>
      <w:r>
        <w:rPr>
          <w:rFonts w:ascii="Georgia" w:cs="Georgia" w:eastAsia="Georgia" w:hAnsi="Georgia"/>
          <w:sz w:val="21"/>
          <w:szCs w:val="21"/>
        </w:rPr>
        <w:t xml:space="preserve"> en 1965. </w:t>
      </w:r>
      <w:r>
        <w:rPr>
          <w:rFonts w:ascii="Georgia" w:cs="Georgia" w:eastAsia="Georgia" w:hAnsi="Georgia"/>
          <w:b/>
          <w:bCs/>
          <w:sz w:val="21"/>
          <w:szCs w:val="21"/>
        </w:rPr>
        <w:t xml:space="preserve">Thibault Gaudin</w:t>
      </w:r>
      <w:r>
        <w:rPr>
          <w:rFonts w:ascii="Georgia" w:cs="Georgia" w:eastAsia="Georgia" w:hAnsi="Georgia"/>
          <w:sz w:val="21"/>
          <w:szCs w:val="21"/>
        </w:rPr>
        <w:t xml:space="preserve"> (Centre de droit public, ULB, « Carnet de crise » n° 14, 2020) a mesuré </w:t>
      </w:r>
      <w:r>
        <w:rPr>
          <w:rFonts w:ascii="JetBrains Mono" w:cs="JetBrains Mono" w:eastAsia="JetBrains Mono" w:hAnsi="JetBrains Mono"/>
          <w:b/>
          <w:bCs/>
          <w:color w:val="E53E3E"/>
          <w:sz w:val="21"/>
          <w:szCs w:val="21"/>
        </w:rPr>
        <w:t xml:space="preserve">99,73%</w:t>
      </w:r>
      <w:r>
        <w:rPr>
          <w:rFonts w:ascii="Georgia" w:cs="Georgia" w:eastAsia="Georgia" w:hAnsi="Georgia"/>
          <w:sz w:val="21"/>
          <w:szCs w:val="21"/>
        </w:rPr>
        <w:t xml:space="preserve"> de conformité partisane sur trois votes stratégiques. </w:t>
      </w:r>
      <w:r>
        <w:rPr>
          <w:rFonts w:ascii="Georgia" w:cs="Georgia" w:eastAsia="Georgia" w:hAnsi="Georgia"/>
          <w:b/>
          <w:bCs/>
          <w:sz w:val="21"/>
          <w:szCs w:val="21"/>
        </w:rPr>
        <w:t xml:space="preserve">Frederik Verleden</w:t>
      </w:r>
      <w:r>
        <w:rPr>
          <w:rFonts w:ascii="Georgia" w:cs="Georgia" w:eastAsia="Georgia" w:hAnsi="Georgia"/>
          <w:sz w:val="21"/>
          <w:szCs w:val="21"/>
        </w:rPr>
        <w:t xml:space="preserve"> (CRISP, Courrier hebdomadaire n° 2501-2504, 2021) a analysé </w:t>
      </w:r>
      <w:r>
        <w:rPr>
          <w:rFonts w:ascii="Georgia" w:cs="Georgia" w:eastAsia="Georgia" w:hAnsi="Georgia"/>
          <w:b/>
          <w:bCs/>
          <w:sz w:val="21"/>
          <w:szCs w:val="21"/>
        </w:rPr>
        <w:t xml:space="preserve">13 397 votes nominatifs</w:t>
      </w:r>
      <w:r>
        <w:rPr>
          <w:rFonts w:ascii="Georgia" w:cs="Georgia" w:eastAsia="Georgia" w:hAnsi="Georgia"/>
          <w:sz w:val="21"/>
          <w:szCs w:val="21"/>
        </w:rPr>
        <w:t xml:space="preserve"> en plénière de la Chambre (1995-2019), confirmant une discipline quasi absolue.</w:t>
      </w:r>
    </w:p>
    <w:p>
      <w:pPr>
        <w:pBdr>
          <w:left w:val="single" w:color="9F7AEA" w:sz="8" w:space="8"/>
        </w:pBdr>
        <w:spacing w:before="200" w:after="40"/>
        <w:ind w:left="720" w:right="720"/>
      </w:pPr>
      <w:r>
        <w:rPr>
          <w:rFonts w:ascii="Georgia" w:cs="Georgia" w:eastAsia="Georgia" w:hAnsi="Georgia"/>
          <w:i/>
          <w:iCs/>
          <w:color w:val="1A202C"/>
          <w:sz w:val="22"/>
          <w:szCs w:val="22"/>
        </w:rPr>
        <w:t xml:space="preserve">« Les assemblées s’apparentent à des chambres d’entérinement et sont délaissées par les médias. »</w:t>
      </w:r>
    </w:p>
    <w:p>
      <w:pPr>
        <w:spacing w:after="200"/>
        <w:ind w:left="720"/>
      </w:pPr>
      <w:r>
        <w:rPr>
          <w:rFonts w:ascii="JetBrains Mono" w:cs="JetBrains Mono" w:eastAsia="JetBrains Mono" w:hAnsi="JetBrains Mono"/>
          <w:color w:val="9F7AEA"/>
          <w:sz w:val="16"/>
          <w:szCs w:val="16"/>
        </w:rPr>
        <w:t xml:space="preserve">— Éthique publique, OpenEdition</w:t>
      </w:r>
    </w:p>
    <w:p>
      <w:pPr>
        <w:pBdr>
          <w:left w:val="single" w:color="9F7AEA" w:sz="8" w:space="8"/>
        </w:pBdr>
        <w:spacing w:before="200" w:after="40"/>
        <w:ind w:left="720" w:right="720"/>
      </w:pPr>
      <w:r>
        <w:rPr>
          <w:rFonts w:ascii="Georgia" w:cs="Georgia" w:eastAsia="Georgia" w:hAnsi="Georgia"/>
          <w:i/>
          <w:iCs/>
          <w:color w:val="1A202C"/>
          <w:sz w:val="22"/>
          <w:szCs w:val="22"/>
        </w:rPr>
        <w:t xml:space="preserve">« Nous avons négocié la réforme de l’État à huit personnes. Au Parlement, tout le monde a ensuite joué un spectacle. »</w:t>
      </w:r>
    </w:p>
    <w:p>
      <w:pPr>
        <w:spacing w:after="200"/>
        <w:ind w:left="720"/>
      </w:pPr>
      <w:r>
        <w:rPr>
          <w:rFonts w:ascii="JetBrains Mono" w:cs="JetBrains Mono" w:eastAsia="JetBrains Mono" w:hAnsi="JetBrains Mono"/>
          <w:color w:val="9F7AEA"/>
          <w:sz w:val="16"/>
          <w:szCs w:val="16"/>
        </w:rPr>
        <w:t xml:space="preserve">— Caroline Gennez, ancienne présidente du sp.a</w:t>
      </w:r>
    </w:p>
    <w:p>
      <w:pPr>
        <w:spacing w:after="120" w:line="276"/>
      </w:pPr>
      <w:r>
        <w:rPr>
          <w:rFonts w:ascii="Georgia" w:cs="Georgia" w:eastAsia="Georgia" w:hAnsi="Georgia"/>
          <w:sz w:val="21"/>
          <w:szCs w:val="21"/>
        </w:rPr>
        <w:t xml:space="preserve">Le CRISP (Courrier hebdomadaire n° 2483-2485, 2020) distingue quatre formes de discipline : </w:t>
      </w:r>
      <w:r>
        <w:rPr>
          <w:rFonts w:ascii="Georgia" w:cs="Georgia" w:eastAsia="Georgia" w:hAnsi="Georgia"/>
          <w:i/>
          <w:iCs/>
          <w:sz w:val="21"/>
          <w:szCs w:val="21"/>
        </w:rPr>
        <w:t xml:space="preserve">naturelle</w:t>
      </w:r>
      <w:r>
        <w:rPr>
          <w:rFonts w:ascii="Georgia" w:cs="Georgia" w:eastAsia="Georgia" w:hAnsi="Georgia"/>
          <w:sz w:val="21"/>
          <w:szCs w:val="21"/>
        </w:rPr>
        <w:t xml:space="preserve"> (convergence), </w:t>
      </w:r>
      <w:r>
        <w:rPr>
          <w:rFonts w:ascii="Georgia" w:cs="Georgia" w:eastAsia="Georgia" w:hAnsi="Georgia"/>
          <w:i/>
          <w:iCs/>
          <w:sz w:val="21"/>
          <w:szCs w:val="21"/>
        </w:rPr>
        <w:t xml:space="preserve">acquise</w:t>
      </w:r>
      <w:r>
        <w:rPr>
          <w:rFonts w:ascii="Georgia" w:cs="Georgia" w:eastAsia="Georgia" w:hAnsi="Georgia"/>
          <w:sz w:val="21"/>
          <w:szCs w:val="21"/>
        </w:rPr>
        <w:t xml:space="preserve"> (socialisation), </w:t>
      </w:r>
      <w:r>
        <w:rPr>
          <w:rFonts w:ascii="Georgia" w:cs="Georgia" w:eastAsia="Georgia" w:hAnsi="Georgia"/>
          <w:i/>
          <w:iCs/>
          <w:sz w:val="21"/>
          <w:szCs w:val="21"/>
        </w:rPr>
        <w:t xml:space="preserve">persuadée</w:t>
      </w:r>
      <w:r>
        <w:rPr>
          <w:rFonts w:ascii="Georgia" w:cs="Georgia" w:eastAsia="Georgia" w:hAnsi="Georgia"/>
          <w:sz w:val="21"/>
          <w:szCs w:val="21"/>
        </w:rPr>
        <w:t xml:space="preserve"> (incitations) et </w:t>
      </w:r>
      <w:r>
        <w:rPr>
          <w:rFonts w:ascii="Georgia" w:cs="Georgia" w:eastAsia="Georgia" w:hAnsi="Georgia"/>
          <w:i/>
          <w:iCs/>
          <w:sz w:val="21"/>
          <w:szCs w:val="21"/>
        </w:rPr>
        <w:t xml:space="preserve">imposée</w:t>
      </w:r>
      <w:r>
        <w:rPr>
          <w:rFonts w:ascii="Georgia" w:cs="Georgia" w:eastAsia="Georgia" w:hAnsi="Georgia"/>
          <w:sz w:val="21"/>
          <w:szCs w:val="21"/>
        </w:rPr>
        <w:t xml:space="preserve"> (sanctions). Les trois leviers concrets : placement sur les listes (effet dévolutif de la case de tête), contrôle financier (partis financent les campagnes), socialisation partisane.</w:t>
      </w:r>
    </w:p>
    <w:p>
      <w:pPr>
        <w:pStyle w:val="Heading2"/>
      </w:pPr>
      <w:r>
        <w:t xml:space="preserve">3.2 Le kern : cœur du pouvoir sans base juridique</w:t>
      </w:r>
    </w:p>
    <w:p>
      <w:pPr>
        <w:spacing w:after="120" w:line="276"/>
      </w:pPr>
      <w:r>
        <w:rPr>
          <w:rFonts w:ascii="Georgia" w:cs="Georgia" w:eastAsia="Georgia" w:hAnsi="Georgia"/>
          <w:sz w:val="21"/>
          <w:szCs w:val="21"/>
        </w:rPr>
        <w:t xml:space="preserve">Le Comité ministériel restreint ne possède </w:t>
      </w:r>
      <w:r>
        <w:rPr>
          <w:rFonts w:ascii="Georgia" w:cs="Georgia" w:eastAsia="Georgia" w:hAnsi="Georgia"/>
          <w:b/>
          <w:bCs/>
          <w:sz w:val="21"/>
          <w:szCs w:val="21"/>
        </w:rPr>
        <w:t xml:space="preserve">aucune base constitutionnelle ni légale</w:t>
      </w:r>
      <w:r>
        <w:rPr>
          <w:rFonts w:ascii="Georgia" w:cs="Georgia" w:eastAsia="Georgia" w:hAnsi="Georgia"/>
          <w:sz w:val="21"/>
          <w:szCs w:val="21"/>
        </w:rPr>
        <w:t xml:space="preserve">. Le CRISP (Faniel &amp; Sägesser, Courrier hebdomadaire n° 2560-2561, 2022) : « Les principales négociations s’y déroulent, le Conseil des ministres ne constituant parfois qu’une chambre d’entérinement. » Qualifié de « boîte noire de la démocratie belge » (La Libre, 2023).</w:t>
      </w:r>
    </w:p>
    <w:p>
      <w:pPr>
        <w:spacing w:after="120" w:line="276"/>
      </w:pPr>
      <w:r>
        <w:rPr>
          <w:rFonts w:ascii="Georgia" w:cs="Georgia" w:eastAsia="Georgia" w:hAnsi="Georgia"/>
          <w:sz w:val="21"/>
          <w:szCs w:val="21"/>
        </w:rPr>
        <w:t xml:space="preserve">Le circuit décisionnel réel, documenté dans notre dossier </w:t>
      </w:r>
      <w:r>
        <w:rPr>
          <w:rFonts w:ascii="Georgia" w:cs="Georgia" w:eastAsia="Georgia" w:hAnsi="Georgia"/>
          <w:i/>
          <w:iCs/>
          <w:sz w:val="21"/>
          <w:szCs w:val="21"/>
        </w:rPr>
        <w:t xml:space="preserve">Fusion exécutif-législatif</w:t>
      </w:r>
      <w:r>
        <w:rPr>
          <w:rFonts w:ascii="Georgia" w:cs="Georgia" w:eastAsia="Georgia" w:hAnsi="Georgia"/>
          <w:sz w:val="21"/>
          <w:szCs w:val="21"/>
        </w:rPr>
        <w:t xml:space="preserve"> : </w:t>
      </w:r>
      <w:r>
        <w:rPr>
          <w:rFonts w:ascii="Georgia" w:cs="Georgia" w:eastAsia="Georgia" w:hAnsi="Georgia"/>
          <w:b/>
          <w:bCs/>
          <w:sz w:val="21"/>
          <w:szCs w:val="21"/>
        </w:rPr>
        <w:t xml:space="preserve">Bureaux de parti</w:t>
      </w:r>
      <w:r>
        <w:rPr>
          <w:rFonts w:ascii="Georgia" w:cs="Georgia" w:eastAsia="Georgia" w:hAnsi="Georgia"/>
          <w:sz w:val="21"/>
          <w:szCs w:val="21"/>
        </w:rPr>
        <w:t xml:space="preserve"> (lundi) → </w:t>
      </w:r>
      <w:r>
        <w:rPr>
          <w:rFonts w:ascii="Georgia" w:cs="Georgia" w:eastAsia="Georgia" w:hAnsi="Georgia"/>
          <w:b/>
          <w:bCs/>
          <w:sz w:val="21"/>
          <w:szCs w:val="21"/>
        </w:rPr>
        <w:t xml:space="preserve">Réunions DAB</w:t>
      </w:r>
      <w:r>
        <w:rPr>
          <w:rFonts w:ascii="Georgia" w:cs="Georgia" w:eastAsia="Georgia" w:hAnsi="Georgia"/>
          <w:sz w:val="21"/>
          <w:szCs w:val="21"/>
        </w:rPr>
        <w:t xml:space="preserve"> (chefs de cabinet) → </w:t>
      </w:r>
      <w:r>
        <w:rPr>
          <w:rFonts w:ascii="Georgia" w:cs="Georgia" w:eastAsia="Georgia" w:hAnsi="Georgia"/>
          <w:b/>
          <w:bCs/>
          <w:sz w:val="21"/>
          <w:szCs w:val="21"/>
        </w:rPr>
        <w:t xml:space="preserve">Kern</w:t>
      </w:r>
      <w:r>
        <w:rPr>
          <w:rFonts w:ascii="Georgia" w:cs="Georgia" w:eastAsia="Georgia" w:hAnsi="Georgia"/>
          <w:sz w:val="21"/>
          <w:szCs w:val="21"/>
        </w:rPr>
        <w:t xml:space="preserve"> (arbitrage) → </w:t>
      </w:r>
      <w:r>
        <w:rPr>
          <w:rFonts w:ascii="Georgia" w:cs="Georgia" w:eastAsia="Georgia" w:hAnsi="Georgia"/>
          <w:b/>
          <w:bCs/>
          <w:sz w:val="21"/>
          <w:szCs w:val="21"/>
        </w:rPr>
        <w:t xml:space="preserve">Conseil des ministres</w:t>
      </w:r>
      <w:r>
        <w:rPr>
          <w:rFonts w:ascii="Georgia" w:cs="Georgia" w:eastAsia="Georgia" w:hAnsi="Georgia"/>
          <w:sz w:val="21"/>
          <w:szCs w:val="21"/>
        </w:rPr>
        <w:t xml:space="preserve"> (entérinement) → </w:t>
      </w:r>
      <w:r>
        <w:rPr>
          <w:rFonts w:ascii="Georgia" w:cs="Georgia" w:eastAsia="Georgia" w:hAnsi="Georgia"/>
          <w:b/>
          <w:bCs/>
          <w:sz w:val="21"/>
          <w:szCs w:val="21"/>
        </w:rPr>
        <w:t xml:space="preserve">Commission parlementaire</w:t>
      </w:r>
      <w:r>
        <w:rPr>
          <w:rFonts w:ascii="Georgia" w:cs="Georgia" w:eastAsia="Georgia" w:hAnsi="Georgia"/>
          <w:sz w:val="21"/>
          <w:szCs w:val="21"/>
        </w:rPr>
        <w:t xml:space="preserve"> (amendements pré-négociés) → </w:t>
      </w:r>
      <w:r>
        <w:rPr>
          <w:rFonts w:ascii="Georgia" w:cs="Georgia" w:eastAsia="Georgia" w:hAnsi="Georgia"/>
          <w:b/>
          <w:bCs/>
          <w:sz w:val="21"/>
          <w:szCs w:val="21"/>
        </w:rPr>
        <w:t xml:space="preserve">Plénière</w:t>
      </w:r>
      <w:r>
        <w:rPr>
          <w:rFonts w:ascii="Georgia" w:cs="Georgia" w:eastAsia="Georgia" w:hAnsi="Georgia"/>
          <w:sz w:val="21"/>
          <w:szCs w:val="21"/>
        </w:rPr>
        <w:t xml:space="preserve"> (vote sur consigne).</w:t>
      </w:r>
    </w:p>
    <w:p>
      <w:pPr>
        <w:pStyle w:val="Heading2"/>
      </w:pPr>
      <w:r>
        <w:t xml:space="preserve">3.3 Le financement : 188,3 millions d’euros d’argent public</w:t>
      </w:r>
    </w:p>
    <w:p>
      <w:pPr>
        <w:spacing w:after="120" w:line="276"/>
      </w:pPr>
      <w:r>
        <w:rPr>
          <w:rFonts w:ascii="Georgia" w:cs="Georgia" w:eastAsia="Georgia" w:hAnsi="Georgia"/>
          <w:sz w:val="21"/>
          <w:szCs w:val="21"/>
        </w:rPr>
        <w:t xml:space="preserve">Selon </w:t>
      </w:r>
      <w:r>
        <w:rPr>
          <w:rFonts w:ascii="Georgia" w:cs="Georgia" w:eastAsia="Georgia" w:hAnsi="Georgia"/>
          <w:b/>
          <w:bCs/>
          <w:sz w:val="21"/>
          <w:szCs w:val="21"/>
        </w:rPr>
        <w:t xml:space="preserve">Bart Maddens</w:t>
      </w:r>
      <w:r>
        <w:rPr>
          <w:rFonts w:ascii="Georgia" w:cs="Georgia" w:eastAsia="Georgia" w:hAnsi="Georgia"/>
          <w:sz w:val="21"/>
          <w:szCs w:val="21"/>
        </w:rPr>
        <w:t xml:space="preserve"> (KU Leuven) : dotations directes </w:t>
      </w:r>
      <w:r>
        <w:rPr>
          <w:rFonts w:ascii="Georgia" w:cs="Georgia" w:eastAsia="Georgia" w:hAnsi="Georgia"/>
          <w:b/>
          <w:bCs/>
          <w:sz w:val="21"/>
          <w:szCs w:val="21"/>
        </w:rPr>
        <w:t xml:space="preserve">~75 M€/an</w:t>
      </w:r>
      <w:r>
        <w:rPr>
          <w:rFonts w:ascii="Georgia" w:cs="Georgia" w:eastAsia="Georgia" w:hAnsi="Georgia"/>
          <w:sz w:val="21"/>
          <w:szCs w:val="21"/>
        </w:rPr>
        <w:t xml:space="preserve"> + collaborateurs parlementaires mutualisés </w:t>
      </w:r>
      <w:r>
        <w:rPr>
          <w:rFonts w:ascii="Georgia" w:cs="Georgia" w:eastAsia="Georgia" w:hAnsi="Georgia"/>
          <w:b/>
          <w:bCs/>
          <w:sz w:val="21"/>
          <w:szCs w:val="21"/>
        </w:rPr>
        <w:t xml:space="preserve">104,6 M€</w:t>
      </w:r>
      <w:r>
        <w:rPr>
          <w:rFonts w:ascii="Georgia" w:cs="Georgia" w:eastAsia="Georgia" w:hAnsi="Georgia"/>
          <w:sz w:val="21"/>
          <w:szCs w:val="21"/>
        </w:rPr>
        <w:t xml:space="preserve"> = </w:t>
      </w:r>
      <w:r>
        <w:rPr>
          <w:rFonts w:ascii="JetBrains Mono" w:cs="JetBrains Mono" w:eastAsia="JetBrains Mono" w:hAnsi="JetBrains Mono"/>
          <w:b/>
          <w:bCs/>
          <w:color w:val="9F7AEA"/>
          <w:sz w:val="21"/>
          <w:szCs w:val="21"/>
        </w:rPr>
        <w:t xml:space="preserve">188,3 M€</w:t>
      </w:r>
      <w:r>
        <w:rPr>
          <w:rFonts w:ascii="Georgia" w:cs="Georgia" w:eastAsia="Georgia" w:hAnsi="Georgia"/>
          <w:sz w:val="21"/>
          <w:szCs w:val="21"/>
        </w:rPr>
        <w:t xml:space="preserve"> en 2024. Les partis tirent </w:t>
      </w:r>
      <w:r>
        <w:rPr>
          <w:rFonts w:ascii="Georgia" w:cs="Georgia" w:eastAsia="Georgia" w:hAnsi="Georgia"/>
          <w:b/>
          <w:bCs/>
          <w:sz w:val="21"/>
          <w:szCs w:val="21"/>
        </w:rPr>
        <w:t xml:space="preserve">~80%</w:t>
      </w:r>
      <w:r>
        <w:rPr>
          <w:rFonts w:ascii="Georgia" w:cs="Georgia" w:eastAsia="Georgia" w:hAnsi="Georgia"/>
          <w:sz w:val="21"/>
          <w:szCs w:val="21"/>
        </w:rPr>
        <w:t xml:space="preserve"> de leurs revenus de fonds publics — double de l’Allemagne, quadruple des Pays-Bas. Actifs cumulés : </w:t>
      </w:r>
      <w:r>
        <w:rPr>
          <w:rFonts w:ascii="Georgia" w:cs="Georgia" w:eastAsia="Georgia" w:hAnsi="Georgia"/>
          <w:b/>
          <w:bCs/>
          <w:sz w:val="21"/>
          <w:szCs w:val="21"/>
        </w:rPr>
        <w:t xml:space="preserve">156,8 M€</w:t>
      </w:r>
      <w:r>
        <w:rPr>
          <w:rFonts w:ascii="Georgia" w:cs="Georgia" w:eastAsia="Georgia" w:hAnsi="Georgia"/>
          <w:sz w:val="21"/>
          <w:szCs w:val="21"/>
        </w:rPr>
        <w:t xml:space="preserve"> fin 2021. Modèle précisément décrit par la théorie du </w:t>
      </w:r>
      <w:r>
        <w:rPr>
          <w:rFonts w:ascii="Georgia" w:cs="Georgia" w:eastAsia="Georgia" w:hAnsi="Georgia"/>
          <w:i/>
          <w:iCs/>
          <w:sz w:val="21"/>
          <w:szCs w:val="21"/>
        </w:rPr>
        <w:t xml:space="preserve">parti-cartel</w:t>
      </w:r>
      <w:r>
        <w:rPr>
          <w:rFonts w:ascii="Georgia" w:cs="Georgia" w:eastAsia="Georgia" w:hAnsi="Georgia"/>
          <w:sz w:val="21"/>
          <w:szCs w:val="21"/>
        </w:rPr>
        <w:t xml:space="preserve"> de Katz &amp; Mair (1995).</w:t>
      </w:r>
    </w:p>
    <w:p>
      <w:pPr>
        <w:pStyle w:val="Heading2"/>
      </w:pPr>
      <w:r>
        <w:t xml:space="preserve">3.4 Densité politique sans proximité</w:t>
      </w:r>
    </w:p>
    <w:p>
      <w:pPr>
        <w:spacing w:after="120" w:line="276"/>
      </w:pPr>
      <w:r>
        <w:rPr>
          <w:rFonts w:ascii="JetBrains Mono" w:cs="JetBrains Mono" w:eastAsia="JetBrains Mono" w:hAnsi="JetBrains Mono"/>
          <w:b/>
          <w:bCs/>
          <w:color w:val="2F855A"/>
          <w:sz w:val="21"/>
          <w:szCs w:val="21"/>
        </w:rPr>
        <w:t xml:space="preserve">31 806 mandataires</w:t>
      </w:r>
      <w:r>
        <w:rPr>
          <w:rFonts w:ascii="Georgia" w:cs="Georgia" w:eastAsia="Georgia" w:hAnsi="Georgia"/>
          <w:sz w:val="21"/>
          <w:szCs w:val="21"/>
        </w:rPr>
        <w:t xml:space="preserve"> pour 11,7 millions d’habitants = </w:t>
      </w:r>
      <w:r>
        <w:rPr>
          <w:rFonts w:ascii="Georgia" w:cs="Georgia" w:eastAsia="Georgia" w:hAnsi="Georgia"/>
          <w:b/>
          <w:bCs/>
          <w:sz w:val="21"/>
          <w:szCs w:val="21"/>
        </w:rPr>
        <w:t xml:space="preserve">1 mandataire pour 368 habitants</w:t>
      </w:r>
      <w:r>
        <w:rPr>
          <w:rFonts w:ascii="Georgia" w:cs="Georgia" w:eastAsia="Georgia" w:hAnsi="Georgia"/>
          <w:sz w:val="21"/>
          <w:szCs w:val="21"/>
        </w:rPr>
        <w:t xml:space="preserve"> (Hindriks &amp; Lamfalussy, UCLouvain, 2024). 6 niveaux de pouvoir, 7 parlements, 8+ organes exécutifs. Cumuleo recense 33 450+ mandataires depuis 2004. Wallonie/Bruxelles : densité ~double de la Flandre.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6"/>
        <w:gridCol w:w="1805"/>
        <w:gridCol w:w="1805"/>
      </w:tblGrid>
      <w:tr>
        <w:tc>
          <w:tcPr>
            <w:tcW w:type="dxa" w:w="1805"/>
            <w:tcBorders>
              <w:top w:val="single" w:color="E2E8F0" w:sz="1"/>
              <w:left w:val="single" w:color="E2E8F0" w:sz="1"/>
              <w:bottom w:val="single" w:color="E2E8F0" w:sz="1"/>
              <w:right w:val="single" w:color="E2E8F0" w:sz="1"/>
            </w:tcBorders>
            <w:shd w:fill="0C0C12" w:val="clear"/>
            <w:tcMar>
              <w:top w:type="dxa" w:w="60"/>
              <w:left w:type="dxa" w:w="80"/>
              <w:bottom w:type="dxa" w:w="60"/>
              <w:right w:type="dxa" w:w="80"/>
            </w:tcMar>
          </w:tcPr>
          <w:p>
            <w:r>
              <w:rPr>
                <w:rFonts w:ascii="JetBrains Mono" w:cs="JetBrains Mono" w:eastAsia="JetBrains Mono" w:hAnsi="JetBrains Mono"/>
                <w:b/>
                <w:bCs/>
                <w:color w:val="FFFFFF"/>
                <w:sz w:val="16"/>
                <w:szCs w:val="16"/>
              </w:rPr>
              <w:t xml:space="preserve">CRITÈRE</w:t>
            </w:r>
          </w:p>
        </w:tc>
        <w:tc>
          <w:tcPr>
            <w:tcW w:type="dxa" w:w="1805"/>
            <w:tcBorders>
              <w:top w:val="single" w:color="E2E8F0" w:sz="1"/>
              <w:left w:val="single" w:color="E2E8F0" w:sz="1"/>
              <w:bottom w:val="single" w:color="E2E8F0" w:sz="1"/>
              <w:right w:val="single" w:color="E2E8F0" w:sz="1"/>
            </w:tcBorders>
            <w:shd w:fill="0C0C12" w:val="clear"/>
            <w:tcMar>
              <w:top w:type="dxa" w:w="60"/>
              <w:left w:type="dxa" w:w="80"/>
              <w:bottom w:type="dxa" w:w="60"/>
              <w:right w:type="dxa" w:w="80"/>
            </w:tcMar>
          </w:tcPr>
          <w:p>
            <w:r>
              <w:rPr>
                <w:rFonts w:ascii="JetBrains Mono" w:cs="JetBrains Mono" w:eastAsia="JetBrains Mono" w:hAnsi="JetBrains Mono"/>
                <w:b/>
                <w:bCs/>
                <w:color w:val="FFFFFF"/>
                <w:sz w:val="16"/>
                <w:szCs w:val="16"/>
              </w:rPr>
              <w:t xml:space="preserve">BELGIQUE</w:t>
            </w:r>
          </w:p>
        </w:tc>
        <w:tc>
          <w:tcPr>
            <w:tcW w:type="dxa" w:w="1806"/>
            <w:tcBorders>
              <w:top w:val="single" w:color="E2E8F0" w:sz="1"/>
              <w:left w:val="single" w:color="E2E8F0" w:sz="1"/>
              <w:bottom w:val="single" w:color="E2E8F0" w:sz="1"/>
              <w:right w:val="single" w:color="E2E8F0" w:sz="1"/>
            </w:tcBorders>
            <w:shd w:fill="0C0C12" w:val="clear"/>
            <w:tcMar>
              <w:top w:type="dxa" w:w="60"/>
              <w:left w:type="dxa" w:w="80"/>
              <w:bottom w:type="dxa" w:w="60"/>
              <w:right w:type="dxa" w:w="80"/>
            </w:tcMar>
          </w:tcPr>
          <w:p>
            <w:r>
              <w:rPr>
                <w:rFonts w:ascii="JetBrains Mono" w:cs="JetBrains Mono" w:eastAsia="JetBrains Mono" w:hAnsi="JetBrains Mono"/>
                <w:b/>
                <w:bCs/>
                <w:color w:val="FFFFFF"/>
                <w:sz w:val="16"/>
                <w:szCs w:val="16"/>
              </w:rPr>
              <w:t xml:space="preserve">PAYS-BAS</w:t>
            </w:r>
          </w:p>
        </w:tc>
        <w:tc>
          <w:tcPr>
            <w:tcW w:type="dxa" w:w="1805"/>
            <w:tcBorders>
              <w:top w:val="single" w:color="E2E8F0" w:sz="1"/>
              <w:left w:val="single" w:color="E2E8F0" w:sz="1"/>
              <w:bottom w:val="single" w:color="E2E8F0" w:sz="1"/>
              <w:right w:val="single" w:color="E2E8F0" w:sz="1"/>
            </w:tcBorders>
            <w:shd w:fill="0C0C12" w:val="clear"/>
            <w:tcMar>
              <w:top w:type="dxa" w:w="60"/>
              <w:left w:type="dxa" w:w="80"/>
              <w:bottom w:type="dxa" w:w="60"/>
              <w:right w:type="dxa" w:w="80"/>
            </w:tcMar>
          </w:tcPr>
          <w:p>
            <w:r>
              <w:rPr>
                <w:rFonts w:ascii="JetBrains Mono" w:cs="JetBrains Mono" w:eastAsia="JetBrains Mono" w:hAnsi="JetBrains Mono"/>
                <w:b/>
                <w:bCs/>
                <w:color w:val="FFFFFF"/>
                <w:sz w:val="16"/>
                <w:szCs w:val="16"/>
              </w:rPr>
              <w:t xml:space="preserve">SUISSE</w:t>
            </w:r>
          </w:p>
        </w:tc>
        <w:tc>
          <w:tcPr>
            <w:tcW w:type="dxa" w:w="1805"/>
            <w:tcBorders>
              <w:top w:val="single" w:color="E2E8F0" w:sz="1"/>
              <w:left w:val="single" w:color="E2E8F0" w:sz="1"/>
              <w:bottom w:val="single" w:color="E2E8F0" w:sz="1"/>
              <w:right w:val="single" w:color="E2E8F0" w:sz="1"/>
            </w:tcBorders>
            <w:shd w:fill="0C0C12" w:val="clear"/>
            <w:tcMar>
              <w:top w:type="dxa" w:w="60"/>
              <w:left w:type="dxa" w:w="80"/>
              <w:bottom w:type="dxa" w:w="60"/>
              <w:right w:type="dxa" w:w="80"/>
            </w:tcMar>
          </w:tcPr>
          <w:p>
            <w:r>
              <w:rPr>
                <w:rFonts w:ascii="JetBrains Mono" w:cs="JetBrains Mono" w:eastAsia="JetBrains Mono" w:hAnsi="JetBrains Mono"/>
                <w:b/>
                <w:bCs/>
                <w:color w:val="FFFFFF"/>
                <w:sz w:val="16"/>
                <w:szCs w:val="16"/>
              </w:rPr>
              <w:t xml:space="preserve">AUTRICHE</w:t>
            </w:r>
          </w:p>
        </w:tc>
      </w:tr>
      <w:tr>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Pilarisation</w:t>
            </w:r>
          </w:p>
        </w:tc>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E53E3E"/>
                <w:sz w:val="18"/>
                <w:szCs w:val="18"/>
              </w:rPr>
              <w:t xml:space="preserve">Persistante</w:t>
            </w:r>
          </w:p>
        </w:tc>
        <w:tc>
          <w:tcPr>
            <w:tcW w:type="dxa" w:w="1806"/>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2F855A"/>
                <w:sz w:val="18"/>
                <w:szCs w:val="18"/>
              </w:rPr>
              <w:t xml:space="preserve">Démantelée (1960s)</w:t>
            </w:r>
          </w:p>
        </w:tc>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Jamais comparable</w:t>
            </w:r>
          </w:p>
        </w:tc>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2F855A"/>
                <w:sz w:val="18"/>
                <w:szCs w:val="18"/>
              </w:rPr>
              <w:t xml:space="preserve">Démantelée (1990s)</w:t>
            </w:r>
          </w:p>
        </w:tc>
      </w:tr>
      <w:tr>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Référendum</w:t>
            </w:r>
          </w:p>
        </w:tc>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E53E3E"/>
                <w:sz w:val="18"/>
                <w:szCs w:val="18"/>
              </w:rPr>
              <w:t xml:space="preserve">Interdit</w:t>
            </w:r>
          </w:p>
        </w:tc>
        <w:tc>
          <w:tcPr>
            <w:tcW w:type="dxa" w:w="1806"/>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Consult. possible</w:t>
            </w:r>
          </w:p>
        </w:tc>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2F855A"/>
                <w:sz w:val="18"/>
                <w:szCs w:val="18"/>
              </w:rPr>
              <w:t xml:space="preserve">Structurel</w:t>
            </w:r>
          </w:p>
        </w:tc>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Possible</w:t>
            </w:r>
          </w:p>
        </w:tc>
      </w:tr>
      <w:tr>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Discipline vote</w:t>
            </w:r>
          </w:p>
        </w:tc>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E53E3E"/>
                <w:sz w:val="18"/>
                <w:szCs w:val="18"/>
              </w:rPr>
              <w:t xml:space="preserve">99,73%</w:t>
            </w:r>
          </w:p>
        </w:tc>
        <w:tc>
          <w:tcPr>
            <w:tcW w:type="dxa" w:w="1806"/>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~99,99%</w:t>
            </w:r>
          </w:p>
        </w:tc>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2F855A"/>
                <w:sz w:val="18"/>
                <w:szCs w:val="18"/>
              </w:rPr>
              <w:t xml:space="preserve">Majorités changeantes</w:t>
            </w:r>
          </w:p>
        </w:tc>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Élevée</w:t>
            </w:r>
          </w:p>
        </w:tc>
      </w:tr>
      <w:tr>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Mandataires/hab.</w:t>
            </w:r>
          </w:p>
        </w:tc>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1/368</w:t>
            </w:r>
          </w:p>
        </w:tc>
        <w:tc>
          <w:tcPr>
            <w:tcW w:type="dxa" w:w="1806"/>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~1/700</w:t>
            </w:r>
          </w:p>
        </w:tc>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~1/300 (milice)</w:t>
            </w:r>
          </w:p>
        </w:tc>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~1/500</w:t>
            </w:r>
          </w:p>
        </w:tc>
      </w:tr>
      <w:tr>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Contre-pouvoir clé</w:t>
            </w:r>
          </w:p>
        </w:tc>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Cour constit.</w:t>
            </w:r>
          </w:p>
        </w:tc>
        <w:tc>
          <w:tcPr>
            <w:tcW w:type="dxa" w:w="1806"/>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Raad van State</w:t>
            </w:r>
          </w:p>
        </w:tc>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2F855A"/>
                <w:sz w:val="18"/>
                <w:szCs w:val="18"/>
              </w:rPr>
              <w:t xml:space="preserve">Référendum</w:t>
            </w:r>
          </w:p>
        </w:tc>
        <w:tc>
          <w:tcPr>
            <w:tcW w:type="dxa" w:w="1805"/>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VfGH</w:t>
            </w:r>
          </w:p>
        </w:tc>
      </w:tr>
    </w:tbl>
    <w:p>
      <w:pPr>
        <w:spacing w:before="80" w:after="200"/>
      </w:pPr>
      <w:r>
        <w:rPr>
          <w:rFonts w:ascii="JetBrains Mono" w:cs="JetBrains Mono" w:eastAsia="JetBrains Mono" w:hAnsi="JetBrains Mono"/>
          <w:i/>
          <w:iCs/>
          <w:color w:val="4A5568"/>
          <w:sz w:val="14"/>
          <w:szCs w:val="14"/>
        </w:rPr>
        <w:t xml:space="preserve">Source : Lijphart (1968, 2012), Deschouwer (2012), Waling (2017), Swissinfo, Corpus ouaisfieu Fusion exécutif-législatif</w:t>
      </w:r>
    </w:p>
    <w:p>
      <w:r>
        <w:br w:type="page"/>
      </w:r>
    </w:p>
    <w:p>
      <w:pPr>
        <w:pStyle w:val="Heading1"/>
      </w:pPr>
      <w:r>
        <w:t xml:space="preserve">IV. L’effondrement de la confiance politique</w:t>
      </w:r>
    </w:p>
    <w:p>
      <w:pPr>
        <w:spacing w:after="120" w:line="276"/>
      </w:pPr>
      <w:r>
        <w:rPr>
          <w:rFonts w:ascii="Georgia" w:cs="Georgia" w:eastAsia="Georgia" w:hAnsi="Georgia"/>
          <w:sz w:val="21"/>
          <w:szCs w:val="21"/>
        </w:rPr>
        <w:t xml:space="preserve">Quatre baromètres convergent, quelle que soit la source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526"/>
      </w:tblGrid>
      <w:tr>
        <w:tc>
          <w:tcPr>
            <w:tcW w:type="dxa" w:w="3500"/>
            <w:tcBorders>
              <w:top w:val="single" w:color="E2E8F0" w:sz="1"/>
              <w:left w:val="single" w:color="E2E8F0" w:sz="1"/>
              <w:bottom w:val="single" w:color="E2E8F0" w:sz="1"/>
              <w:right w:val="single" w:color="E2E8F0" w:sz="1"/>
            </w:tcBorders>
            <w:shd w:fill="0C0C12" w:val="clear"/>
            <w:tcMar>
              <w:top w:type="dxa" w:w="60"/>
              <w:left w:type="dxa" w:w="80"/>
              <w:bottom w:type="dxa" w:w="60"/>
              <w:right w:type="dxa" w:w="80"/>
            </w:tcMar>
          </w:tcPr>
          <w:p>
            <w:r>
              <w:rPr>
                <w:rFonts w:ascii="JetBrains Mono" w:cs="JetBrains Mono" w:eastAsia="JetBrains Mono" w:hAnsi="JetBrains Mono"/>
                <w:b/>
                <w:bCs/>
                <w:color w:val="FFFFFF"/>
                <w:sz w:val="16"/>
                <w:szCs w:val="16"/>
              </w:rPr>
              <w:t xml:space="preserve">SOURCE</w:t>
            </w:r>
          </w:p>
        </w:tc>
        <w:tc>
          <w:tcPr>
            <w:tcW w:type="dxa" w:w="1500"/>
            <w:tcBorders>
              <w:top w:val="single" w:color="E2E8F0" w:sz="1"/>
              <w:left w:val="single" w:color="E2E8F0" w:sz="1"/>
              <w:bottom w:val="single" w:color="E2E8F0" w:sz="1"/>
              <w:right w:val="single" w:color="E2E8F0" w:sz="1"/>
            </w:tcBorders>
            <w:shd w:fill="0C0C12" w:val="clear"/>
            <w:tcMar>
              <w:top w:type="dxa" w:w="60"/>
              <w:left w:type="dxa" w:w="80"/>
              <w:bottom w:type="dxa" w:w="60"/>
              <w:right w:type="dxa" w:w="80"/>
            </w:tcMar>
          </w:tcPr>
          <w:p>
            <w:r>
              <w:rPr>
                <w:rFonts w:ascii="JetBrains Mono" w:cs="JetBrains Mono" w:eastAsia="JetBrains Mono" w:hAnsi="JetBrains Mono"/>
                <w:b/>
                <w:bCs/>
                <w:color w:val="FFFFFF"/>
                <w:sz w:val="16"/>
                <w:szCs w:val="16"/>
              </w:rPr>
              <w:t xml:space="preserve">INDICATEUR</w:t>
            </w:r>
          </w:p>
        </w:tc>
        <w:tc>
          <w:tcPr>
            <w:tcW w:type="dxa" w:w="1500"/>
            <w:tcBorders>
              <w:top w:val="single" w:color="E2E8F0" w:sz="1"/>
              <w:left w:val="single" w:color="E2E8F0" w:sz="1"/>
              <w:bottom w:val="single" w:color="E2E8F0" w:sz="1"/>
              <w:right w:val="single" w:color="E2E8F0" w:sz="1"/>
            </w:tcBorders>
            <w:shd w:fill="0C0C12" w:val="clear"/>
            <w:tcMar>
              <w:top w:type="dxa" w:w="60"/>
              <w:left w:type="dxa" w:w="80"/>
              <w:bottom w:type="dxa" w:w="60"/>
              <w:right w:type="dxa" w:w="80"/>
            </w:tcMar>
          </w:tcPr>
          <w:p>
            <w:r>
              <w:rPr>
                <w:rFonts w:ascii="JetBrains Mono" w:cs="JetBrains Mono" w:eastAsia="JetBrains Mono" w:hAnsi="JetBrains Mono"/>
                <w:b/>
                <w:bCs/>
                <w:color w:val="FFFFFF"/>
                <w:sz w:val="16"/>
                <w:szCs w:val="16"/>
              </w:rPr>
              <w:t xml:space="preserve">VALEUR</w:t>
            </w:r>
          </w:p>
        </w:tc>
        <w:tc>
          <w:tcPr>
            <w:tcW w:type="dxa" w:w="2526"/>
            <w:tcBorders>
              <w:top w:val="single" w:color="E2E8F0" w:sz="1"/>
              <w:left w:val="single" w:color="E2E8F0" w:sz="1"/>
              <w:bottom w:val="single" w:color="E2E8F0" w:sz="1"/>
              <w:right w:val="single" w:color="E2E8F0" w:sz="1"/>
            </w:tcBorders>
            <w:shd w:fill="0C0C12" w:val="clear"/>
            <w:tcMar>
              <w:top w:type="dxa" w:w="60"/>
              <w:left w:type="dxa" w:w="80"/>
              <w:bottom w:type="dxa" w:w="60"/>
              <w:right w:type="dxa" w:w="80"/>
            </w:tcMar>
          </w:tcPr>
          <w:p>
            <w:r>
              <w:rPr>
                <w:rFonts w:ascii="JetBrains Mono" w:cs="JetBrains Mono" w:eastAsia="JetBrains Mono" w:hAnsi="JetBrains Mono"/>
                <w:b/>
                <w:bCs/>
                <w:color w:val="FFFFFF"/>
                <w:sz w:val="16"/>
                <w:szCs w:val="16"/>
              </w:rPr>
              <w:t xml:space="preserve">TENDANCE</w:t>
            </w:r>
          </w:p>
        </w:tc>
      </w:tr>
      <w:tr>
        <w:tc>
          <w:tcPr>
            <w:tcW w:type="dxa" w:w="3500"/>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Solidaris 2025 (1 000+ répondants)</w:t>
            </w:r>
          </w:p>
        </w:tc>
        <w:tc>
          <w:tcPr>
            <w:tcW w:type="dxa" w:w="1500"/>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Confiance partis</w:t>
            </w:r>
          </w:p>
        </w:tc>
        <w:tc>
          <w:tcPr>
            <w:tcW w:type="dxa" w:w="1500"/>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E53E3E"/>
                <w:sz w:val="18"/>
                <w:szCs w:val="18"/>
              </w:rPr>
              <w:t xml:space="preserve">8%</w:t>
            </w:r>
          </w:p>
        </w:tc>
        <w:tc>
          <w:tcPr>
            <w:tcW w:type="dxa" w:w="2526"/>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E53E3E"/>
                <w:sz w:val="18"/>
                <w:szCs w:val="18"/>
              </w:rPr>
              <w:t xml:space="preserve">79% de défiance</w:t>
            </w:r>
          </w:p>
        </w:tc>
      </w:tr>
      <w:tr>
        <w:tc>
          <w:tcPr>
            <w:tcW w:type="dxa" w:w="3500"/>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IWEPS 2023 (1 867 répondants)</w:t>
            </w:r>
          </w:p>
        </w:tc>
        <w:tc>
          <w:tcPr>
            <w:tcW w:type="dxa" w:w="1500"/>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Confiance partis</w:t>
            </w:r>
          </w:p>
        </w:tc>
        <w:tc>
          <w:tcPr>
            <w:tcW w:type="dxa" w:w="1500"/>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D69E2E"/>
                <w:sz w:val="18"/>
                <w:szCs w:val="18"/>
              </w:rPr>
              <w:t xml:space="preserve">22%</w:t>
            </w:r>
          </w:p>
        </w:tc>
        <w:tc>
          <w:tcPr>
            <w:tcW w:type="dxa" w:w="2526"/>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44% (2012) → 22% (2023)</w:t>
            </w:r>
          </w:p>
        </w:tc>
      </w:tr>
      <w:tr>
        <w:tc>
          <w:tcPr>
            <w:tcW w:type="dxa" w:w="3500"/>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IWEPS 2023</w:t>
            </w:r>
          </w:p>
        </w:tc>
        <w:tc>
          <w:tcPr>
            <w:tcW w:type="dxa" w:w="1500"/>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Satisf. démocratie</w:t>
            </w:r>
          </w:p>
        </w:tc>
        <w:tc>
          <w:tcPr>
            <w:tcW w:type="dxa" w:w="1500"/>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D69E2E"/>
                <w:sz w:val="18"/>
                <w:szCs w:val="18"/>
              </w:rPr>
              <w:t xml:space="preserve">25,6%</w:t>
            </w:r>
          </w:p>
        </w:tc>
        <w:tc>
          <w:tcPr>
            <w:tcW w:type="dxa" w:w="2526"/>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49,6% (2018) → 25,6% (2023)</w:t>
            </w:r>
          </w:p>
        </w:tc>
      </w:tr>
      <w:tr>
        <w:tc>
          <w:tcPr>
            <w:tcW w:type="dxa" w:w="3500"/>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OCDE 2024</w:t>
            </w:r>
          </w:p>
        </w:tc>
        <w:tc>
          <w:tcPr>
            <w:tcW w:type="dxa" w:w="1500"/>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Confiance partis</w:t>
            </w:r>
          </w:p>
        </w:tc>
        <w:tc>
          <w:tcPr>
            <w:tcW w:type="dxa" w:w="1500"/>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D69E2E"/>
                <w:sz w:val="18"/>
                <w:szCs w:val="18"/>
              </w:rPr>
              <w:t xml:space="preserve">29%</w:t>
            </w:r>
          </w:p>
        </w:tc>
        <w:tc>
          <w:tcPr>
            <w:tcW w:type="dxa" w:w="2526"/>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Institution la moins fiable</w:t>
            </w:r>
          </w:p>
        </w:tc>
      </w:tr>
      <w:tr>
        <w:tc>
          <w:tcPr>
            <w:tcW w:type="dxa" w:w="3500"/>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Eurobaromètre 102 (aut. 2024)</w:t>
            </w:r>
          </w:p>
        </w:tc>
        <w:tc>
          <w:tcPr>
            <w:tcW w:type="dxa" w:w="1500"/>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Satisf. démocratie</w:t>
            </w:r>
          </w:p>
        </w:tc>
        <w:tc>
          <w:tcPr>
            <w:tcW w:type="dxa" w:w="1500"/>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2F855A"/>
                <w:sz w:val="18"/>
                <w:szCs w:val="18"/>
              </w:rPr>
              <w:t xml:space="preserve">65%</w:t>
            </w:r>
          </w:p>
        </w:tc>
        <w:tc>
          <w:tcPr>
            <w:tcW w:type="dxa" w:w="2526"/>
            <w:tcBorders>
              <w:top w:val="single" w:color="E2E8F0" w:sz="1"/>
              <w:left w:val="single" w:color="E2E8F0" w:sz="1"/>
              <w:bottom w:val="single" w:color="E2E8F0" w:sz="1"/>
              <w:right w:val="single" w:color="E2E8F0" w:sz="1"/>
            </w:tcBorders>
            <w:tcMar>
              <w:top w:type="dxa" w:w="60"/>
              <w:left w:type="dxa" w:w="80"/>
              <w:bottom w:type="dxa" w:w="60"/>
              <w:right w:type="dxa" w:w="80"/>
            </w:tcMar>
          </w:tcPr>
          <w:p>
            <w:r>
              <w:rPr>
                <w:rFonts w:ascii="Georgia" w:cs="Georgia" w:eastAsia="Georgia" w:hAnsi="Georgia"/>
                <w:color w:val="1A202C"/>
                <w:sz w:val="18"/>
                <w:szCs w:val="18"/>
              </w:rPr>
              <w:t xml:space="preserve">Concept vs acteurs</w:t>
            </w:r>
          </w:p>
        </w:tc>
      </w:tr>
    </w:tbl>
    <w:p>
      <w:pPr>
        <w:spacing w:after="200"/>
      </w:pPr>
    </w:p>
    <w:p>
      <w:pPr>
        <w:spacing w:after="120" w:line="276"/>
      </w:pPr>
      <w:r>
        <w:rPr>
          <w:rFonts w:ascii="Georgia" w:cs="Georgia" w:eastAsia="Georgia" w:hAnsi="Georgia"/>
          <w:sz w:val="21"/>
          <w:szCs w:val="21"/>
        </w:rPr>
        <w:t xml:space="preserve">L’IWEPS parle d’« une chute de confiance politique inédite ». Solidaris parle de « fatigue démocratique ». Le décalage avec l’Eurobaromètre reflète la différence entre satisfaction de principe envers le </w:t>
      </w:r>
      <w:r>
        <w:rPr>
          <w:rFonts w:ascii="Georgia" w:cs="Georgia" w:eastAsia="Georgia" w:hAnsi="Georgia"/>
          <w:i/>
          <w:iCs/>
          <w:sz w:val="21"/>
          <w:szCs w:val="21"/>
        </w:rPr>
        <w:t xml:space="preserve">concept</w:t>
      </w:r>
      <w:r>
        <w:rPr>
          <w:rFonts w:ascii="Georgia" w:cs="Georgia" w:eastAsia="Georgia" w:hAnsi="Georgia"/>
          <w:sz w:val="21"/>
          <w:szCs w:val="21"/>
        </w:rPr>
        <w:t xml:space="preserve"> de démocratie et confiance envers ses </w:t>
      </w:r>
      <w:r>
        <w:rPr>
          <w:rFonts w:ascii="Georgia" w:cs="Georgia" w:eastAsia="Georgia" w:hAnsi="Georgia"/>
          <w:i/>
          <w:iCs/>
          <w:sz w:val="21"/>
          <w:szCs w:val="21"/>
        </w:rPr>
        <w:t xml:space="preserve">acteurs</w:t>
      </w:r>
      <w:r>
        <w:rPr>
          <w:rFonts w:ascii="Georgia" w:cs="Georgia" w:eastAsia="Georgia" w:hAnsi="Georgia"/>
          <w:sz w:val="21"/>
          <w:szCs w:val="21"/>
        </w:rPr>
        <w:t xml:space="preserve">.</w:t>
      </w:r>
    </w:p>
    <w:p>
      <w:r>
        <w:br w:type="page"/>
      </w:r>
    </w:p>
    <w:p>
      <w:pPr>
        <w:pStyle w:val="Heading1"/>
      </w:pPr>
      <w:r>
        <w:t xml:space="preserve">V. Le miroir international : ce que font les autres</w:t>
      </w:r>
    </w:p>
    <w:p>
      <w:pPr>
        <w:spacing w:after="120" w:line="276"/>
      </w:pPr>
      <w:r>
        <w:rPr>
          <w:rFonts w:ascii="Georgia" w:cs="Georgia" w:eastAsia="Georgia" w:hAnsi="Georgia"/>
          <w:sz w:val="21"/>
          <w:szCs w:val="21"/>
        </w:rPr>
        <w:t xml:space="preserve">Selon Rose &amp; Qvortrup (2018) : tous les États membres de l’UE sauf l’Allemagne et la Belgique disposent de mécanismes référendaires. L’Allemagne n’a pas de vote obligatoire. </w:t>
      </w:r>
      <w:r>
        <w:rPr>
          <w:rFonts w:ascii="Georgia" w:cs="Georgia" w:eastAsia="Georgia" w:hAnsi="Georgia"/>
          <w:b/>
          <w:bCs/>
          <w:sz w:val="21"/>
          <w:szCs w:val="21"/>
        </w:rPr>
        <w:t xml:space="preserve">La Belgique est le seul État combinant obligation de voter et zéro référendum.</w:t>
      </w:r>
    </w:p>
    <w:p>
      <w:pPr>
        <w:pStyle w:val="Heading2"/>
      </w:pPr>
      <w:r>
        <w:t xml:space="preserve">5.1 Luxembourg : la réfutation directe</w:t>
      </w:r>
    </w:p>
    <w:p>
      <w:pPr>
        <w:spacing w:after="120" w:line="276"/>
      </w:pPr>
      <w:r>
        <w:rPr>
          <w:rFonts w:ascii="Georgia" w:cs="Georgia" w:eastAsia="Georgia" w:hAnsi="Georgia"/>
          <w:sz w:val="21"/>
          <w:szCs w:val="21"/>
        </w:rPr>
        <w:t xml:space="preserve">Même multilinguisme (3 langues), même vote obligatoire, mais : référendums consultatifs (art. 51), référendums constitutionnels contraignants (art. 114). La proximité géographique et culturelle invalide l’argument de l’impossibilité.</w:t>
      </w:r>
    </w:p>
    <w:p>
      <w:pPr>
        <w:pStyle w:val="Heading2"/>
      </w:pPr>
      <w:r>
        <w:t xml:space="preserve">5.2 Suisse : 329 votations en 176 ans</w:t>
      </w:r>
    </w:p>
    <w:p>
      <w:pPr>
        <w:spacing w:after="120" w:line="276"/>
      </w:pPr>
      <w:r>
        <w:rPr>
          <w:rFonts w:ascii="Georgia" w:cs="Georgia" w:eastAsia="Georgia" w:hAnsi="Georgia"/>
          <w:sz w:val="21"/>
          <w:szCs w:val="21"/>
        </w:rPr>
        <w:t xml:space="preserve">En 2024 : </w:t>
      </w:r>
      <w:r>
        <w:rPr>
          <w:rFonts w:ascii="Georgia" w:cs="Georgia" w:eastAsia="Georgia" w:hAnsi="Georgia"/>
          <w:b/>
          <w:bCs/>
          <w:sz w:val="21"/>
          <w:szCs w:val="21"/>
        </w:rPr>
        <w:t xml:space="preserve">12 propositions fédérales</w:t>
      </w:r>
      <w:r>
        <w:rPr>
          <w:rFonts w:ascii="Georgia" w:cs="Georgia" w:eastAsia="Georgia" w:hAnsi="Georgia"/>
          <w:sz w:val="21"/>
          <w:szCs w:val="21"/>
        </w:rPr>
        <w:t xml:space="preserve">, 4 dimanches de votation, participation volontaire </w:t>
      </w:r>
      <w:r>
        <w:rPr>
          <w:rFonts w:ascii="Georgia" w:cs="Georgia" w:eastAsia="Georgia" w:hAnsi="Georgia"/>
          <w:b/>
          <w:bCs/>
          <w:sz w:val="21"/>
          <w:szCs w:val="21"/>
        </w:rPr>
        <w:t xml:space="preserve">47,1%</w:t>
      </w:r>
      <w:r>
        <w:rPr>
          <w:rFonts w:ascii="Georgia" w:cs="Georgia" w:eastAsia="Georgia" w:hAnsi="Georgia"/>
          <w:sz w:val="21"/>
          <w:szCs w:val="21"/>
        </w:rPr>
        <w:t xml:space="preserve">. Initiative populaire : 100 000 signatures/18 mois. Référendum facultatif : 50 000/100 jours. Sur 235 initiatives soumises : 26 acceptées (11,1%). Quatre langues nationales. Le Parlement fédéral fonctionne avec des </w:t>
      </w:r>
      <w:r>
        <w:rPr>
          <w:rFonts w:ascii="Georgia" w:cs="Georgia" w:eastAsia="Georgia" w:hAnsi="Georgia"/>
          <w:b/>
          <w:bCs/>
          <w:sz w:val="21"/>
          <w:szCs w:val="21"/>
        </w:rPr>
        <w:t xml:space="preserve">majorités changeantes par thème</w:t>
      </w:r>
      <w:r>
        <w:rPr>
          <w:rFonts w:ascii="Georgia" w:cs="Georgia" w:eastAsia="Georgia" w:hAnsi="Georgia"/>
          <w:sz w:val="21"/>
          <w:szCs w:val="21"/>
        </w:rPr>
        <w:t xml:space="preserve"> — précisément ce que le système belge interdit. ~5% des lois sont contestées, mais la menace latente suffit à contraindre au consensus en amont.</w:t>
      </w:r>
    </w:p>
    <w:p>
      <w:pPr>
        <w:pStyle w:val="Heading2"/>
      </w:pPr>
      <w:r>
        <w:t xml:space="preserve">5.3 Normes internationales</w:t>
      </w:r>
    </w:p>
    <w:p>
      <w:pPr>
        <w:spacing w:after="120" w:line="276"/>
      </w:pPr>
      <w:r>
        <w:rPr>
          <w:rFonts w:ascii="Georgia" w:cs="Georgia" w:eastAsia="Georgia" w:hAnsi="Georgia"/>
          <w:sz w:val="21"/>
          <w:szCs w:val="21"/>
        </w:rPr>
        <w:t xml:space="preserve">La </w:t>
      </w:r>
      <w:r>
        <w:rPr>
          <w:rFonts w:ascii="Georgia" w:cs="Georgia" w:eastAsia="Georgia" w:hAnsi="Georgia"/>
          <w:b/>
          <w:bCs/>
          <w:sz w:val="21"/>
          <w:szCs w:val="21"/>
        </w:rPr>
        <w:t xml:space="preserve">Commission de Venise</w:t>
      </w:r>
      <w:r>
        <w:rPr>
          <w:rFonts w:ascii="Georgia" w:cs="Georgia" w:eastAsia="Georgia" w:hAnsi="Georgia"/>
          <w:sz w:val="21"/>
          <w:szCs w:val="21"/>
        </w:rPr>
        <w:t xml:space="preserve"> (CDL-AD(2022)015) ne prescrit pas le référendum mais le reconnaît comme outil légitime. Le </w:t>
      </w:r>
      <w:r>
        <w:rPr>
          <w:rFonts w:ascii="Georgia" w:cs="Georgia" w:eastAsia="Georgia" w:hAnsi="Georgia"/>
          <w:b/>
          <w:bCs/>
          <w:sz w:val="21"/>
          <w:szCs w:val="21"/>
        </w:rPr>
        <w:t xml:space="preserve">Conseil de l’Europe</w:t>
      </w:r>
      <w:r>
        <w:rPr>
          <w:rFonts w:ascii="Georgia" w:cs="Georgia" w:eastAsia="Georgia" w:hAnsi="Georgia"/>
          <w:sz w:val="21"/>
          <w:szCs w:val="21"/>
        </w:rPr>
        <w:t xml:space="preserve"> a adopté la Recommandation CM/Rec(2023)6 sur la démocratie délibérative. Le </w:t>
      </w:r>
      <w:r>
        <w:rPr>
          <w:rFonts w:ascii="Georgia" w:cs="Georgia" w:eastAsia="Georgia" w:hAnsi="Georgia"/>
          <w:b/>
          <w:bCs/>
          <w:sz w:val="21"/>
          <w:szCs w:val="21"/>
        </w:rPr>
        <w:t xml:space="preserve">Parlement européen</w:t>
      </w:r>
      <w:r>
        <w:rPr>
          <w:rFonts w:ascii="Georgia" w:cs="Georgia" w:eastAsia="Georgia" w:hAnsi="Georgia"/>
          <w:sz w:val="21"/>
          <w:szCs w:val="21"/>
        </w:rPr>
        <w:t xml:space="preserve"> (résolution 2023/2017(INI), 14 septembre 2023) affirme que les mécanismes directs « peuvent compléter » la démocratie représentative.</w:t>
      </w:r>
    </w:p>
    <w:p>
      <w:r>
        <w:br w:type="page"/>
      </w:r>
    </w:p>
    <w:p>
      <w:pPr>
        <w:pStyle w:val="Heading1"/>
      </w:pPr>
      <w:r>
        <w:t xml:space="preserve">VI. Les soupapes décoratives : un laboratoire sans pouvoir</w:t>
      </w:r>
    </w:p>
    <w:p>
      <w:pPr>
        <w:pStyle w:val="Heading2"/>
      </w:pPr>
      <w:r>
        <w:t xml:space="preserve">6.1 Ostbelgien (2019)</w:t>
      </w:r>
    </w:p>
    <w:p>
      <w:pPr>
        <w:spacing w:after="120" w:line="276"/>
      </w:pPr>
      <w:r>
        <w:rPr>
          <w:rFonts w:ascii="Georgia" w:cs="Georgia" w:eastAsia="Georgia" w:hAnsi="Georgia"/>
          <w:sz w:val="21"/>
          <w:szCs w:val="21"/>
        </w:rPr>
        <w:t xml:space="preserve">Bürgerdialog : 24 membres permanents + assemblées thématiques 25-50 participants. 6 assemblées en 5 ans. Suivi obligatoire par les commissions. Mais : recommandations non contraignantes, 80 000 habitants.</w:t>
      </w:r>
    </w:p>
    <w:p>
      <w:pPr>
        <w:pStyle w:val="Heading2"/>
      </w:pPr>
      <w:r>
        <w:t xml:space="preserve">6.2 Bruxelles (2020)</w:t>
      </w:r>
    </w:p>
    <w:p>
      <w:pPr>
        <w:spacing w:after="120" w:line="276"/>
      </w:pPr>
      <w:r>
        <w:rPr>
          <w:rFonts w:ascii="Georgia" w:cs="Georgia" w:eastAsia="Georgia" w:hAnsi="Georgia"/>
          <w:sz w:val="21"/>
          <w:szCs w:val="21"/>
        </w:rPr>
        <w:t xml:space="preserve">Commissions délibératives : 3/4 citoyens + 1/4 députés. 6 commissions. Prix OIDP. Mais : fondé sur un règlement parlementaire, pas un décret.</w:t>
      </w:r>
    </w:p>
    <w:p>
      <w:pPr>
        <w:pStyle w:val="Heading2"/>
      </w:pPr>
      <w:r>
        <w:t xml:space="preserve">6.3 Fédéral : le vide</w:t>
      </w:r>
    </w:p>
    <w:p>
      <w:pPr>
        <w:spacing w:after="120" w:line="276"/>
      </w:pPr>
      <w:r>
        <w:rPr>
          <w:rFonts w:ascii="Georgia" w:cs="Georgia" w:eastAsia="Georgia" w:hAnsi="Georgia"/>
          <w:sz w:val="21"/>
          <w:szCs w:val="21"/>
        </w:rPr>
        <w:t xml:space="preserve">Lois du 2 mars 2023 et du 9 avril 2024 : panels de 50-75 citoyens. Règlement adapté en janvier 2024 — trop tard avant les élections de juin. </w:t>
      </w:r>
      <w:r>
        <w:rPr>
          <w:rFonts w:ascii="JetBrains Mono" w:cs="JetBrains Mono" w:eastAsia="JetBrains Mono" w:hAnsi="JetBrains Mono"/>
          <w:b/>
          <w:bCs/>
          <w:color w:val="E53E3E"/>
          <w:sz w:val="21"/>
          <w:szCs w:val="21"/>
        </w:rPr>
        <w:t xml:space="preserve">Aucun panel fédéral n’a jamais été activé.</w:t>
      </w:r>
    </w:p>
    <w:p>
      <w:pPr>
        <w:spacing w:after="120" w:line="276"/>
      </w:pPr>
      <w:r>
        <w:rPr>
          <w:rFonts w:ascii="Georgia" w:cs="Georgia" w:eastAsia="Georgia" w:hAnsi="Georgia"/>
          <w:b/>
          <w:bCs/>
          <w:sz w:val="21"/>
          <w:szCs w:val="21"/>
        </w:rPr>
        <w:t xml:space="preserve">We Need to Talk</w:t>
      </w:r>
      <w:r>
        <w:rPr>
          <w:rFonts w:ascii="Georgia" w:cs="Georgia" w:eastAsia="Georgia" w:hAnsi="Georgia"/>
          <w:sz w:val="21"/>
          <w:szCs w:val="21"/>
        </w:rPr>
        <w:t xml:space="preserve"> (2023) : 60 citoyens, 34 recommandations sur le financement des partis. Zéro suite politique. Les citoyens sont revenus exprimer leur colère.</w:t>
      </w:r>
    </w:p>
    <w:p>
      <w:pPr>
        <w:spacing w:after="120" w:line="276"/>
      </w:pPr>
      <w:r>
        <w:rPr>
          <w:rFonts w:ascii="Georgia" w:cs="Georgia" w:eastAsia="Georgia" w:hAnsi="Georgia"/>
          <w:b/>
          <w:bCs/>
          <w:sz w:val="21"/>
          <w:szCs w:val="21"/>
        </w:rPr>
        <w:t xml:space="preserve">G1000</w:t>
      </w:r>
      <w:r>
        <w:rPr>
          <w:rFonts w:ascii="Georgia" w:cs="Georgia" w:eastAsia="Georgia" w:hAnsi="Georgia"/>
          <w:sz w:val="21"/>
          <w:szCs w:val="21"/>
        </w:rPr>
        <w:t xml:space="preserve"> (2011) : 704 citoyens à Tour &amp; Taxis pendant la crise des 541 jours. Aucune recommandation traduite en politique. A servi de catalyseur pour Ostbelgien.</w:t>
      </w:r>
    </w:p>
    <w:p>
      <w:pPr>
        <w:spacing w:after="120" w:line="276"/>
      </w:pPr>
      <w:r>
        <w:rPr>
          <w:rFonts w:ascii="Georgia" w:cs="Georgia" w:eastAsia="Georgia" w:hAnsi="Georgia"/>
          <w:sz w:val="21"/>
          <w:szCs w:val="21"/>
        </w:rPr>
        <w:t xml:space="preserve">L’</w:t>
      </w:r>
      <w:r>
        <w:rPr>
          <w:rFonts w:ascii="Georgia" w:cs="Georgia" w:eastAsia="Georgia" w:hAnsi="Georgia"/>
          <w:b/>
          <w:bCs/>
          <w:sz w:val="21"/>
          <w:szCs w:val="21"/>
        </w:rPr>
        <w:t xml:space="preserve">accord de coalition Arizona</w:t>
      </w:r>
      <w:r>
        <w:rPr>
          <w:rFonts w:ascii="Georgia" w:cs="Georgia" w:eastAsia="Georgia" w:hAnsi="Georgia"/>
          <w:sz w:val="21"/>
          <w:szCs w:val="21"/>
        </w:rPr>
        <w:t xml:space="preserve"> (31 janvier 2025) ne contient </w:t>
      </w:r>
      <w:r>
        <w:rPr>
          <w:rFonts w:ascii="JetBrains Mono" w:cs="JetBrains Mono" w:eastAsia="JetBrains Mono" w:hAnsi="JetBrains Mono"/>
          <w:b/>
          <w:bCs/>
          <w:color w:val="E53E3E"/>
          <w:sz w:val="21"/>
          <w:szCs w:val="21"/>
        </w:rPr>
        <w:t xml:space="preserve">aucune mesure de démocratie participative</w:t>
      </w:r>
      <w:r>
        <w:rPr>
          <w:rFonts w:ascii="Georgia" w:cs="Georgia" w:eastAsia="Georgia" w:hAnsi="Georgia"/>
          <w:sz w:val="21"/>
          <w:szCs w:val="21"/>
        </w:rPr>
        <w:t xml:space="preserve">. Le portefeuille « renouveau démocratique » a été silencieusement supprimé.</w:t>
      </w:r>
    </w:p>
    <w:p>
      <w:r>
        <w:br w:type="page"/>
      </w:r>
    </w:p>
    <w:p>
      <w:pPr>
        <w:pStyle w:val="Heading1"/>
      </w:pPr>
      <w:r>
        <w:t xml:space="preserve">VII. Le lien avec l’Arizona : austérité sans contrôle citoyen</w:t>
      </w:r>
    </w:p>
    <w:p>
      <w:pPr>
        <w:spacing w:after="120" w:line="276"/>
      </w:pPr>
      <w:r>
        <w:rPr>
          <w:rFonts w:ascii="Georgia" w:cs="Georgia" w:eastAsia="Georgia" w:hAnsi="Georgia"/>
          <w:sz w:val="21"/>
          <w:szCs w:val="21"/>
        </w:rPr>
        <w:t xml:space="preserve">Ce paradoxe démocratique n’est pas abstrait. Il a des conséquences concrètes. Le gouvernement De Wever impose une </w:t>
      </w:r>
      <w:r>
        <w:rPr>
          <w:rFonts w:ascii="Georgia" w:cs="Georgia" w:eastAsia="Georgia" w:hAnsi="Georgia"/>
          <w:b/>
          <w:bCs/>
          <w:sz w:val="21"/>
          <w:szCs w:val="21"/>
        </w:rPr>
        <w:t xml:space="preserve">limitation des allocations de chômage à 24 mois</w:t>
      </w:r>
      <w:r>
        <w:rPr>
          <w:rFonts w:ascii="Georgia" w:cs="Georgia" w:eastAsia="Georgia" w:hAnsi="Georgia"/>
          <w:sz w:val="21"/>
          <w:szCs w:val="21"/>
        </w:rPr>
        <w:t xml:space="preserve"> — une première historique menaçant environ 184 000 personnes — sans que les citoyens puissent s’exprimer directement. La Cour constitutionnelle (arrêt 8/2025) rappelle le </w:t>
      </w:r>
      <w:r>
        <w:rPr>
          <w:rFonts w:ascii="Georgia" w:cs="Georgia" w:eastAsia="Georgia" w:hAnsi="Georgia"/>
          <w:b/>
          <w:bCs/>
          <w:sz w:val="21"/>
          <w:szCs w:val="21"/>
        </w:rPr>
        <w:t xml:space="preserve">principe de standstill</w:t>
      </w:r>
      <w:r>
        <w:rPr>
          <w:rFonts w:ascii="Georgia" w:cs="Georgia" w:eastAsia="Georgia" w:hAnsi="Georgia"/>
          <w:sz w:val="21"/>
          <w:szCs w:val="21"/>
        </w:rPr>
        <w:t xml:space="preserve"> (Art. 23) mais le gouvernement maintient le cap.</w:t>
      </w:r>
    </w:p>
    <w:p>
      <w:pPr>
        <w:spacing w:after="120" w:line="276"/>
      </w:pPr>
      <w:r>
        <w:rPr>
          <w:rFonts w:ascii="Georgia" w:cs="Georgia" w:eastAsia="Georgia" w:hAnsi="Georgia"/>
          <w:sz w:val="21"/>
          <w:szCs w:val="21"/>
        </w:rPr>
        <w:t xml:space="preserve">Comme le documente notre dossier </w:t>
      </w:r>
      <w:r>
        <w:rPr>
          <w:rFonts w:ascii="Georgia" w:cs="Georgia" w:eastAsia="Georgia" w:hAnsi="Georgia"/>
          <w:i/>
          <w:iCs/>
          <w:sz w:val="21"/>
          <w:szCs w:val="21"/>
        </w:rPr>
        <w:t xml:space="preserve">La dépossession du pouvoir d’agir citoyen (1980-2026)</w:t>
      </w:r>
      <w:r>
        <w:rPr>
          <w:rFonts w:ascii="Georgia" w:cs="Georgia" w:eastAsia="Georgia" w:hAnsi="Georgia"/>
          <w:sz w:val="21"/>
          <w:szCs w:val="21"/>
        </w:rPr>
        <w:t xml:space="preserve">, la trajectoire néolibérale est continue depuis Martens V (1982), renforcée par Maastricht (1992), Michel (saut d’index 2015), et accélérée par Arizona. À chaque étape, le citoyen subit sans pouvoir décider.</w:t>
      </w:r>
    </w:p>
    <w:p>
      <w:pPr>
        <w:spacing w:after="120" w:line="276"/>
      </w:pPr>
      <w:r>
        <w:rPr>
          <w:rFonts w:ascii="Georgia" w:cs="Georgia" w:eastAsia="Georgia" w:hAnsi="Georgia"/>
          <w:sz w:val="21"/>
          <w:szCs w:val="21"/>
        </w:rPr>
        <w:t xml:space="preserve">Quatre plaintes collectives sont actives devant le </w:t>
      </w:r>
      <w:r>
        <w:rPr>
          <w:rFonts w:ascii="Georgia" w:cs="Georgia" w:eastAsia="Georgia" w:hAnsi="Georgia"/>
          <w:b/>
          <w:bCs/>
          <w:sz w:val="21"/>
          <w:szCs w:val="21"/>
        </w:rPr>
        <w:t xml:space="preserve">Comité européen des droits sociaux</w:t>
      </w:r>
      <w:r>
        <w:rPr>
          <w:rFonts w:ascii="Georgia" w:cs="Georgia" w:eastAsia="Georgia" w:hAnsi="Georgia"/>
          <w:sz w:val="21"/>
          <w:szCs w:val="21"/>
        </w:rPr>
        <w:t xml:space="preserve"> : n° 237/2024 (ETUC et syndicats vs norme salariale), n° 233/2023 (FIDH &amp; ATD Quart Monde vs mendicité). La </w:t>
      </w:r>
      <w:r>
        <w:rPr>
          <w:rFonts w:ascii="Georgia" w:cs="Georgia" w:eastAsia="Georgia" w:hAnsi="Georgia"/>
          <w:b/>
          <w:bCs/>
          <w:sz w:val="21"/>
          <w:szCs w:val="21"/>
        </w:rPr>
        <w:t xml:space="preserve">Ligue des Droits Humains</w:t>
      </w:r>
      <w:r>
        <w:rPr>
          <w:rFonts w:ascii="Georgia" w:cs="Georgia" w:eastAsia="Georgia" w:hAnsi="Georgia"/>
          <w:sz w:val="21"/>
          <w:szCs w:val="21"/>
        </w:rPr>
        <w:t xml:space="preserve"> (Rapport 2025) qualifie Arizona d’« assaut coordonné contre les piliers de la démocratie ». L’</w:t>
      </w:r>
      <w:r>
        <w:rPr>
          <w:rFonts w:ascii="Georgia" w:cs="Georgia" w:eastAsia="Georgia" w:hAnsi="Georgia"/>
          <w:b/>
          <w:bCs/>
          <w:sz w:val="21"/>
          <w:szCs w:val="21"/>
        </w:rPr>
        <w:t xml:space="preserve">IFDH</w:t>
      </w:r>
      <w:r>
        <w:rPr>
          <w:rFonts w:ascii="Georgia" w:cs="Georgia" w:eastAsia="Georgia" w:hAnsi="Georgia"/>
          <w:sz w:val="21"/>
          <w:szCs w:val="21"/>
        </w:rPr>
        <w:t xml:space="preserve"> (avis n° 2025/4) conclut que les restrictions risquent de violer l’article 23.</w:t>
      </w:r>
    </w:p>
    <w:p>
      <w:pPr>
        <w:spacing w:after="120" w:line="276"/>
      </w:pPr>
      <w:r>
        <w:rPr>
          <w:rFonts w:ascii="Georgia" w:cs="Georgia" w:eastAsia="Georgia" w:hAnsi="Georgia"/>
          <w:sz w:val="21"/>
          <w:szCs w:val="21"/>
        </w:rPr>
        <w:t xml:space="preserve">Le kern de 4 femmes sur 15 ministres. Le Collecti.e.f 8 maars qualifie Arizona de « déclaration de guerre contre les femmes ». Les trois quarts des bénéficiaires de l’allocation de garantie de revenus sont des femmes. Le système produit de l’austérité genrée sans aucun mécanisme de veto citoyen.</w:t>
      </w:r>
    </w:p>
    <w:p>
      <w:r>
        <w:br w:type="page"/>
      </w:r>
    </w:p>
    <w:p>
      <w:pPr>
        <w:pStyle w:val="Heading1"/>
      </w:pPr>
      <w:r>
        <w:t xml:space="preserve">VIII. Les Trois Guerres Civiques : le cadre d’action</w:t>
      </w:r>
    </w:p>
    <w:p>
      <w:pPr>
        <w:spacing w:after="120" w:line="276"/>
      </w:pPr>
      <w:r>
        <w:rPr>
          <w:rFonts w:ascii="Georgia" w:cs="Georgia" w:eastAsia="Georgia" w:hAnsi="Georgia"/>
          <w:sz w:val="21"/>
          <w:szCs w:val="21"/>
        </w:rPr>
        <w:t xml:space="preserve">Face à ce triple verrouillage, le cadre doctrinal d’ouaisfieu transpose la doctrine chinoise des Trois Guerres (三种战法) au combat démocratique non-violent.</w:t>
      </w:r>
    </w:p>
    <w:p>
      <w:pPr>
        <w:pStyle w:val="Heading2"/>
      </w:pPr>
      <w:r>
        <w:t xml:space="preserve">8.1 Ce que la particratie fait au citoyen</w:t>
      </w:r>
    </w:p>
    <w:p>
      <w:pPr>
        <w:pStyle w:val="ListParagraph"/>
        <w:numPr>
          <w:ilvl w:val="0"/>
          <w:numId w:val="3"/>
        </w:numPr>
        <w:spacing w:after="60" w:line="276"/>
      </w:pPr>
      <w:r>
        <w:rPr>
          <w:rFonts w:ascii="Georgia" w:cs="Georgia" w:eastAsia="Georgia" w:hAnsi="Georgia"/>
          <w:b/>
          <w:bCs/>
          <w:sz w:val="21"/>
          <w:szCs w:val="21"/>
        </w:rPr>
        <w:t xml:space="preserve">Guerre de l’information inversée : </w:t>
      </w:r>
      <w:r>
        <w:rPr>
          <w:rFonts w:ascii="Georgia" w:cs="Georgia" w:eastAsia="Georgia" w:hAnsi="Georgia"/>
          <w:sz w:val="21"/>
          <w:szCs w:val="21"/>
        </w:rPr>
        <w:t xml:space="preserve">contrôle du récit par cadrage épisodique, monopole des sources gouvernementales, pilarisation médiatique résiduelle.</w:t>
      </w:r>
    </w:p>
    <w:p>
      <w:pPr>
        <w:pStyle w:val="ListParagraph"/>
        <w:numPr>
          <w:ilvl w:val="0"/>
          <w:numId w:val="3"/>
        </w:numPr>
        <w:spacing w:after="60" w:line="276"/>
      </w:pPr>
      <w:r>
        <w:rPr>
          <w:rFonts w:ascii="Georgia" w:cs="Georgia" w:eastAsia="Georgia" w:hAnsi="Georgia"/>
          <w:b/>
          <w:bCs/>
          <w:sz w:val="21"/>
          <w:szCs w:val="21"/>
        </w:rPr>
        <w:t xml:space="preserve">Guerre psychologique inversée : </w:t>
      </w:r>
      <w:r>
        <w:rPr>
          <w:rFonts w:ascii="Georgia" w:cs="Georgia" w:eastAsia="Georgia" w:hAnsi="Georgia"/>
          <w:sz w:val="21"/>
          <w:szCs w:val="21"/>
        </w:rPr>
        <w:t xml:space="preserve">maintien dans l’impuissance apprise. Vote obligatoire + listes bloquées + coalitions pré-négociées = le citoyen valide sans décider. Complexité institutionnelle (6 parlements) comme arme de dissuasion cognitive.</w:t>
      </w:r>
    </w:p>
    <w:p>
      <w:pPr>
        <w:pStyle w:val="ListParagraph"/>
        <w:numPr>
          <w:ilvl w:val="0"/>
          <w:numId w:val="3"/>
        </w:numPr>
        <w:spacing w:after="60" w:line="276"/>
      </w:pPr>
      <w:r>
        <w:rPr>
          <w:rFonts w:ascii="Georgia" w:cs="Georgia" w:eastAsia="Georgia" w:hAnsi="Georgia"/>
          <w:b/>
          <w:bCs/>
          <w:sz w:val="21"/>
          <w:szCs w:val="21"/>
        </w:rPr>
        <w:t xml:space="preserve">Guerre juridique inversée : </w:t>
      </w:r>
      <w:r>
        <w:rPr>
          <w:rFonts w:ascii="Georgia" w:cs="Georgia" w:eastAsia="Georgia" w:hAnsi="Georgia"/>
          <w:sz w:val="21"/>
          <w:szCs w:val="21"/>
        </w:rPr>
        <w:t xml:space="preserve">lawfare contre le droit. 10 000+ condamnations inexécutées (MSF, février 2025), arrêt Camara CEDH (2023), Klimaatzaak sans exécution réelle.</w:t>
      </w:r>
    </w:p>
    <w:p>
      <w:pPr>
        <w:pStyle w:val="Heading2"/>
      </w:pPr>
      <w:r>
        <w:t xml:space="preserve">8.2 La riposte civique</w:t>
      </w:r>
    </w:p>
    <w:p>
      <w:pPr>
        <w:pStyle w:val="ListParagraph"/>
        <w:numPr>
          <w:ilvl w:val="0"/>
          <w:numId w:val="3"/>
        </w:numPr>
        <w:spacing w:after="60" w:line="276"/>
      </w:pPr>
      <w:r>
        <w:rPr>
          <w:rFonts w:ascii="Georgia" w:cs="Georgia" w:eastAsia="Georgia" w:hAnsi="Georgia"/>
          <w:b/>
          <w:bCs/>
          <w:sz w:val="21"/>
          <w:szCs w:val="21"/>
        </w:rPr>
        <w:t xml:space="preserve">Guerre I — Le récit : </w:t>
      </w:r>
      <w:r>
        <w:rPr>
          <w:rFonts w:ascii="Georgia" w:cs="Georgia" w:eastAsia="Georgia" w:hAnsi="Georgia"/>
          <w:sz w:val="21"/>
          <w:szCs w:val="21"/>
        </w:rPr>
        <w:t xml:space="preserve">OSINT citoyen, lead-dexing, contre-narratifs documentés. Contrôler le sens de l’information par la donnée probante.</w:t>
      </w:r>
    </w:p>
    <w:p>
      <w:pPr>
        <w:pStyle w:val="ListParagraph"/>
        <w:numPr>
          <w:ilvl w:val="0"/>
          <w:numId w:val="3"/>
        </w:numPr>
        <w:spacing w:after="60" w:line="276"/>
      </w:pPr>
      <w:r>
        <w:rPr>
          <w:rFonts w:ascii="Georgia" w:cs="Georgia" w:eastAsia="Georgia" w:hAnsi="Georgia"/>
          <w:b/>
          <w:bCs/>
          <w:sz w:val="21"/>
          <w:szCs w:val="21"/>
        </w:rPr>
        <w:t xml:space="preserve">Guerre II — La dé-sidération : </w:t>
      </w:r>
      <w:r>
        <w:rPr>
          <w:rFonts w:ascii="Georgia" w:cs="Georgia" w:eastAsia="Georgia" w:hAnsi="Georgia"/>
          <w:sz w:val="21"/>
          <w:szCs w:val="21"/>
        </w:rPr>
        <w:t xml:space="preserve">rupture de l’apathie par l’éducation permanente, formation OSINT, restauration du pouvoir d’agir.</w:t>
      </w:r>
    </w:p>
    <w:p>
      <w:pPr>
        <w:pStyle w:val="ListParagraph"/>
        <w:numPr>
          <w:ilvl w:val="0"/>
          <w:numId w:val="3"/>
        </w:numPr>
        <w:spacing w:after="60" w:line="276"/>
      </w:pPr>
      <w:r>
        <w:rPr>
          <w:rFonts w:ascii="Georgia" w:cs="Georgia" w:eastAsia="Georgia" w:hAnsi="Georgia"/>
          <w:b/>
          <w:bCs/>
          <w:sz w:val="21"/>
          <w:szCs w:val="21"/>
        </w:rPr>
        <w:t xml:space="preserve">Guerre III — Le prétoire : </w:t>
      </w:r>
      <w:r>
        <w:rPr>
          <w:rFonts w:ascii="Georgia" w:cs="Georgia" w:eastAsia="Georgia" w:hAnsi="Georgia"/>
          <w:sz w:val="21"/>
          <w:szCs w:val="21"/>
        </w:rPr>
        <w:t xml:space="preserve">contentieux stratégique. Saturation judiciaire. Recours Art. 23 (standstill), Comité européen des droits sociaux, CEDH.</w:t>
      </w:r>
    </w:p>
    <w:p>
      <w:r>
        <w:br w:type="page"/>
      </w:r>
    </w:p>
    <w:p>
      <w:pPr>
        <w:pStyle w:val="Heading1"/>
      </w:pPr>
      <w:r>
        <w:t xml:space="preserve">IX. Diagnostic : le circuit fermé</w:t>
      </w:r>
    </w:p>
    <w:p>
      <w:pPr>
        <w:spacing w:after="120" w:line="276"/>
      </w:pPr>
      <w:r>
        <w:rPr>
          <w:rFonts w:ascii="Georgia" w:cs="Georgia" w:eastAsia="Georgia" w:hAnsi="Georgia"/>
          <w:sz w:val="21"/>
          <w:szCs w:val="21"/>
        </w:rPr>
        <w:t xml:space="preserve">Le paradoxe n’en est pas un. La combinaison vote obligatoire + interdiction du référendum + particratie forme un </w:t>
      </w:r>
      <w:r>
        <w:rPr>
          <w:rFonts w:ascii="Georgia" w:cs="Georgia" w:eastAsia="Georgia" w:hAnsi="Georgia"/>
          <w:b/>
          <w:bCs/>
          <w:sz w:val="21"/>
          <w:szCs w:val="21"/>
        </w:rPr>
        <w:t xml:space="preserve">circuit fermé</w:t>
      </w:r>
      <w:r>
        <w:rPr>
          <w:rFonts w:ascii="Georgia" w:cs="Georgia" w:eastAsia="Georgia" w:hAnsi="Georgia"/>
          <w:sz w:val="21"/>
          <w:szCs w:val="21"/>
        </w:rPr>
        <w:t xml:space="preserve"> où le citoyen produit de la légitimité sans jamais pouvoir la consommer :</w:t>
      </w:r>
    </w:p>
    <w:p>
      <w:pPr>
        <w:pStyle w:val="ListParagraph"/>
        <w:numPr>
          <w:ilvl w:val="0"/>
          <w:numId w:val="4"/>
        </w:numPr>
        <w:spacing w:after="60" w:line="276"/>
      </w:pPr>
      <w:r>
        <w:rPr>
          <w:rFonts w:ascii="Georgia" w:cs="Georgia" w:eastAsia="Georgia" w:hAnsi="Georgia"/>
          <w:b/>
          <w:bCs/>
          <w:sz w:val="21"/>
          <w:szCs w:val="21"/>
        </w:rPr>
        <w:t xml:space="preserve">Obligation de voter</w:t>
      </w:r>
      <w:r>
        <w:rPr>
          <w:rFonts w:ascii="Georgia" w:cs="Georgia" w:eastAsia="Georgia" w:hAnsi="Georgia"/>
          <w:sz w:val="21"/>
          <w:szCs w:val="21"/>
        </w:rPr>
        <w:t xml:space="preserve"> (Art. 62) → participation élevée → légitimité formelle</w:t>
      </w:r>
    </w:p>
    <w:p>
      <w:pPr>
        <w:pStyle w:val="ListParagraph"/>
        <w:numPr>
          <w:ilvl w:val="0"/>
          <w:numId w:val="4"/>
        </w:numPr>
        <w:spacing w:after="60" w:line="276"/>
      </w:pPr>
      <w:r>
        <w:rPr>
          <w:rFonts w:ascii="Georgia" w:cs="Georgia" w:eastAsia="Georgia" w:hAnsi="Georgia"/>
          <w:b/>
          <w:bCs/>
          <w:sz w:val="21"/>
          <w:szCs w:val="21"/>
        </w:rPr>
        <w:t xml:space="preserve">Listes partisanes</w:t>
      </w:r>
      <w:r>
        <w:rPr>
          <w:rFonts w:ascii="Georgia" w:cs="Georgia" w:eastAsia="Georgia" w:hAnsi="Georgia"/>
          <w:sz w:val="21"/>
          <w:szCs w:val="21"/>
        </w:rPr>
        <w:t xml:space="preserve"> → case de tête dévolutive → le parti choisit l’ordre d’élection</w:t>
      </w:r>
    </w:p>
    <w:p>
      <w:pPr>
        <w:pStyle w:val="ListParagraph"/>
        <w:numPr>
          <w:ilvl w:val="0"/>
          <w:numId w:val="4"/>
        </w:numPr>
        <w:spacing w:after="60" w:line="276"/>
      </w:pPr>
      <w:r>
        <w:rPr>
          <w:rFonts w:ascii="Georgia" w:cs="Georgia" w:eastAsia="Georgia" w:hAnsi="Georgia"/>
          <w:b/>
          <w:bCs/>
          <w:sz w:val="21"/>
          <w:szCs w:val="21"/>
        </w:rPr>
        <w:t xml:space="preserve">Discipline de vote</w:t>
      </w:r>
      <w:r>
        <w:rPr>
          <w:rFonts w:ascii="Georgia" w:cs="Georgia" w:eastAsia="Georgia" w:hAnsi="Georgia"/>
          <w:sz w:val="21"/>
          <w:szCs w:val="21"/>
        </w:rPr>
        <w:t xml:space="preserve"> (99,73%) → le Parlement entérine</w:t>
      </w:r>
    </w:p>
    <w:p>
      <w:pPr>
        <w:pStyle w:val="ListParagraph"/>
        <w:numPr>
          <w:ilvl w:val="0"/>
          <w:numId w:val="4"/>
        </w:numPr>
        <w:spacing w:after="60" w:line="276"/>
      </w:pPr>
      <w:r>
        <w:rPr>
          <w:rFonts w:ascii="Georgia" w:cs="Georgia" w:eastAsia="Georgia" w:hAnsi="Georgia"/>
          <w:b/>
          <w:bCs/>
          <w:sz w:val="21"/>
          <w:szCs w:val="21"/>
        </w:rPr>
        <w:t xml:space="preserve">Kern + sommets</w:t>
      </w:r>
      <w:r>
        <w:rPr>
          <w:rFonts w:ascii="Georgia" w:cs="Georgia" w:eastAsia="Georgia" w:hAnsi="Georgia"/>
          <w:sz w:val="21"/>
          <w:szCs w:val="21"/>
        </w:rPr>
        <w:t xml:space="preserve"> → présidents de parti décident → 188,3 M€/an de fonds publics</w:t>
      </w:r>
    </w:p>
    <w:p>
      <w:pPr>
        <w:pStyle w:val="ListParagraph"/>
        <w:numPr>
          <w:ilvl w:val="0"/>
          <w:numId w:val="4"/>
        </w:numPr>
        <w:spacing w:after="60" w:line="276"/>
      </w:pPr>
      <w:r>
        <w:rPr>
          <w:rFonts w:ascii="Georgia" w:cs="Georgia" w:eastAsia="Georgia" w:hAnsi="Georgia"/>
          <w:b/>
          <w:bCs/>
          <w:sz w:val="21"/>
          <w:szCs w:val="21"/>
        </w:rPr>
        <w:t xml:space="preserve">Aucun référendum</w:t>
      </w:r>
      <w:r>
        <w:rPr>
          <w:rFonts w:ascii="Georgia" w:cs="Georgia" w:eastAsia="Georgia" w:hAnsi="Georgia"/>
          <w:sz w:val="21"/>
          <w:szCs w:val="21"/>
        </w:rPr>
        <w:t xml:space="preserve"> (Art. 33) → pas d’irruption de la volonté populaire</w:t>
      </w:r>
    </w:p>
    <w:p>
      <w:pPr>
        <w:pStyle w:val="ListParagraph"/>
        <w:numPr>
          <w:ilvl w:val="0"/>
          <w:numId w:val="4"/>
        </w:numPr>
        <w:spacing w:after="200" w:line="276"/>
      </w:pPr>
      <w:r>
        <w:rPr>
          <w:rFonts w:ascii="Georgia" w:cs="Georgia" w:eastAsia="Georgia" w:hAnsi="Georgia"/>
          <w:b/>
          <w:bCs/>
          <w:sz w:val="21"/>
          <w:szCs w:val="21"/>
        </w:rPr>
        <w:t xml:space="preserve">Retour à l’obligation</w:t>
      </w:r>
      <w:r>
        <w:rPr>
          <w:rFonts w:ascii="Georgia" w:cs="Georgia" w:eastAsia="Georgia" w:hAnsi="Georgia"/>
          <w:sz w:val="21"/>
          <w:szCs w:val="21"/>
        </w:rPr>
        <w:t xml:space="preserve"> → le cycle recommence</w:t>
      </w:r>
    </w:p>
    <w:p>
      <w:pPr>
        <w:spacing w:after="120" w:line="276"/>
      </w:pPr>
      <w:r>
        <w:rPr>
          <w:rFonts w:ascii="Georgia" w:cs="Georgia" w:eastAsia="Georgia" w:hAnsi="Georgia"/>
          <w:sz w:val="21"/>
          <w:szCs w:val="21"/>
        </w:rPr>
        <w:t xml:space="preserve">Ce système est </w:t>
      </w:r>
      <w:r>
        <w:rPr>
          <w:rFonts w:ascii="Georgia" w:cs="Georgia" w:eastAsia="Georgia" w:hAnsi="Georgia"/>
          <w:b/>
          <w:bCs/>
          <w:sz w:val="21"/>
          <w:szCs w:val="21"/>
        </w:rPr>
        <w:t xml:space="preserve">parfaitement légal</w:t>
      </w:r>
      <w:r>
        <w:rPr>
          <w:rFonts w:ascii="Georgia" w:cs="Georgia" w:eastAsia="Georgia" w:hAnsi="Georgia"/>
          <w:sz w:val="21"/>
          <w:szCs w:val="21"/>
        </w:rPr>
        <w:t xml:space="preserve"> (la discipline de vote est un usage, l’accord de gouvernement un contrat politique, les réunions de présidents sont informelles) </w:t>
      </w:r>
      <w:r>
        <w:rPr>
          <w:rFonts w:ascii="Georgia" w:cs="Georgia" w:eastAsia="Georgia" w:hAnsi="Georgia"/>
          <w:b/>
          <w:bCs/>
          <w:sz w:val="21"/>
          <w:szCs w:val="21"/>
        </w:rPr>
        <w:t xml:space="preserve">ET profondément illégitime</w:t>
      </w:r>
      <w:r>
        <w:rPr>
          <w:rFonts w:ascii="Georgia" w:cs="Georgia" w:eastAsia="Georgia" w:hAnsi="Georgia"/>
          <w:sz w:val="21"/>
          <w:szCs w:val="21"/>
        </w:rPr>
        <w:t xml:space="preserve"> (le citoyen est exclu, le Parlement ne contrôle plus, l’État ignore la justice). Les réformes structurelles sont impossibles de l’intérieur : les bénéficiaires du système ne le réformeront pas.</w:t>
      </w:r>
    </w:p>
    <w:p>
      <w:pPr>
        <w:spacing w:after="120" w:line="276"/>
      </w:pPr>
      <w:r>
        <w:rPr>
          <w:rFonts w:ascii="Georgia" w:cs="Georgia" w:eastAsia="Georgia" w:hAnsi="Georgia"/>
          <w:sz w:val="21"/>
          <w:szCs w:val="21"/>
        </w:rPr>
        <w:t xml:space="preserve">Modifier l’article 33 exige une déclaration de révision pré-électorale suivie d’un vote aux deux tiers. À </w:t>
      </w:r>
      <w:r>
        <w:rPr>
          <w:rFonts w:ascii="JetBrains Mono" w:cs="JetBrains Mono" w:eastAsia="JetBrains Mono" w:hAnsi="JetBrains Mono"/>
          <w:b/>
          <w:bCs/>
          <w:color w:val="9F7AEA"/>
          <w:sz w:val="21"/>
          <w:szCs w:val="21"/>
        </w:rPr>
        <w:t xml:space="preserve">188,3 M€</w:t>
      </w:r>
      <w:r>
        <w:rPr>
          <w:rFonts w:ascii="Georgia" w:cs="Georgia" w:eastAsia="Georgia" w:hAnsi="Georgia"/>
          <w:sz w:val="21"/>
          <w:szCs w:val="21"/>
        </w:rPr>
        <w:t xml:space="preserve"> de financement public et </w:t>
      </w:r>
      <w:r>
        <w:rPr>
          <w:rFonts w:ascii="JetBrains Mono" w:cs="JetBrains Mono" w:eastAsia="JetBrains Mono" w:hAnsi="JetBrains Mono"/>
          <w:b/>
          <w:bCs/>
          <w:color w:val="E53E3E"/>
          <w:sz w:val="21"/>
          <w:szCs w:val="21"/>
        </w:rPr>
        <w:t xml:space="preserve">8%</w:t>
      </w:r>
      <w:r>
        <w:rPr>
          <w:rFonts w:ascii="Georgia" w:cs="Georgia" w:eastAsia="Georgia" w:hAnsi="Georgia"/>
          <w:sz w:val="21"/>
          <w:szCs w:val="21"/>
        </w:rPr>
        <w:t xml:space="preserve"> de confiance, la question n’est plus si le référendum est techniquement possible. C’est si les partis qui bénéficient du système ont un intérêt rationnel à le permettre. La réponse est structurellement négative.</w:t>
      </w:r>
    </w:p>
    <w:p>
      <w:r>
        <w:br w:type="page"/>
      </w:r>
    </w:p>
    <w:p>
      <w:pPr>
        <w:pStyle w:val="Heading1"/>
      </w:pPr>
      <w:r>
        <w:t xml:space="preserve">Bibliographie sélective</w:t>
      </w:r>
    </w:p>
    <w:p>
      <w:pPr>
        <w:pStyle w:val="Heading2"/>
      </w:pPr>
      <w:r>
        <w:t xml:space="preserve">Sources constitutionnelles et jurisprudentielles</w:t>
      </w:r>
    </w:p>
    <w:p>
      <w:pPr>
        <w:pStyle w:val="ListParagraph"/>
        <w:numPr>
          <w:ilvl w:val="0"/>
          <w:numId w:val="2"/>
        </w:numPr>
        <w:spacing w:after="60" w:line="276"/>
      </w:pPr>
      <w:r>
        <w:rPr>
          <w:rFonts w:ascii="Georgia" w:cs="Georgia" w:eastAsia="Georgia" w:hAnsi="Georgia"/>
          <w:sz w:val="21"/>
          <w:szCs w:val="21"/>
        </w:rPr>
        <w:t xml:space="preserve">Constitution belge coordonnée (senate.be, ejustice.just.fgov.be) — Art. 33, 42, 62, 195</w:t>
      </w:r>
    </w:p>
    <w:p>
      <w:pPr>
        <w:pStyle w:val="ListParagraph"/>
        <w:numPr>
          <w:ilvl w:val="0"/>
          <w:numId w:val="2"/>
        </w:numPr>
        <w:spacing w:after="60" w:line="276"/>
      </w:pPr>
      <w:r>
        <w:rPr>
          <w:rFonts w:ascii="Georgia" w:cs="Georgia" w:eastAsia="Georgia" w:hAnsi="Georgia"/>
          <w:sz w:val="21"/>
          <w:szCs w:val="21"/>
        </w:rPr>
        <w:t xml:space="preserve">Conseil d’État, avis n° 15.853 (15/05/1985), n° 37.804 (29/11/2004)</w:t>
      </w:r>
    </w:p>
    <w:p>
      <w:pPr>
        <w:pStyle w:val="ListParagraph"/>
        <w:numPr>
          <w:ilvl w:val="0"/>
          <w:numId w:val="2"/>
        </w:numPr>
        <w:spacing w:after="60" w:line="276"/>
      </w:pPr>
      <w:r>
        <w:rPr>
          <w:rFonts w:ascii="Georgia" w:cs="Georgia" w:eastAsia="Georgia" w:hAnsi="Georgia"/>
          <w:sz w:val="21"/>
          <w:szCs w:val="21"/>
        </w:rPr>
        <w:t xml:space="preserve">Cour constitutionnelle, arrêt 8/2025 (30/01/2025) — principe de standstill</w:t>
      </w:r>
    </w:p>
    <w:p>
      <w:pPr>
        <w:pStyle w:val="ListParagraph"/>
        <w:numPr>
          <w:ilvl w:val="0"/>
          <w:numId w:val="2"/>
        </w:numPr>
        <w:spacing w:after="60" w:line="276"/>
      </w:pPr>
      <w:r>
        <w:rPr>
          <w:rFonts w:ascii="Georgia" w:cs="Georgia" w:eastAsia="Georgia" w:hAnsi="Georgia"/>
          <w:sz w:val="21"/>
          <w:szCs w:val="21"/>
        </w:rPr>
        <w:t xml:space="preserve">CEDH, Camara c. Belgique (2023) — carence systémique</w:t>
      </w:r>
    </w:p>
    <w:p>
      <w:pPr>
        <w:pStyle w:val="Heading2"/>
      </w:pPr>
      <w:r>
        <w:t xml:space="preserve">Sources académiques</w:t>
      </w:r>
    </w:p>
    <w:p>
      <w:pPr>
        <w:pStyle w:val="ListParagraph"/>
        <w:numPr>
          <w:ilvl w:val="0"/>
          <w:numId w:val="2"/>
        </w:numPr>
        <w:spacing w:after="60" w:line="276"/>
      </w:pPr>
      <w:r>
        <w:rPr>
          <w:rFonts w:ascii="Georgia" w:cs="Georgia" w:eastAsia="Georgia" w:hAnsi="Georgia"/>
          <w:sz w:val="21"/>
          <w:szCs w:val="21"/>
        </w:rPr>
        <w:t xml:space="preserve">Dewachter, W. (2014). De trukendoos van de Belgische particratie. Pelckmans.</w:t>
      </w:r>
    </w:p>
    <w:p>
      <w:pPr>
        <w:pStyle w:val="ListParagraph"/>
        <w:numPr>
          <w:ilvl w:val="0"/>
          <w:numId w:val="2"/>
        </w:numPr>
        <w:spacing w:after="60" w:line="276"/>
      </w:pPr>
      <w:r>
        <w:rPr>
          <w:rFonts w:ascii="Georgia" w:cs="Georgia" w:eastAsia="Georgia" w:hAnsi="Georgia"/>
          <w:sz w:val="21"/>
          <w:szCs w:val="21"/>
        </w:rPr>
        <w:t xml:space="preserve">Deschouwer, K. (2012). The Politics of Belgium. Palgrave Macmillan.</w:t>
      </w:r>
    </w:p>
    <w:p>
      <w:pPr>
        <w:pStyle w:val="ListParagraph"/>
        <w:numPr>
          <w:ilvl w:val="0"/>
          <w:numId w:val="2"/>
        </w:numPr>
        <w:spacing w:after="60" w:line="276"/>
      </w:pPr>
      <w:r>
        <w:rPr>
          <w:rFonts w:ascii="Georgia" w:cs="Georgia" w:eastAsia="Georgia" w:hAnsi="Georgia"/>
          <w:sz w:val="21"/>
          <w:szCs w:val="21"/>
        </w:rPr>
        <w:t xml:space="preserve">Verleden, F. (2019/2021). Aux sources de la particratie. CRISP, CH n° 2501-2504.</w:t>
      </w:r>
    </w:p>
    <w:p>
      <w:pPr>
        <w:pStyle w:val="ListParagraph"/>
        <w:numPr>
          <w:ilvl w:val="0"/>
          <w:numId w:val="2"/>
        </w:numPr>
        <w:spacing w:after="60" w:line="276"/>
      </w:pPr>
      <w:r>
        <w:rPr>
          <w:rFonts w:ascii="Georgia" w:cs="Georgia" w:eastAsia="Georgia" w:hAnsi="Georgia"/>
          <w:sz w:val="21"/>
          <w:szCs w:val="21"/>
        </w:rPr>
        <w:t xml:space="preserve">Gaudin, T. (2020). Gouvernement minoritaire et particratie. ULB, Carnet de crise n° 14.</w:t>
      </w:r>
    </w:p>
    <w:p>
      <w:pPr>
        <w:pStyle w:val="ListParagraph"/>
        <w:numPr>
          <w:ilvl w:val="0"/>
          <w:numId w:val="2"/>
        </w:numPr>
        <w:spacing w:after="60" w:line="276"/>
      </w:pPr>
      <w:r>
        <w:rPr>
          <w:rFonts w:ascii="Georgia" w:cs="Georgia" w:eastAsia="Georgia" w:hAnsi="Georgia"/>
          <w:sz w:val="21"/>
          <w:szCs w:val="21"/>
        </w:rPr>
        <w:t xml:space="preserve">Faniel, J. &amp; Sägesser, C. (2022). Au cœur du pouvoir : le kern. CRISP, CH n° 2560-2561.</w:t>
      </w:r>
    </w:p>
    <w:p>
      <w:pPr>
        <w:pStyle w:val="ListParagraph"/>
        <w:numPr>
          <w:ilvl w:val="0"/>
          <w:numId w:val="2"/>
        </w:numPr>
        <w:spacing w:after="60" w:line="276"/>
      </w:pPr>
      <w:r>
        <w:rPr>
          <w:rFonts w:ascii="Georgia" w:cs="Georgia" w:eastAsia="Georgia" w:hAnsi="Georgia"/>
          <w:sz w:val="21"/>
          <w:szCs w:val="21"/>
        </w:rPr>
        <w:t xml:space="preserve">Göransson, M. (2015). La réforme des cabinets ministériels. CRISP, CH n° 2254.</w:t>
      </w:r>
    </w:p>
    <w:p>
      <w:pPr>
        <w:pStyle w:val="ListParagraph"/>
        <w:numPr>
          <w:ilvl w:val="0"/>
          <w:numId w:val="2"/>
        </w:numPr>
        <w:spacing w:after="60" w:line="276"/>
      </w:pPr>
      <w:r>
        <w:rPr>
          <w:rFonts w:ascii="Georgia" w:cs="Georgia" w:eastAsia="Georgia" w:hAnsi="Georgia"/>
          <w:sz w:val="21"/>
          <w:szCs w:val="21"/>
        </w:rPr>
        <w:t xml:space="preserve">Gaudin, T. &amp; Reuchamps, M. (2018). Consultation populaire et référendum en Belgique. CRISP, CH n° 2390-2391.</w:t>
      </w:r>
    </w:p>
    <w:p>
      <w:pPr>
        <w:pStyle w:val="ListParagraph"/>
        <w:numPr>
          <w:ilvl w:val="0"/>
          <w:numId w:val="2"/>
        </w:numPr>
        <w:spacing w:after="60" w:line="276"/>
      </w:pPr>
      <w:r>
        <w:rPr>
          <w:rFonts w:ascii="Georgia" w:cs="Georgia" w:eastAsia="Georgia" w:hAnsi="Georgia"/>
          <w:sz w:val="21"/>
          <w:szCs w:val="21"/>
        </w:rPr>
        <w:t xml:space="preserve">Bourgaux, A.-E. (2013). La démocratisation du gouvernement représentatif belge. Thèse ULB.</w:t>
      </w:r>
    </w:p>
    <w:p>
      <w:pPr>
        <w:pStyle w:val="ListParagraph"/>
        <w:numPr>
          <w:ilvl w:val="0"/>
          <w:numId w:val="2"/>
        </w:numPr>
        <w:spacing w:after="60" w:line="276"/>
      </w:pPr>
      <w:r>
        <w:rPr>
          <w:rFonts w:ascii="Georgia" w:cs="Georgia" w:eastAsia="Georgia" w:hAnsi="Georgia"/>
          <w:sz w:val="21"/>
          <w:szCs w:val="21"/>
        </w:rPr>
        <w:t xml:space="preserve">Hindriks, J. &amp; Lamfalussy, A. (2024). Le fédéralisme belge en chiffres. CORE Discussion Paper.</w:t>
      </w:r>
    </w:p>
    <w:p>
      <w:pPr>
        <w:pStyle w:val="ListParagraph"/>
        <w:numPr>
          <w:ilvl w:val="0"/>
          <w:numId w:val="2"/>
        </w:numPr>
        <w:spacing w:after="60" w:line="276"/>
      </w:pPr>
      <w:r>
        <w:rPr>
          <w:rFonts w:ascii="Georgia" w:cs="Georgia" w:eastAsia="Georgia" w:hAnsi="Georgia"/>
          <w:sz w:val="21"/>
          <w:szCs w:val="21"/>
        </w:rPr>
        <w:t xml:space="preserve">Rose, R. &amp; Qvortrup, M. (2018). Routledge Handbook of Referendums and Direct Democracy.</w:t>
      </w:r>
    </w:p>
    <w:p>
      <w:pPr>
        <w:pStyle w:val="ListParagraph"/>
        <w:numPr>
          <w:ilvl w:val="0"/>
          <w:numId w:val="2"/>
        </w:numPr>
        <w:spacing w:after="60" w:line="276"/>
      </w:pPr>
      <w:r>
        <w:rPr>
          <w:rFonts w:ascii="Georgia" w:cs="Georgia" w:eastAsia="Georgia" w:hAnsi="Georgia"/>
          <w:sz w:val="21"/>
          <w:szCs w:val="21"/>
        </w:rPr>
        <w:t xml:space="preserve">Katz, R. &amp; Mair, P. (1995). Changing Models of Party Organization. Party Politics.</w:t>
      </w:r>
    </w:p>
    <w:p>
      <w:pPr>
        <w:pStyle w:val="Heading2"/>
      </w:pPr>
      <w:r>
        <w:t xml:space="preserve">Baromètres et données</w:t>
      </w:r>
    </w:p>
    <w:p>
      <w:pPr>
        <w:pStyle w:val="ListParagraph"/>
        <w:numPr>
          <w:ilvl w:val="0"/>
          <w:numId w:val="2"/>
        </w:numPr>
        <w:spacing w:after="60" w:line="276"/>
      </w:pPr>
      <w:r>
        <w:rPr>
          <w:rFonts w:ascii="Georgia" w:cs="Georgia" w:eastAsia="Georgia" w:hAnsi="Georgia"/>
          <w:sz w:val="21"/>
          <w:szCs w:val="21"/>
        </w:rPr>
        <w:t xml:space="preserve">Solidaris (2025). Baromètre Confiance et Bien-être, 11e édition.</w:t>
      </w:r>
    </w:p>
    <w:p>
      <w:pPr>
        <w:pStyle w:val="ListParagraph"/>
        <w:numPr>
          <w:ilvl w:val="0"/>
          <w:numId w:val="2"/>
        </w:numPr>
        <w:spacing w:after="60" w:line="276"/>
      </w:pPr>
      <w:r>
        <w:rPr>
          <w:rFonts w:ascii="Georgia" w:cs="Georgia" w:eastAsia="Georgia" w:hAnsi="Georgia"/>
          <w:sz w:val="21"/>
          <w:szCs w:val="21"/>
        </w:rPr>
        <w:t xml:space="preserve">IWEPS (2023). Baromètre social de la Wallonie. 1 867 répondants.</w:t>
      </w:r>
    </w:p>
    <w:p>
      <w:pPr>
        <w:pStyle w:val="ListParagraph"/>
        <w:numPr>
          <w:ilvl w:val="0"/>
          <w:numId w:val="2"/>
        </w:numPr>
        <w:spacing w:after="60" w:line="276"/>
      </w:pPr>
      <w:r>
        <w:rPr>
          <w:rFonts w:ascii="Georgia" w:cs="Georgia" w:eastAsia="Georgia" w:hAnsi="Georgia"/>
          <w:sz w:val="21"/>
          <w:szCs w:val="21"/>
        </w:rPr>
        <w:t xml:space="preserve">OCDE (2024). Survey on Drivers of Trust in Public Institutions.</w:t>
      </w:r>
    </w:p>
    <w:p>
      <w:pPr>
        <w:pStyle w:val="ListParagraph"/>
        <w:numPr>
          <w:ilvl w:val="0"/>
          <w:numId w:val="2"/>
        </w:numPr>
        <w:spacing w:after="60" w:line="276"/>
      </w:pPr>
      <w:r>
        <w:rPr>
          <w:rFonts w:ascii="Georgia" w:cs="Georgia" w:eastAsia="Georgia" w:hAnsi="Georgia"/>
          <w:sz w:val="21"/>
          <w:szCs w:val="21"/>
        </w:rPr>
        <w:t xml:space="preserve">Eurobaromètre Standard 102 (automne 2024). Commission européenne.</w:t>
      </w:r>
    </w:p>
    <w:p>
      <w:pPr>
        <w:pStyle w:val="ListParagraph"/>
        <w:numPr>
          <w:ilvl w:val="0"/>
          <w:numId w:val="2"/>
        </w:numPr>
        <w:spacing w:after="60" w:line="276"/>
      </w:pPr>
      <w:r>
        <w:rPr>
          <w:rFonts w:ascii="Georgia" w:cs="Georgia" w:eastAsia="Georgia" w:hAnsi="Georgia"/>
          <w:sz w:val="21"/>
          <w:szCs w:val="21"/>
        </w:rPr>
        <w:t xml:space="preserve">SPF Intérieur, elections.fgov.be — données électorales 2019, 2024.</w:t>
      </w:r>
    </w:p>
    <w:p>
      <w:pPr>
        <w:pStyle w:val="ListParagraph"/>
        <w:numPr>
          <w:ilvl w:val="0"/>
          <w:numId w:val="2"/>
        </w:numPr>
        <w:spacing w:after="60" w:line="276"/>
      </w:pPr>
      <w:r>
        <w:rPr>
          <w:rFonts w:ascii="Georgia" w:cs="Georgia" w:eastAsia="Georgia" w:hAnsi="Georgia"/>
          <w:sz w:val="21"/>
          <w:szCs w:val="21"/>
        </w:rPr>
        <w:t xml:space="preserve">Maddens, B. (KU Leuven, 2024-2025). Données financement des partis.</w:t>
      </w:r>
    </w:p>
    <w:p>
      <w:pPr>
        <w:pStyle w:val="Heading2"/>
      </w:pPr>
      <w:r>
        <w:t xml:space="preserve">Corpus ouaisfieu consolidé</w:t>
      </w:r>
    </w:p>
    <w:p>
      <w:pPr>
        <w:pStyle w:val="ListParagraph"/>
        <w:numPr>
          <w:ilvl w:val="0"/>
          <w:numId w:val="2"/>
        </w:numPr>
        <w:spacing w:after="60" w:line="276"/>
      </w:pPr>
      <w:r>
        <w:rPr>
          <w:rFonts w:ascii="Georgia" w:cs="Georgia" w:eastAsia="Georgia" w:hAnsi="Georgia"/>
          <w:sz w:val="21"/>
          <w:szCs w:val="21"/>
        </w:rPr>
        <w:t xml:space="preserve">Fusion exécutif-législatif en Belgique (février 2026) — ouaisfi.eu</w:t>
      </w:r>
    </w:p>
    <w:p>
      <w:pPr>
        <w:pStyle w:val="ListParagraph"/>
        <w:numPr>
          <w:ilvl w:val="0"/>
          <w:numId w:val="2"/>
        </w:numPr>
        <w:spacing w:after="60" w:line="276"/>
      </w:pPr>
      <w:r>
        <w:rPr>
          <w:rFonts w:ascii="Georgia" w:cs="Georgia" w:eastAsia="Georgia" w:hAnsi="Georgia"/>
          <w:sz w:val="21"/>
          <w:szCs w:val="21"/>
        </w:rPr>
        <w:t xml:space="preserve">La dépossession du pouvoir d’agir citoyen en Belgique 1980-2026 — ouaisfi.eu</w:t>
      </w:r>
    </w:p>
    <w:p>
      <w:pPr>
        <w:pStyle w:val="ListParagraph"/>
        <w:numPr>
          <w:ilvl w:val="0"/>
          <w:numId w:val="2"/>
        </w:numPr>
        <w:spacing w:after="60" w:line="276"/>
      </w:pPr>
      <w:r>
        <w:rPr>
          <w:rFonts w:ascii="Georgia" w:cs="Georgia" w:eastAsia="Georgia" w:hAnsi="Georgia"/>
          <w:sz w:val="21"/>
          <w:szCs w:val="21"/>
        </w:rPr>
        <w:t xml:space="preserve">Belgique : Particratie, Citoyenneté et Totalitarisme — ouaisfi.eu</w:t>
      </w:r>
    </w:p>
    <w:p>
      <w:pPr>
        <w:pStyle w:val="ListParagraph"/>
        <w:numPr>
          <w:ilvl w:val="0"/>
          <w:numId w:val="2"/>
        </w:numPr>
        <w:spacing w:after="60" w:line="276"/>
      </w:pPr>
      <w:r>
        <w:rPr>
          <w:rFonts w:ascii="Georgia" w:cs="Georgia" w:eastAsia="Georgia" w:hAnsi="Georgia"/>
          <w:sz w:val="21"/>
          <w:szCs w:val="21"/>
        </w:rPr>
        <w:t xml:space="preserve">Le Manifeste du Prolotariat — ouaisfi.eu</w:t>
      </w:r>
    </w:p>
    <w:p>
      <w:pPr>
        <w:pStyle w:val="ListParagraph"/>
        <w:numPr>
          <w:ilvl w:val="0"/>
          <w:numId w:val="2"/>
        </w:numPr>
        <w:spacing w:after="60" w:line="276"/>
      </w:pPr>
      <w:r>
        <w:rPr>
          <w:rFonts w:ascii="Georgia" w:cs="Georgia" w:eastAsia="Georgia" w:hAnsi="Georgia"/>
          <w:sz w:val="21"/>
          <w:szCs w:val="21"/>
        </w:rPr>
        <w:t xml:space="preserve">Rapport qOUFTI — ouaisfi.eu</w:t>
      </w:r>
    </w:p>
    <w:p>
      <w:pPr>
        <w:pStyle w:val="ListParagraph"/>
        <w:numPr>
          <w:ilvl w:val="0"/>
          <w:numId w:val="2"/>
        </w:numPr>
        <w:spacing w:after="60" w:line="276"/>
      </w:pPr>
      <w:r>
        <w:rPr>
          <w:rFonts w:ascii="Georgia" w:cs="Georgia" w:eastAsia="Georgia" w:hAnsi="Georgia"/>
          <w:sz w:val="21"/>
          <w:szCs w:val="21"/>
        </w:rPr>
        <w:t xml:space="preserve">Gouvernement Arizona : Constitutionnalité et controverses — ouaisfi.eu</w:t>
      </w:r>
    </w:p>
    <w:p>
      <w:pPr>
        <w:pStyle w:val="ListParagraph"/>
        <w:numPr>
          <w:ilvl w:val="0"/>
          <w:numId w:val="2"/>
        </w:numPr>
        <w:spacing w:after="60" w:line="276"/>
      </w:pPr>
      <w:r>
        <w:rPr>
          <w:rFonts w:ascii="Georgia" w:cs="Georgia" w:eastAsia="Georgia" w:hAnsi="Georgia"/>
          <w:sz w:val="21"/>
          <w:szCs w:val="21"/>
        </w:rPr>
        <w:t xml:space="preserve">Les Trois Guerres Civiques — ouaisfi.eu</w:t>
      </w:r>
    </w:p>
    <w:p>
      <w:pPr>
        <w:pStyle w:val="ListParagraph"/>
        <w:numPr>
          <w:ilvl w:val="0"/>
          <w:numId w:val="2"/>
        </w:numPr>
        <w:spacing w:after="60" w:line="276"/>
      </w:pPr>
      <w:r>
        <w:rPr>
          <w:rFonts w:ascii="Georgia" w:cs="Georgia" w:eastAsia="Georgia" w:hAnsi="Georgia"/>
          <w:sz w:val="21"/>
          <w:szCs w:val="21"/>
        </w:rPr>
        <w:t xml:space="preserve">Voter sans décider : le paradoxe démocratique belge (mars 2026, recherche) — ouaisfi.eu</w:t>
      </w:r>
    </w:p>
    <w:p>
      <w:pPr>
        <w:pStyle w:val="ListParagraph"/>
        <w:numPr>
          <w:ilvl w:val="0"/>
          <w:numId w:val="2"/>
        </w:numPr>
        <w:spacing w:after="60" w:line="276"/>
      </w:pPr>
      <w:r>
        <w:rPr>
          <w:rFonts w:ascii="Georgia" w:cs="Georgia" w:eastAsia="Georgia" w:hAnsi="Georgia"/>
          <w:sz w:val="21"/>
          <w:szCs w:val="21"/>
        </w:rPr>
        <w:t xml:space="preserve">Bombe sémantique : Obligé de Voter, Interdit de Décider (mars 2026) — ouaisfi.eu</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JetBrains Mono" w:cs="JetBrains Mono" w:eastAsia="JetBrains Mono" w:hAnsi="JetBrains Mono"/>
        <w:color w:val="4A5568"/>
        <w:sz w:val="14"/>
        <w:szCs w:val="14"/>
      </w:rPr>
      <w:t xml:space="preserve">Page </w:t>
    </w:r>
    <w:r>
      <w:rPr>
        <w:rFonts w:ascii="JetBrains Mono" w:cs="JetBrains Mono" w:eastAsia="JetBrains Mono" w:hAnsi="JetBrains Mono"/>
        <w:color w:val="4A556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JetBrains Mono" w:cs="JetBrains Mono" w:eastAsia="JetBrains Mono" w:hAnsi="JetBrains Mono"/>
        <w:color w:val="4A5568"/>
        <w:sz w:val="14"/>
        <w:szCs w:val="14"/>
      </w:rPr>
      <w:t xml:space="preserve">ouaisfieu · Obligé de Voter, Interdit de Décider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202C"/>
      <w:sz w:val="36"/>
      <w:szCs w:val="36"/>
    </w:rPr>
  </w:style>
  <w:style w:type="paragraph" w:styleId="Heading2">
    <w:name w:val="Heading 2"/>
    <w:basedOn w:val="Normal"/>
    <w:next w:val="Normal"/>
    <w:qFormat/>
    <w:pPr>
      <w:spacing w:before="300" w:after="160"/>
      <w:outlineLvl w:val="1"/>
    </w:pPr>
    <w:rPr>
      <w:rFonts w:ascii="Georgia" w:cs="Georgia" w:eastAsia="Georgia" w:hAnsi="Georgia"/>
      <w:b/>
      <w:bCs/>
      <w:color w:val="2F855A"/>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2026-03-03T21:28:37.563Z</dcterms:created>
  <dcterms:modified xsi:type="dcterms:W3CDTF">2026-03-03T21:28:37.564Z</dcterms:modified>
</cp:coreProperties>
</file>

<file path=docProps/custom.xml><?xml version="1.0" encoding="utf-8"?>
<Properties xmlns="http://schemas.openxmlformats.org/officeDocument/2006/custom-properties" xmlns:vt="http://schemas.openxmlformats.org/officeDocument/2006/docPropsVTypes"/>
</file>