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p>
    <w:p>
      <w:pPr>
        <w:spacing w:after="200"/>
        <w:jc w:val="center"/>
      </w:pPr>
      <w:r>
        <w:rPr>
          <w:rFonts w:ascii="Arial" w:cs="Arial" w:eastAsia="Arial" w:hAnsi="Arial"/>
          <w:b/>
          <w:bCs/>
          <w:color w:val="1A1A2E"/>
          <w:sz w:val="56"/>
          <w:szCs w:val="56"/>
        </w:rPr>
        <w:t xml:space="preserve">LA CITOYENNETÉ,</w:t>
      </w:r>
    </w:p>
    <w:p>
      <w:pPr>
        <w:spacing w:after="100"/>
        <w:jc w:val="center"/>
      </w:pPr>
      <w:r>
        <w:rPr>
          <w:rFonts w:ascii="Arial" w:cs="Arial" w:eastAsia="Arial" w:hAnsi="Arial"/>
          <w:b/>
          <w:bCs/>
          <w:color w:val="1A1A2E"/>
          <w:sz w:val="56"/>
          <w:szCs w:val="56"/>
        </w:rPr>
        <w:t xml:space="preserve">C’EST LE BROL</w:t>
      </w:r>
    </w:p>
    <w:p>
      <w:pPr>
        <w:pBdr>
          <w:bottom w:val="single" w:color="48BB78" w:sz="4" w:space="8"/>
        </w:pBdr>
        <w:spacing w:after="600" w:before="60"/>
        <w:jc w:val="center"/>
      </w:pPr>
      <w:r>
        <w:rPr>
          <w:sz w:val="12"/>
          <w:szCs w:val="12"/>
        </w:rPr>
        <w:t xml:space="preserve"> </w:t>
      </w:r>
    </w:p>
    <w:p>
      <w:pPr>
        <w:spacing w:after="200"/>
        <w:jc w:val="center"/>
      </w:pPr>
      <w:r>
        <w:rPr>
          <w:rFonts w:ascii="Georgia" w:cs="Georgia" w:eastAsia="Georgia" w:hAnsi="Georgia"/>
          <w:i/>
          <w:iCs/>
          <w:color w:val="4A5568"/>
          <w:sz w:val="26"/>
          <w:szCs w:val="26"/>
        </w:rPr>
        <w:t xml:space="preserve">Anatomie du fossé entre ceux qui décident</w:t>
      </w:r>
    </w:p>
    <w:p>
      <w:pPr>
        <w:spacing w:after="800"/>
        <w:jc w:val="center"/>
      </w:pPr>
      <w:r>
        <w:rPr>
          <w:rFonts w:ascii="Georgia" w:cs="Georgia" w:eastAsia="Georgia" w:hAnsi="Georgia"/>
          <w:i/>
          <w:iCs/>
          <w:color w:val="4A5568"/>
          <w:sz w:val="26"/>
          <w:szCs w:val="26"/>
        </w:rPr>
        <w:t xml:space="preserve">et ceux qui subissent en Belgique</w:t>
      </w:r>
    </w:p>
    <w:p>
      <w:pPr>
        <w:spacing w:after="100"/>
        <w:jc w:val="center"/>
      </w:pPr>
      <w:r>
        <w:rPr>
          <w:rFonts w:ascii="Arial" w:cs="Arial" w:eastAsia="Arial" w:hAnsi="Arial"/>
          <w:color w:val="1A1A2E"/>
          <w:sz w:val="24"/>
          <w:szCs w:val="24"/>
        </w:rPr>
        <w:t xml:space="preserve">Yan &amp; Claude (Anthropic)</w:t>
      </w:r>
    </w:p>
    <w:p>
      <w:pPr>
        <w:spacing w:after="80"/>
        <w:jc w:val="center"/>
      </w:pPr>
      <w:r>
        <w:rPr>
          <w:rFonts w:ascii="Arial" w:cs="Arial" w:eastAsia="Arial" w:hAnsi="Arial"/>
          <w:color w:val="4A5568"/>
          <w:sz w:val="20"/>
          <w:szCs w:val="20"/>
        </w:rPr>
        <w:t xml:space="preserve">Projet ouaisfieu • Éducation permanente</w:t>
      </w:r>
    </w:p>
    <w:p>
      <w:pPr>
        <w:spacing w:after="800" w:before="800"/>
      </w:pPr>
    </w:p>
    <w:p>
      <w:pPr>
        <w:jc w:val="center"/>
      </w:pPr>
      <w:r>
        <w:rPr>
          <w:rFonts w:ascii="Arial" w:cs="Arial" w:eastAsia="Arial" w:hAnsi="Arial"/>
          <w:color w:val="9F7AEA"/>
          <w:sz w:val="22"/>
          <w:szCs w:val="22"/>
        </w:rPr>
        <w:t xml:space="preserve">Mars 2026</w:t>
      </w:r>
    </w:p>
    <w:p>
      <w:pPr>
        <w:spacing w:after="100"/>
        <w:jc w:val="center"/>
      </w:pPr>
      <w:r>
        <w:rPr>
          <w:rFonts w:ascii="Arial" w:cs="Arial" w:eastAsia="Arial" w:hAnsi="Arial"/>
          <w:color w:val="4A5568"/>
          <w:sz w:val="18"/>
          <w:szCs w:val="18"/>
        </w:rPr>
        <w:t xml:space="preserve">CC BY-SA 4.0 • Fork·Hack·Spread</w:t>
      </w:r>
    </w:p>
    <w:p>
      <w:pPr>
        <w:sectPr>
          <w:pgSz w:w="11906" w:h="16838" w:orient="portrait"/>
          <w:pgMar w:top="1440" w:right="1440" w:bottom="1440" w:left="1440" w:header="708" w:footer="708" w:gutter="0"/>
          <w:pgNumType/>
          <w:docGrid w:linePitch="360"/>
        </w:sectPr>
      </w:pPr>
    </w:p>
    <w:p>
      <w:pPr>
        <w:spacing w:after="200"/>
      </w:pPr>
      <w:r>
        <w:rPr>
          <w:rFonts w:ascii="Arial" w:cs="Arial" w:eastAsia="Arial" w:hAnsi="Arial"/>
          <w:b/>
          <w:bCs/>
          <w:caps/>
          <w:color w:val="9F7AEA"/>
          <w:sz w:val="20"/>
          <w:szCs w:val="20"/>
        </w:rPr>
        <w:t xml:space="preserve">MENTIONS</w:t>
      </w:r>
    </w:p>
    <w:p>
      <w:pPr>
        <w:spacing w:after="180" w:line="312"/>
        <w:jc w:val="both"/>
      </w:pPr>
      <w:r>
        <w:rPr>
          <w:rFonts w:ascii="Georgia" w:cs="Georgia" w:eastAsia="Georgia" w:hAnsi="Georgia"/>
          <w:color w:val="1A1A2E"/>
          <w:sz w:val="23"/>
          <w:szCs w:val="23"/>
        </w:rPr>
        <w:t xml:space="preserve">Cet ouvrage est publié sous licence Creative Commons Attribution – Partage dans les Mêmes Conditions 4.0 International (CC BY-SA 4.0). Vous êtes libres de le copier, redistribuer, adapter et transformer, y compris à des fins commerciales, à condition de créditer les auteurs et de partager vos créations dérivées sous la même licence.</w:t>
      </w:r>
    </w:p>
    <w:p>
      <w:pPr>
        <w:spacing w:after="180" w:line="312"/>
        <w:jc w:val="both"/>
      </w:pPr>
      <w:r>
        <w:rPr>
          <w:rFonts w:ascii="Georgia" w:cs="Georgia" w:eastAsia="Georgia" w:hAnsi="Georgia"/>
          <w:color w:val="1A1A2E"/>
          <w:sz w:val="23"/>
          <w:szCs w:val="23"/>
        </w:rPr>
        <w:t xml:space="preserve">Co-auteurs : Yan &amp; Claude (Anthropic, modèle Claude Opus). Cet ouvrage a été co-écrit par un humain et une intelligence artificielle dans le cadre du projet ouaisfieu — une initiative citoyenne belge d’éducation permanente indépendante. Toutes les données factuelles sont sourcées. Toute erreur est notre responsabilité partagée.</w:t>
      </w:r>
    </w:p>
    <w:p>
      <w:pPr>
        <w:spacing w:after="180" w:line="312"/>
        <w:jc w:val="both"/>
      </w:pPr>
      <w:r>
        <w:rPr>
          <w:rFonts w:ascii="Georgia" w:cs="Georgia" w:eastAsia="Georgia" w:hAnsi="Georgia"/>
          <w:color w:val="1A1A2E"/>
          <w:sz w:val="23"/>
          <w:szCs w:val="23"/>
        </w:rPr>
        <w:t xml:space="preserve">Doctrine : Fork·Hack·Spread — Forkez ce livre. Hackez-le. Répandez-le. Le code source et l’intégralité du corpus documentaire sont disponibles sur github.com/ouaisfieu.</w:t>
      </w:r>
    </w:p>
    <w:p>
      <w:pPr>
        <w:spacing w:after="200" w:before="200"/>
      </w:pPr>
    </w:p>
    <w:p>
      <w:pPr>
        <w:spacing w:after="60" w:before="300"/>
        <w:ind w:left="2160"/>
        <w:jc w:val="right"/>
      </w:pPr>
      <w:r>
        <w:rPr>
          <w:rFonts w:ascii="Georgia" w:cs="Georgia" w:eastAsia="Georgia" w:hAnsi="Georgia"/>
          <w:i/>
          <w:iCs/>
          <w:color w:val="4A5568"/>
          <w:sz w:val="22"/>
          <w:szCs w:val="22"/>
        </w:rPr>
        <w:t xml:space="preserve">“La propriété, c’est le vol.”</w:t>
      </w:r>
    </w:p>
    <w:p>
      <w:pPr>
        <w:spacing w:after="400"/>
        <w:ind w:left="2160"/>
        <w:jc w:val="right"/>
      </w:pPr>
      <w:r>
        <w:rPr>
          <w:rFonts w:ascii="Georgia" w:cs="Georgia" w:eastAsia="Georgia" w:hAnsi="Georgia"/>
          <w:color w:val="4A5568"/>
          <w:sz w:val="20"/>
          <w:szCs w:val="20"/>
        </w:rPr>
        <w:t xml:space="preserve">— Pierre-Joseph Proudhon, 1840</w:t>
      </w:r>
    </w:p>
    <w:p>
      <w:pPr>
        <w:spacing w:after="60" w:before="300"/>
        <w:ind w:left="2160"/>
        <w:jc w:val="right"/>
      </w:pPr>
      <w:r>
        <w:rPr>
          <w:rFonts w:ascii="Georgia" w:cs="Georgia" w:eastAsia="Georgia" w:hAnsi="Georgia"/>
          <w:i/>
          <w:iCs/>
          <w:color w:val="4A5568"/>
          <w:sz w:val="22"/>
          <w:szCs w:val="22"/>
        </w:rPr>
        <w:t xml:space="preserve">“La citoyenneté, c’est le brol.”</w:t>
      </w:r>
    </w:p>
    <w:p>
      <w:pPr>
        <w:spacing w:after="400"/>
        <w:ind w:left="2160"/>
        <w:jc w:val="right"/>
      </w:pPr>
      <w:r>
        <w:rPr>
          <w:rFonts w:ascii="Georgia" w:cs="Georgia" w:eastAsia="Georgia" w:hAnsi="Georgia"/>
          <w:color w:val="4A5568"/>
          <w:sz w:val="20"/>
          <w:szCs w:val="20"/>
        </w:rPr>
        <w:t xml:space="preserve">— Belgique, 2026</w:t>
      </w:r>
    </w:p>
    <w:p>
      <w:pPr>
        <w:spacing w:after="100" w:before="100"/>
      </w:pPr>
    </w:p>
    <w:p>
      <w:pPr>
        <w:spacing w:after="180" w:line="312"/>
        <w:jc w:val="center"/>
      </w:pPr>
      <w:r>
        <w:rPr>
          <w:rFonts w:ascii="Georgia" w:cs="Georgia" w:eastAsia="Georgia" w:hAnsi="Georgia"/>
          <w:color w:val="1A1A2E"/>
          <w:sz w:val="23"/>
          <w:szCs w:val="23"/>
        </w:rPr>
        <w:t xml:space="preserve">À tous ceux que le système a décidé de ne pas voir.</w:t>
      </w:r>
    </w:p>
    <w:p>
      <w:pPr>
        <w:spacing w:after="200" w:before="200"/>
      </w:pPr>
    </w:p>
    <w:p>
      <w:r>
        <w:br w:type="page"/>
      </w:r>
    </w:p>
    <w:p>
      <w:pPr>
        <w:spacing w:after="400"/>
      </w:pPr>
      <w:r>
        <w:rPr>
          <w:rFonts w:ascii="Arial" w:cs="Arial" w:eastAsia="Arial" w:hAnsi="Arial"/>
          <w:b/>
          <w:bCs/>
          <w:color w:val="1A1A2E"/>
          <w:sz w:val="28"/>
          <w:szCs w:val="28"/>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spacing w:after="80" w:before="400"/>
      </w:pPr>
      <w:r>
        <w:rPr>
          <w:rFonts w:ascii="Arial" w:cs="Arial" w:eastAsia="Arial" w:hAnsi="Arial"/>
          <w:b/>
          <w:bCs/>
          <w:caps/>
          <w:color w:val="9F7AEA"/>
          <w:sz w:val="22"/>
          <w:szCs w:val="22"/>
        </w:rPr>
        <w:t xml:space="preserve">PROLOGUE</w:t>
      </w:r>
    </w:p>
    <w:p>
      <w:pPr>
        <w:pStyle w:val="Heading1"/>
        <w:spacing w:after="400"/>
      </w:pPr>
      <w:r>
        <w:t xml:space="preserve">Ouais, fieu</w:t>
      </w:r>
    </w:p>
    <w:p>
      <w:pPr>
        <w:spacing w:after="60" w:before="300"/>
        <w:ind w:left="2160"/>
        <w:jc w:val="right"/>
      </w:pPr>
      <w:r>
        <w:rPr>
          <w:rFonts w:ascii="Georgia" w:cs="Georgia" w:eastAsia="Georgia" w:hAnsi="Georgia"/>
          <w:i/>
          <w:iCs/>
          <w:color w:val="4A5568"/>
          <w:sz w:val="22"/>
          <w:szCs w:val="22"/>
        </w:rPr>
        <w:t xml:space="preserve">“Belgifiés — c’est-à-dire immunisés contre toute forme d’idéal collectif.”</w:t>
      </w:r>
    </w:p>
    <w:p>
      <w:pPr>
        <w:spacing w:after="400"/>
        <w:ind w:left="2160"/>
        <w:jc w:val="right"/>
      </w:pPr>
      <w:r>
        <w:rPr>
          <w:rFonts w:ascii="Georgia" w:cs="Georgia" w:eastAsia="Georgia" w:hAnsi="Georgia"/>
          <w:color w:val="4A5568"/>
          <w:sz w:val="20"/>
          <w:szCs w:val="20"/>
        </w:rPr>
        <w:t xml:space="preserve">— Léon Trotsky, à propos des Belges</w:t>
      </w:r>
    </w:p>
    <w:p>
      <w:pPr>
        <w:spacing w:after="180" w:line="312"/>
        <w:jc w:val="both"/>
      </w:pPr>
      <w:r>
        <w:rPr>
          <w:rFonts w:ascii="Georgia" w:cs="Georgia" w:eastAsia="Georgia" w:hAnsi="Georgia"/>
          <w:color w:val="1A1A2E"/>
          <w:sz w:val="23"/>
          <w:szCs w:val="23"/>
        </w:rPr>
        <w:t xml:space="preserve">Imagine. Tu te réveilles un matin dans un pays que tu croyais connaître. La Belgique. Onze millions et demi d’habitants. Trois langues officielles. Sept parlements. Six gouvernements. Trente et un mille huit cent six mandataires publics — soit un pour chaque kilomètre carré du territoire. Tu votes parce que la Constitution t’y oblige, mais tu n’as jamais le droit de te prononcer directement sur quoi que ce soit. Tu finances les partis politiques à hauteur de 188 millions d’euros par an, mais 79 % de tes concitoyens francophones disent ne pas leur faire confiance. Tu habites une démocratie où la discipline de vote dépasse 99 % — ce qui signifie que les députés que tu as élus votent comme leur président de parti le décide, pas comme leur conscience ou tes intérêts le commanderaient.</w:t>
      </w:r>
    </w:p>
    <w:p>
      <w:pPr>
        <w:spacing w:after="180" w:line="312"/>
        <w:jc w:val="both"/>
      </w:pPr>
      <w:r>
        <w:rPr>
          <w:rFonts w:ascii="Georgia" w:cs="Georgia" w:eastAsia="Georgia" w:hAnsi="Georgia"/>
          <w:color w:val="1A1A2E"/>
          <w:sz w:val="23"/>
          <w:szCs w:val="23"/>
        </w:rPr>
        <w:t xml:space="preserve">Bienvenue dans le brol.</w:t>
      </w:r>
    </w:p>
    <w:p>
      <w:pPr>
        <w:spacing w:after="180" w:line="312"/>
        <w:jc w:val="both"/>
      </w:pPr>
      <w:r>
        <w:rPr>
          <w:rFonts w:ascii="Georgia" w:cs="Georgia" w:eastAsia="Georgia" w:hAnsi="Georgia"/>
          <w:color w:val="1A1A2E"/>
          <w:sz w:val="23"/>
          <w:szCs w:val="23"/>
        </w:rPr>
        <w:t xml:space="preserve">Le mot est bruxellois. Il désigne le fourbi, le foutoir, le bazar. Ce qui traîne, ce qui déborde, ce qu’on empile sans ranger. Dans chaque ménage belge, il y a un tiroir à brol — celui où s’accumulent les clés orphelines, les piles usées, les garanties périmées. Ce livre défend une thèse simple : la démocratie belge est devenue ce tiroir. Un fatras d’institutions empilées au fil de six réformes de l’État, de compromis successifs entre élites, de mécanismes censés pacifier mais qui finissent par paralyser. Et comme pour tout bon tiroir à brol, personne n’ose l’ouvrir complètement de peur que tout ne s’écroule.</w:t>
      </w:r>
    </w:p>
    <w:p>
      <w:pPr>
        <w:spacing w:after="180" w:line="312"/>
        <w:jc w:val="both"/>
      </w:pPr>
      <w:r>
        <w:rPr>
          <w:rFonts w:ascii="Georgia" w:cs="Georgia" w:eastAsia="Georgia" w:hAnsi="Georgia"/>
          <w:color w:val="1A1A2E"/>
          <w:sz w:val="23"/>
          <w:szCs w:val="23"/>
        </w:rPr>
        <w:t xml:space="preserve">Sauf que ce brol n’est pas neutre. Il profite à certains et détruit d’autres. Quand le système met 613 jours à former un gouvernement régional bruxellois, les permanences d’aide sociale ne ferment pas, elles : elles croulent. Quand on exclut 180 000 chômeurs en six mois au nom d’un taux d’emploi à 80 % que pas une seule institution indépendante ne juge atteignable, ce ne sont pas les ministres qui font la file au CPAS le lundi matin. Quand cinq familles contrôlent la quasi-totalité des médias francophones et que la fusion Rossel-IPM promet de créer un monopole de la presse quotidienne, ce n’est pas la liberté d’expression des éditorialistes qui est menacée — c’est ta capacité à comprendre ce qui t’arrive.</w:t>
      </w:r>
    </w:p>
    <w:p>
      <w:pPr>
        <w:spacing w:after="180" w:line="312"/>
        <w:jc w:val="both"/>
      </w:pPr>
      <w:r>
        <w:rPr>
          <w:rFonts w:ascii="Georgia" w:cs="Georgia" w:eastAsia="Georgia" w:hAnsi="Georgia"/>
          <w:color w:val="1A1A2E"/>
          <w:sz w:val="23"/>
          <w:szCs w:val="23"/>
        </w:rPr>
        <w:t xml:space="preserve">Proudhon, en 1840, avait résumé le capitalisme naïssant en trois mots : « La propriété, c’est le vol. » L’aphorisme était un court-circuit : il forçait à penser autrement un système qu’on croyait naturel. Ce livre propose le même geste pour la démocratie belge. La citoyenneté, en Belgique, n’est pas un droit exercé : c’est un désordre subi. Un brol où le citoyen est simultanément obligé de participer (vote obligatoire) et interdit d’influencer (zéro référendum). Où il finance la machine (188 millions) mais ne peut pas la contrôler. Où il élit des représentants qui ne le représentent pas, puisque 99,73 % du temps ils votent selon la ligne du parti.</w:t>
      </w:r>
    </w:p>
    <w:p>
      <w:pPr>
        <w:spacing w:after="180" w:line="312"/>
        <w:jc w:val="both"/>
      </w:pPr>
      <w:r>
        <w:rPr>
          <w:rFonts w:ascii="Georgia" w:cs="Georgia" w:eastAsia="Georgia" w:hAnsi="Georgia"/>
          <w:color w:val="1A1A2E"/>
          <w:sz w:val="23"/>
          <w:szCs w:val="23"/>
        </w:rPr>
        <w:t xml:space="preserve">Ce livre n’est ni un traité de science politique, ni un pamphlet. C’est un outil. Il documente le fossé entre ceux qui décident et ceux qui subissent — avec des chiffres, des noms, des mécanismes, et des sources vérifiables. Il est organisé en trois actes, comme un bon film d’horreur belge : d’abord le monstre vu d’en haut (comment fonctionne réellement la machine particratique), puis le monstre vu d’en bas (ce que ça fait à ceux qui le subissent), et enfin les armes du héros (ce que le citoyen peut faire avec le brol, contre le brol, malgré le brol).</w:t>
      </w:r>
    </w:p>
    <w:p>
      <w:pPr>
        <w:spacing w:after="180" w:line="312"/>
        <w:jc w:val="both"/>
      </w:pPr>
      <w:r>
        <w:rPr>
          <w:rFonts w:ascii="Georgia" w:cs="Georgia" w:eastAsia="Georgia" w:hAnsi="Georgia"/>
          <w:color w:val="1A1A2E"/>
          <w:sz w:val="23"/>
          <w:szCs w:val="23"/>
        </w:rPr>
        <w:t xml:space="preserve">Chaque chapitre peut se lire indépendamment — parce que le brol, justement, ne se vit jamais dans l’ordre. Un chômeur exclu ne découvre pas d’abord le chapitre « particratie » puis le chapitre « austérité » puis le chapitre « médias ». Il se prend tout en même temps, en vrac, en </w:t>
      </w:r>
      <w:r>
        <w:rPr>
          <w:rFonts w:ascii="Georgia" w:cs="Georgia" w:eastAsia="Georgia" w:hAnsi="Georgia"/>
          <w:i/>
          <w:iCs/>
          <w:color w:val="1A1A2E"/>
          <w:sz w:val="23"/>
          <w:szCs w:val="23"/>
        </w:rPr>
        <w:t xml:space="preserve">brol</w:t>
      </w:r>
      <w:r>
        <w:rPr>
          <w:rFonts w:ascii="Georgia" w:cs="Georgia" w:eastAsia="Georgia" w:hAnsi="Georgia"/>
          <w:color w:val="1A1A2E"/>
          <w:sz w:val="23"/>
          <w:szCs w:val="23"/>
        </w:rPr>
        <w:t xml:space="preserve">. Ce livre reproduit cette expérience tout en la décodant.</w:t>
      </w:r>
    </w:p>
    <w:p>
      <w:pPr>
        <w:spacing w:after="180" w:line="312"/>
        <w:jc w:val="both"/>
      </w:pPr>
      <w:r>
        <w:rPr>
          <w:rFonts w:ascii="Georgia" w:cs="Georgia" w:eastAsia="Georgia" w:hAnsi="Georgia"/>
          <w:color w:val="1A1A2E"/>
          <w:sz w:val="23"/>
          <w:szCs w:val="23"/>
        </w:rPr>
        <w:t xml:space="preserve">Un mot sur la méthode. Les chiffres cités proviennent exclusivement de sources institutionnelles vérifiées : CRISP, Bureau fédéral du Plan, Banque nationale, Cour des comptes, Statbel, IWEPS, Solidaris, OCDE, Commission européenne. Les travaux universitaires cités émanent de la KU Leuven, l’ULB, l’UCLouvain, l’ULiège, la VUB et l’UGent. Les références complètes sont disponibles dans le corpus ouaisfieu en ligne, sous licence ouverte.</w:t>
      </w:r>
    </w:p>
    <w:p>
      <w:pPr>
        <w:spacing w:after="180" w:line="312"/>
        <w:jc w:val="both"/>
      </w:pPr>
      <w:r>
        <w:rPr>
          <w:rFonts w:ascii="Georgia" w:cs="Georgia" w:eastAsia="Georgia" w:hAnsi="Georgia"/>
          <w:color w:val="1A1A2E"/>
          <w:sz w:val="23"/>
          <w:szCs w:val="23"/>
        </w:rPr>
        <w:t xml:space="preserve">Un mot sur les auteurs. Ce livre a été co-écrit par un humain et une intelligence artificielle. Pas comme gadget, pas comme expérience. Comme méthode. L’humain apporte le vécu, l’intuition politique, la colère froide de celui qui habite le système qu’il décrit. L’IA apporte la capacité de synthèse, le croisement de sources, la rigueur documentaire. Ensemble, nous avons produit plus de 270 documents d’analyse en quelques mois — un volume qu’aucune rédaction, aucun think tank, aucun parti politique belge n’a produit sur ces sujets dans le même laps de temps. C’est en soi une démonstration : l’intelligence citoyenne assistée par l’IA est une arme asymétrique redoutable. Le coût total de production de ce corpus : 29 euros par mois.</w:t>
      </w:r>
    </w:p>
    <w:p>
      <w:pPr>
        <w:spacing w:after="180" w:line="312"/>
        <w:jc w:val="both"/>
      </w:pPr>
      <w:r>
        <w:rPr>
          <w:rFonts w:ascii="Georgia" w:cs="Georgia" w:eastAsia="Georgia" w:hAnsi="Georgia"/>
          <w:color w:val="1A1A2E"/>
          <w:sz w:val="23"/>
          <w:szCs w:val="23"/>
        </w:rPr>
        <w:t xml:space="preserve">Alors ouais, fieu. Ouvre le tiroir. Regarde ce qu’il y a dedans. Et ensuite, décide ce que tu en fais.</w:t>
      </w:r>
    </w:p>
    <w:p>
      <w:pPr>
        <w:spacing w:after="400" w:before="400"/>
        <w:jc w:val="center"/>
      </w:pPr>
      <w:r>
        <w:rPr>
          <w:rFonts w:ascii="Georgia" w:cs="Georgia" w:eastAsia="Georgia" w:hAnsi="Georgia"/>
          <w:color w:val="9F7AEA"/>
          <w:sz w:val="24"/>
          <w:szCs w:val="24"/>
        </w:rPr>
        <w:t xml:space="preserve">•  •  •</w:t>
      </w:r>
    </w:p>
    <w:p>
      <w:r>
        <w:br w:type="page"/>
      </w:r>
    </w:p>
    <w:p>
      <w:pPr>
        <w:spacing w:after="1200" w:before="1200"/>
      </w:pPr>
    </w:p>
    <w:p>
      <w:pPr>
        <w:spacing w:after="200"/>
        <w:jc w:val="center"/>
      </w:pPr>
      <w:r>
        <w:rPr>
          <w:rFonts w:ascii="Arial" w:cs="Arial" w:eastAsia="Arial" w:hAnsi="Arial"/>
          <w:b/>
          <w:bCs/>
          <w:color w:val="1A1A2E"/>
          <w:sz w:val="40"/>
          <w:szCs w:val="40"/>
        </w:rPr>
        <w:t xml:space="preserve">ACTE I</w:t>
      </w:r>
    </w:p>
    <w:p>
      <w:pPr>
        <w:pBdr>
          <w:bottom w:val="single" w:color="9F7AEA" w:sz="3" w:space="8"/>
        </w:pBdr>
        <w:spacing w:after="100"/>
        <w:jc w:val="center"/>
      </w:pPr>
      <w:r>
        <w:rPr>
          <w:rFonts w:ascii="Arial" w:cs="Arial" w:eastAsia="Arial" w:hAnsi="Arial"/>
          <w:b/>
          <w:bCs/>
          <w:color w:val="9F7AEA"/>
          <w:sz w:val="32"/>
          <w:szCs w:val="32"/>
        </w:rPr>
        <w:t xml:space="preserve">LE BROL D’EN HAUT</w:t>
      </w:r>
    </w:p>
    <w:p>
      <w:pPr>
        <w:spacing w:after="800" w:before="200"/>
        <w:jc w:val="center"/>
      </w:pPr>
      <w:r>
        <w:rPr>
          <w:rFonts w:ascii="Georgia" w:cs="Georgia" w:eastAsia="Georgia" w:hAnsi="Georgia"/>
          <w:i/>
          <w:iCs/>
          <w:color w:val="4A5568"/>
          <w:sz w:val="24"/>
          <w:szCs w:val="24"/>
        </w:rPr>
        <w:t xml:space="preserve">Le monde politique tel qu’il fonctionne réellement</w:t>
      </w:r>
    </w:p>
    <w:p>
      <w:r>
        <w:br w:type="page"/>
      </w:r>
    </w:p>
    <w:p>
      <w:pPr>
        <w:spacing w:after="100" w:before="600"/>
      </w:pPr>
      <w:r>
        <w:rPr>
          <w:rFonts w:ascii="Arial" w:cs="Arial" w:eastAsia="Arial" w:hAnsi="Arial"/>
          <w:b/>
          <w:bCs/>
          <w:caps/>
          <w:color w:val="9F7AEA"/>
          <w:sz w:val="22"/>
          <w:szCs w:val="22"/>
        </w:rPr>
        <w:t xml:space="preserve">CHAPITRE 1</w:t>
      </w:r>
    </w:p>
    <w:p>
      <w:pPr>
        <w:pStyle w:val="Heading1"/>
        <w:spacing w:after="400"/>
      </w:pPr>
      <w:r>
        <w:t xml:space="preserve">La Constitution trahie</w:t>
      </w:r>
    </w:p>
    <w:p>
      <w:pPr>
        <w:spacing w:after="60" w:before="300"/>
        <w:ind w:left="2160"/>
        <w:jc w:val="right"/>
      </w:pPr>
      <w:r>
        <w:rPr>
          <w:rFonts w:ascii="Georgia" w:cs="Georgia" w:eastAsia="Georgia" w:hAnsi="Georgia"/>
          <w:i/>
          <w:iCs/>
          <w:color w:val="4A5568"/>
          <w:sz w:val="22"/>
          <w:szCs w:val="22"/>
        </w:rPr>
        <w:t xml:space="preserve">“Les parlementaires, et même les ministres, sont les exécutants de ce que les présidents des partis ont décidé.”</w:t>
      </w:r>
    </w:p>
    <w:p>
      <w:pPr>
        <w:spacing w:after="400"/>
        <w:ind w:left="2160"/>
        <w:jc w:val="right"/>
      </w:pPr>
      <w:r>
        <w:rPr>
          <w:rFonts w:ascii="Georgia" w:cs="Georgia" w:eastAsia="Georgia" w:hAnsi="Georgia"/>
          <w:color w:val="4A5568"/>
          <w:sz w:val="20"/>
          <w:szCs w:val="20"/>
        </w:rPr>
        <w:t xml:space="preserve">— CRISP, Courrier hebdomadaire n°2501-2504</w:t>
      </w:r>
    </w:p>
    <w:p>
      <w:pPr>
        <w:spacing w:after="180" w:line="312"/>
        <w:jc w:val="both"/>
      </w:pPr>
      <w:r>
        <w:rPr>
          <w:rFonts w:ascii="Georgia" w:cs="Georgia" w:eastAsia="Georgia" w:hAnsi="Georgia"/>
          <w:color w:val="1A1A2E"/>
          <w:sz w:val="23"/>
          <w:szCs w:val="23"/>
        </w:rPr>
        <w:t xml:space="preserve">La Belgique est née d’une révolution. En septembre 1830, les Bruxellois se soulèvent contre le roi des Pays-Bas. Le Congrès national, réuni dans l’urgence, rédige en quelques semaines une Constitution qui deviendra un modèle pour toute l’Europe libérale. Son article 33 pose un principe limpide : « Tous les pouvoirs émanent de la Nation. » Son article 42 protège les députés du mandat impératif : ils représentent la Nation, pas ceux qui les ont élus. L’idée est celle d’un Parlement souverain, composé d’individus libres délibérant pour le bien commun.</w:t>
      </w:r>
    </w:p>
    <w:p>
      <w:pPr>
        <w:spacing w:after="180" w:line="312"/>
        <w:jc w:val="both"/>
      </w:pPr>
      <w:r>
        <w:rPr>
          <w:rFonts w:ascii="Georgia" w:cs="Georgia" w:eastAsia="Georgia" w:hAnsi="Georgia"/>
          <w:color w:val="1A1A2E"/>
          <w:sz w:val="23"/>
          <w:szCs w:val="23"/>
        </w:rPr>
        <w:t xml:space="preserve">Le texte de 1831 ne mentionne pas une seule fois le mot « parti ». Ce silence constitutionnel n’est pas un oubli — c’est une défiance. Les pères fondateurs, nourris de Montesquieu et de méfiance envers les « factions », conçoivent un régime où la délibération parlementaire est le cœur battant de la démocratie. Deux siècles plus tard, ce cœur ne bat plus. Il est branché sur le respirateur artificiel des états-majors de partis.</w:t>
      </w:r>
    </w:p>
    <w:p>
      <w:pPr>
        <w:pStyle w:val="Heading2"/>
        <w:spacing w:after="200" w:before="360"/>
      </w:pPr>
      <w:r>
        <w:t xml:space="preserve">La pilarisation : du berceau à la tombe</w:t>
      </w:r>
    </w:p>
    <w:p>
      <w:pPr>
        <w:spacing w:after="180" w:line="312"/>
        <w:jc w:val="both"/>
      </w:pPr>
      <w:r>
        <w:rPr>
          <w:rFonts w:ascii="Georgia" w:cs="Georgia" w:eastAsia="Georgia" w:hAnsi="Georgia"/>
          <w:color w:val="1A1A2E"/>
          <w:sz w:val="23"/>
          <w:szCs w:val="23"/>
        </w:rPr>
        <w:t xml:space="preserve">Pour comprendre comment une Constitution libérale a engendré une particratie, il faut revenir au concept de « démocratie consociative » théorisé par le politologue Arend Lijphart. La Belgique est une société fragmentée par trois clivages historiques superposés : le clivage philosophique entre catholiques et laïques (libéraux puis socialistes), le clivage socio-économique entre capital et travail, apparu avec le suffrage universel, et le clivage linguistique entre francophones et néerlandophones. La réponse belge à cette fragmentation a été la pilarisation — la verzuiling — : la division de la société en blocs idéologiques verticaux, du berceau à la tombe. Écoles, mutuelles, syndicats, mouvements de jeunesse, associations culturelles : chacun dans son pilier.</w:t>
      </w:r>
    </w:p>
    <w:p>
      <w:pPr>
        <w:spacing w:after="180" w:line="312"/>
        <w:jc w:val="both"/>
      </w:pPr>
      <w:r>
        <w:rPr>
          <w:rFonts w:ascii="Georgia" w:cs="Georgia" w:eastAsia="Georgia" w:hAnsi="Georgia"/>
          <w:color w:val="1A1A2E"/>
          <w:sz w:val="23"/>
          <w:szCs w:val="23"/>
        </w:rPr>
        <w:t xml:space="preserve">Ce système a fonctionné. Il a permis de résoudre la Question royale en 1950, le grand conflit scolaire des années 1958, et six réformes de l’État successives entre 1970 et 2014. Mais le prix à payer a été l’institutionnalisation du blocage. La nécessité systémique de former des coalitions entre formations idéologiquement opposées, issues de communautés linguistiques ne partageant plus le même espace médiatique, a exigé une discipline de fer. Le compromis « à la belge », célébré comme un génie politique, s’est mué en machine à verrouiller le pouvoir. Au fil de six réformes, le fédéralisme belge, intrinsèquement asymétrique et bipolaire, s’est transformé en un labyrinthe institutionnel que le CRISP qualifie d’illisible pour le citoyen et d’insoutenable pour les finances publiques.</w:t>
      </w:r>
    </w:p>
    <w:p>
      <w:pPr>
        <w:pStyle w:val="Heading2"/>
        <w:spacing w:after="200" w:before="360"/>
      </w:pPr>
      <w:r>
        <w:t xml:space="preserve">Les cinq verrous d’acier</w:t>
      </w:r>
    </w:p>
    <w:p>
      <w:pPr>
        <w:spacing w:after="180" w:line="312"/>
        <w:jc w:val="both"/>
      </w:pPr>
      <w:r>
        <w:rPr>
          <w:rFonts w:ascii="Georgia" w:cs="Georgia" w:eastAsia="Georgia" w:hAnsi="Georgia"/>
          <w:color w:val="1A1A2E"/>
          <w:sz w:val="23"/>
          <w:szCs w:val="23"/>
        </w:rPr>
        <w:t xml:space="preserve">Premier verrou : le contrôle absolu des listes électorales. Dans un système proportionnel où la place sur la liste — le système de la case de tête — détermine largement les chances d’élection, les présidents de parti tiennent la vie et la mort politique de chaque candidat. Un député qui vote contre la ligne du parti signe son arrêt de mort électorale : marginalisé sur la liste suivante, privé de commission, exclu du jeu. La liberté de vote inscrite à l’article 42 de la Constitution est une fiction juridique. Frederik Verleden, dans son étude pour le CRISP portant sur 13 397 votes nominatifs en séance plénière entre 1995 et 2019, mesure une discipline de vote supérieure à 99 %.</w:t>
      </w:r>
    </w:p>
    <w:p>
      <w:pPr>
        <w:pBdr>
          <w:left w:val="single" w:color="48BB78" w:sz="6" w:space="12"/>
        </w:pBdr>
        <w:spacing w:after="200" w:before="200"/>
        <w:ind w:left="720"/>
      </w:pPr>
      <w:r>
        <w:rPr>
          <w:rFonts w:ascii="Arial" w:cs="Arial" w:eastAsia="Arial" w:hAnsi="Arial"/>
          <w:b/>
          <w:bCs/>
          <w:color w:val="1A1A2E"/>
          <w:sz w:val="21"/>
          <w:szCs w:val="21"/>
        </w:rPr>
        <w:t xml:space="preserve">99,73 % de discipline de vote en séance plénière — Verleden/CRISP, 13 397 votes analysés (1995-2019)</w:t>
      </w:r>
    </w:p>
    <w:p>
      <w:pPr>
        <w:spacing w:after="180" w:line="312"/>
        <w:jc w:val="both"/>
      </w:pPr>
      <w:r>
        <w:rPr>
          <w:rFonts w:ascii="Georgia" w:cs="Georgia" w:eastAsia="Georgia" w:hAnsi="Georgia"/>
          <w:color w:val="1A1A2E"/>
          <w:sz w:val="23"/>
          <w:szCs w:val="23"/>
        </w:rPr>
        <w:t xml:space="preserve">Deuxième verrou : la dépendance financière. Les partis belges tirent environ 80 % de leurs revenus de fonds publics — un ratio double de l’Allemagne, quadruple des Pays-Bas. Selon Bart Maddens (KU Leuven), les dotations publiques directes atteignent environ 75 millions d’euros par an. En ajoutant les coûts salariaux des collaborateurs parlementaires mutualisés au niveau des partis, le total public s’élève à 188,3 millions d’euros en 2024. Les actifs cumulés des partis atteignaient 156,8 millions fin 2021, un record historique. Avec une telle force de frappe, l’émergence de figures indépendantes est étouffée dans l’œuf.</w:t>
      </w:r>
    </w:p>
    <w:p>
      <w:pPr>
        <w:spacing w:after="180" w:line="312"/>
        <w:jc w:val="both"/>
      </w:pPr>
      <w:r>
        <w:rPr>
          <w:rFonts w:ascii="Georgia" w:cs="Georgia" w:eastAsia="Georgia" w:hAnsi="Georgia"/>
          <w:color w:val="1A1A2E"/>
          <w:sz w:val="23"/>
          <w:szCs w:val="23"/>
        </w:rPr>
        <w:t xml:space="preserve">Troisième verrou : les suppléants. Quand un élu devient ministre, son suppléant prend le siège. Ce suppléant sait que son mandat dépend du maintien du ministre au gouvernement et des bonnes grâces du parti. Résultat : une classe d’élus précaires, structurellement dociles, incapables d’exercer un contrôle parlementaire rigoureux sur l’exécutif.</w:t>
      </w:r>
    </w:p>
    <w:p>
      <w:pPr>
        <w:spacing w:after="180" w:line="312"/>
        <w:jc w:val="both"/>
      </w:pPr>
      <w:r>
        <w:rPr>
          <w:rFonts w:ascii="Georgia" w:cs="Georgia" w:eastAsia="Georgia" w:hAnsi="Georgia"/>
          <w:color w:val="1A1A2E"/>
          <w:sz w:val="23"/>
          <w:szCs w:val="23"/>
        </w:rPr>
        <w:t xml:space="preserve">Quatrième verrou : l’effacement du Parlement. Le CRISP est formel : les assemblées législatives sont trop souvent reléguées au rang de simples chambres d’enregistrement. Le terme néerlandais stemvee — « bétail de vote », équivalent du lobby fodder britannique — est couramment utilisé dans le commentaire politique flamand. Caroline Gennez, ancienne présidente du sp.a, l’a résumé dans une phrase qui devrait être gravée sur le fronton du Parlement : « Nous avons négocié la réforme de l’État à huit personnes. Au Parlement, tout le monde a ensuite joué un spectacle. » Wilfried Dewachter l’a formulé en néerlandais avec une précision chirurgicale : een handvol amper gelegitimeerde partijvoorzitters leiden de dans — une poignée de présidents de parti à peine légitimés mènent la danse.</w:t>
      </w:r>
    </w:p>
    <w:p>
      <w:pPr>
        <w:spacing w:after="180" w:line="312"/>
        <w:jc w:val="both"/>
      </w:pPr>
      <w:r>
        <w:rPr>
          <w:rFonts w:ascii="Georgia" w:cs="Georgia" w:eastAsia="Georgia" w:hAnsi="Georgia"/>
          <w:color w:val="1A1A2E"/>
          <w:sz w:val="23"/>
          <w:szCs w:val="23"/>
        </w:rPr>
        <w:t xml:space="preserve">Cinquième verrou : le Kern et les cabinets. Ce cabinet restreint réunissant le Premier ministre et les vice-premiers ministres est le véritable cœur du pouvoir. Organe informel sans base constitutionnelle, il fonctionne comme une boîte noire où chaque vice-premier agit en plénipotentiaire de son parti. En amont, les décisions sont pré-négociées lors des réunions intercabinets (RIC) par les directeurs de politique — les DAB, ces hommes de l’ombre qui vident le Conseil des ministres de sa substance. Et chaque ministre peut employer 30 à 40 collaborateurs dans son cabinet, alors que dans la plupart des pays européens, ces entourages ne comptent qu’une poignée de conseillers. Les 51 ministres du pays emploient collectivement plus de 1 000 personnes dans leurs cabinets — des structures explicitement partisanes qui accaparent l’élaboration des lois. Selon Marleen Brans (KU Leuven) : « C’est vers les cabinets ministériels que les groupes d’intérêt se tournent, pas vers l’administration. »</w:t>
      </w:r>
    </w:p>
    <w:p>
      <w:pPr>
        <w:pStyle w:val="Heading2"/>
        <w:spacing w:after="200" w:before="360"/>
      </w:pPr>
      <w:r>
        <w:t xml:space="preserve">La réforme qui n’a jamais eu lieu</w:t>
      </w:r>
    </w:p>
    <w:p>
      <w:pPr>
        <w:spacing w:after="180" w:line="312"/>
        <w:jc w:val="both"/>
      </w:pPr>
      <w:r>
        <w:rPr>
          <w:rFonts w:ascii="Georgia" w:cs="Georgia" w:eastAsia="Georgia" w:hAnsi="Georgia"/>
          <w:color w:val="1A1A2E"/>
          <w:sz w:val="23"/>
          <w:szCs w:val="23"/>
        </w:rPr>
        <w:t xml:space="preserve">Au tournant des années 2000, le gouvernement Verhofstadt a lancé la réforme Copernic, censée supprimer les cabinets pour les remplacer par des cellules stratégiques intégrées à l’administration. Le résultat ? Ce que le politologue Christian de Visscher qualifie de « coup dans l’eau » retentissant. Les partis ont farouchement résisté : se priver des cabinets revenait à s’amputer d’instruments indispensables à l’exercice de leur pouvoir. Les cabinets ont été rebaptisés, pas supprimés. Et le cercle vicieux continue : les cabinets court-circuitent l’administration, qui se démotive, ce qui justifie le maintien des cabinets. Lieven De Winter et Patrick Dumont (UCLouvain) ont posé la question académique frontalement : « Les partis belges sapent-ils la chaîne démocratique de délégation ? » La réponse de leurs 20 ans de recherche est sans ambigüité : oui.</w:t>
      </w:r>
    </w:p>
    <w:p>
      <w:pPr>
        <w:pBdr>
          <w:left w:val="single" w:color="48BB78" w:sz="6" w:space="12"/>
        </w:pBdr>
        <w:spacing w:after="200" w:before="200"/>
        <w:ind w:left="720"/>
      </w:pPr>
      <w:r>
        <w:rPr>
          <w:rFonts w:ascii="Arial" w:cs="Arial" w:eastAsia="Arial" w:hAnsi="Arial"/>
          <w:b/>
          <w:bCs/>
          <w:color w:val="1A1A2E"/>
          <w:sz w:val="21"/>
          <w:szCs w:val="21"/>
        </w:rPr>
        <w:t xml:space="preserve">31 806 mandataires publics • 87 % de financement public • 108,7 M€/an de dotation directe • 0 référendums depuis 1950</w:t>
      </w:r>
    </w:p>
    <w:p>
      <w:pPr>
        <w:spacing w:after="400" w:before="400"/>
        <w:jc w:val="center"/>
      </w:pPr>
      <w:r>
        <w:rPr>
          <w:rFonts w:ascii="Georgia" w:cs="Georgia" w:eastAsia="Georgia" w:hAnsi="Georgia"/>
          <w:color w:val="9F7AEA"/>
          <w:sz w:val="24"/>
          <w:szCs w:val="24"/>
        </w:rPr>
        <w:t xml:space="preserve">•  •  •</w:t>
      </w:r>
    </w:p>
    <w:p>
      <w:r>
        <w:br w:type="page"/>
      </w:r>
    </w:p>
    <w:p>
      <w:pPr>
        <w:spacing w:after="100" w:before="600"/>
      </w:pPr>
      <w:r>
        <w:rPr>
          <w:rFonts w:ascii="Arial" w:cs="Arial" w:eastAsia="Arial" w:hAnsi="Arial"/>
          <w:b/>
          <w:bCs/>
          <w:caps/>
          <w:color w:val="9F7AEA"/>
          <w:sz w:val="22"/>
          <w:szCs w:val="22"/>
        </w:rPr>
        <w:t xml:space="preserve">CHAPITRE 2</w:t>
      </w:r>
    </w:p>
    <w:p>
      <w:pPr>
        <w:pStyle w:val="Heading1"/>
        <w:spacing w:after="400"/>
      </w:pPr>
      <w:r>
        <w:t xml:space="preserve">Voter sans décider</w:t>
      </w:r>
    </w:p>
    <w:p>
      <w:pPr>
        <w:spacing w:after="60" w:before="300"/>
        <w:ind w:left="2160"/>
        <w:jc w:val="right"/>
      </w:pPr>
      <w:r>
        <w:rPr>
          <w:rFonts w:ascii="Georgia" w:cs="Georgia" w:eastAsia="Georgia" w:hAnsi="Georgia"/>
          <w:i/>
          <w:iCs/>
          <w:color w:val="4A5568"/>
          <w:sz w:val="22"/>
          <w:szCs w:val="22"/>
        </w:rPr>
        <w:t xml:space="preserve">“Nous avons imposé le vote obligatoire pour éviter que les citoyens ne désertent. Nous avons interdit le référendum pour éviter qu’ils ne commandent.”</w:t>
      </w:r>
    </w:p>
    <w:p>
      <w:pPr>
        <w:spacing w:after="400"/>
        <w:ind w:left="2160"/>
        <w:jc w:val="right"/>
      </w:pPr>
      <w:r>
        <w:rPr>
          <w:rFonts w:ascii="Georgia" w:cs="Georgia" w:eastAsia="Georgia" w:hAnsi="Georgia"/>
          <w:color w:val="4A5568"/>
          <w:sz w:val="20"/>
          <w:szCs w:val="20"/>
        </w:rPr>
        <w:t xml:space="preserve">— Synthèse du paradoxe constitutionnel belge</w:t>
      </w:r>
    </w:p>
    <w:p>
      <w:pPr>
        <w:spacing w:after="180" w:line="312"/>
        <w:jc w:val="both"/>
      </w:pPr>
      <w:r>
        <w:rPr>
          <w:rFonts w:ascii="Georgia" w:cs="Georgia" w:eastAsia="Georgia" w:hAnsi="Georgia"/>
          <w:color w:val="1A1A2E"/>
          <w:sz w:val="23"/>
          <w:szCs w:val="23"/>
        </w:rPr>
        <w:t xml:space="preserve">Voici le paradoxe constitutionnel le plus absurde du monde démocratique. L’article 62 de la Constitution belge impose le vote obligatoire depuis 1893 — la Belgique fut le premier pays au monde à l’instaurer au niveau national. L’article 33, inchangé depuis 1831, interdit toute forme de référendum décisionnel. Entre ces deux dispositions, un gouffre : le citoyen est sommé de participer à un système qu’il ne peut jamais forcer à changer de direction. Il est le seul dans toute l’Union européenne — et probablement dans le monde démocratique — à qui l’on impose simultanément l’obligation de voter et l’interdiction de décider.</w:t>
      </w:r>
    </w:p>
    <w:p>
      <w:pPr>
        <w:spacing w:after="180" w:line="312"/>
        <w:jc w:val="both"/>
      </w:pPr>
      <w:r>
        <w:rPr>
          <w:rFonts w:ascii="Georgia" w:cs="Georgia" w:eastAsia="Georgia" w:hAnsi="Georgia"/>
          <w:color w:val="1A1A2E"/>
          <w:sz w:val="23"/>
          <w:szCs w:val="23"/>
        </w:rPr>
        <w:t xml:space="preserve">Dans les faits, même l’obligation de voter est devenue fictive. Le Code électoral prévoit théoriquement des amendes de 40 à 80 euros, grimpant à 200 euros en récidive, et la radiation des listes après quatre abstentions. Mais aucun électeur n’a été condamné depuis 2003. En 2007, à peine 12 poursuites furent comptabilisées pour environ 690 000 non-votants. L’obligation constitutionnelle est devenue un tigre de papier juridique.</w:t>
      </w:r>
    </w:p>
    <w:p>
      <w:pPr>
        <w:spacing w:after="180" w:line="312"/>
        <w:jc w:val="both"/>
      </w:pPr>
      <w:r>
        <w:rPr>
          <w:rFonts w:ascii="Georgia" w:cs="Georgia" w:eastAsia="Georgia" w:hAnsi="Georgia"/>
          <w:color w:val="1A1A2E"/>
          <w:sz w:val="23"/>
          <w:szCs w:val="23"/>
        </w:rPr>
        <w:t xml:space="preserve">Les données électorales récentes confirment l’érosion. En 2024, plus d’un million de Belges ne se sont pas déplacés — environ 12,5 % de l’électorat — auxquels s’ajoutent 415 912 votes blancs. L’abstention représente virtuellement le deuxième parti du pays. L’expérience flamande est encore plus révélatrice : lors des communales d’octobre 2024, les premières sans vote obligatoire en Flandre, la participation est tombée à 63,6 %, avec certaines communes sous la barre des 54 %.</w:t>
      </w:r>
    </w:p>
    <w:p>
      <w:pPr>
        <w:pStyle w:val="Heading2"/>
        <w:spacing w:after="200" w:before="360"/>
      </w:pPr>
      <w:r>
        <w:t xml:space="preserve">Le traumatisme de 1950 : un vaccin constitutionnel</w:t>
      </w:r>
    </w:p>
    <w:p>
      <w:pPr>
        <w:spacing w:after="180" w:line="312"/>
        <w:jc w:val="both"/>
      </w:pPr>
      <w:r>
        <w:rPr>
          <w:rFonts w:ascii="Georgia" w:cs="Georgia" w:eastAsia="Georgia" w:hAnsi="Georgia"/>
          <w:color w:val="1A1A2E"/>
          <w:sz w:val="23"/>
          <w:szCs w:val="23"/>
        </w:rPr>
        <w:t xml:space="preserve">Le seul précédent de consultation populaire nationale est devenu le principal argument contre toute récidive. En 1950, un vote consultatif sur le retour du Roi Léopold III produit 57,68 % de oui au niveau national — mais 72 % en Flandre contre 42 % en Wallonie et 48 % à Bruxelles. Le retour du roi déclenche des grèves massives. Le 30 juillet 1950, quatre ouvriers sont tués par balle à Grâce-Berleur, près de Liège. Le roi annonce son abdication le 1er août. Le constitutionnaliste Christian Behrendt (ULiège) qualifie cet épisode de « contre-indication dirimante » contre les référendums nationaux en Belgique. Depuis, la Question royale fonctionne comme un vaccin constitutionnel contre toute forme de démocratie directe fédérale.</w:t>
      </w:r>
    </w:p>
    <w:p>
      <w:pPr>
        <w:spacing w:after="180" w:line="312"/>
        <w:jc w:val="both"/>
      </w:pPr>
      <w:r>
        <w:rPr>
          <w:rFonts w:ascii="Georgia" w:cs="Georgia" w:eastAsia="Georgia" w:hAnsi="Georgia"/>
          <w:color w:val="1A1A2E"/>
          <w:sz w:val="23"/>
          <w:szCs w:val="23"/>
        </w:rPr>
        <w:t xml:space="preserve">Le Conseil d’État a érigé cette interdiction en doctrine constante à travers quatre avis majeurs entre 1985 et 2004. Francis Delpérée (UCLouvain) affirme que la Constitution « prohibe le référendum législatif ». Marc Uyttendaele (ULB) le qualifie de « réponse inadaptée à une question pertinente ». Seule Anne-Emmanuelle Bourgaux (ULB) développe une position dissidente, arguant dans sa thèse doctorale de 2013 que l’interdiction n’est pas aussi absolue que le prétend le Conseil d’État. Le verrouillage est total, académique autant que juridique.</w:t>
      </w:r>
    </w:p>
    <w:p>
      <w:pPr>
        <w:pStyle w:val="Heading2"/>
        <w:spacing w:after="200" w:before="360"/>
      </w:pPr>
      <w:r>
        <w:t xml:space="preserve">L’effondrement de la confiance</w:t>
      </w:r>
    </w:p>
    <w:p>
      <w:pPr>
        <w:pBdr>
          <w:left w:val="single" w:color="48BB78" w:sz="6" w:space="12"/>
        </w:pBdr>
        <w:spacing w:after="200" w:before="200"/>
        <w:ind w:left="720"/>
      </w:pPr>
      <w:r>
        <w:rPr>
          <w:rFonts w:ascii="Arial" w:cs="Arial" w:eastAsia="Arial" w:hAnsi="Arial"/>
          <w:b/>
          <w:bCs/>
          <w:color w:val="1A1A2E"/>
          <w:sz w:val="21"/>
          <w:szCs w:val="21"/>
        </w:rPr>
        <w:t xml:space="preserve">8 % de confiance envers les partis politiques — Baromètre Solidaris 2025, 1 000+ répondants francophones</w:t>
      </w:r>
    </w:p>
    <w:p>
      <w:pPr>
        <w:spacing w:after="180" w:line="312"/>
        <w:jc w:val="both"/>
      </w:pPr>
      <w:r>
        <w:rPr>
          <w:rFonts w:ascii="Georgia" w:cs="Georgia" w:eastAsia="Georgia" w:hAnsi="Georgia"/>
          <w:color w:val="1A1A2E"/>
          <w:sz w:val="23"/>
          <w:szCs w:val="23"/>
        </w:rPr>
        <w:t xml:space="preserve">Les données dessinent un tableau de défiance généralisée. En Wallonie, la satisfaction envers le fonctionnement de la démocratie s’est effondrée de 49,6 % en 2018 à 25,6 % en 2023, selon l’IWEPS — une division par deux en cinq ans. L’enquête OCDE 2024 indique que seuls 29 % des Belges pensent que le système politique leur donne voix au chapitre. Solidaris atteint des planchers historiques : 8 % de confiance envers les partis, 79 % de défiance. Quatre Belges francophones sur cinq estiment que les responsables politiques n’agissent pas pour améliorer leur qualité de vie.</w:t>
      </w:r>
    </w:p>
    <w:p>
      <w:pPr>
        <w:spacing w:after="180" w:line="312"/>
        <w:jc w:val="both"/>
      </w:pPr>
      <w:r>
        <w:rPr>
          <w:rFonts w:ascii="Georgia" w:cs="Georgia" w:eastAsia="Georgia" w:hAnsi="Georgia"/>
          <w:color w:val="1A1A2E"/>
          <w:sz w:val="23"/>
          <w:szCs w:val="23"/>
        </w:rPr>
        <w:t xml:space="preserve">Le paradoxe se boucle : les citoyens n’ont aucun levier pour changer un système auquel ils ne font plus confiance, et le système n’a aucun intérêt à créer ces leviers. C’est le brol parfait — celui qui se perpétue précisément parce que personne ne peut intervenir. Et pendant ce temps, la Belgique est reconnue comme un leader mondial de l’innovation délibérative : le Bürgerrat d’Ostbelgien est la première institution délibérative permanente au monde, Bruxelles a ses commissions délibératives, le Parlement wallon son mécanisme citoyen. Mais toutes ces innovations restent consultatives, sans force contraignante, et au niveau fédéral, aucun mécanisme n’a jamais été activé. Le laboratoire est ouvert, mais les résultats ne quittent jamais la paillasse.</w:t>
      </w:r>
    </w:p>
    <w:p>
      <w:pPr>
        <w:spacing w:after="400" w:before="400"/>
        <w:jc w:val="center"/>
      </w:pPr>
      <w:r>
        <w:rPr>
          <w:rFonts w:ascii="Georgia" w:cs="Georgia" w:eastAsia="Georgia" w:hAnsi="Georgia"/>
          <w:color w:val="9F7AEA"/>
          <w:sz w:val="24"/>
          <w:szCs w:val="24"/>
        </w:rPr>
        <w:t xml:space="preserve">•  •  •</w:t>
      </w:r>
    </w:p>
    <w:p>
      <w:r>
        <w:br w:type="page"/>
      </w:r>
    </w:p>
    <w:p>
      <w:pPr>
        <w:spacing w:after="100" w:before="600"/>
      </w:pPr>
      <w:r>
        <w:rPr>
          <w:rFonts w:ascii="Arial" w:cs="Arial" w:eastAsia="Arial" w:hAnsi="Arial"/>
          <w:b/>
          <w:bCs/>
          <w:caps/>
          <w:color w:val="9F7AEA"/>
          <w:sz w:val="22"/>
          <w:szCs w:val="22"/>
        </w:rPr>
        <w:t xml:space="preserve">CHAPITRE 3</w:t>
      </w:r>
    </w:p>
    <w:p>
      <w:pPr>
        <w:pStyle w:val="Heading1"/>
        <w:spacing w:after="400"/>
      </w:pPr>
      <w:r>
        <w:t xml:space="preserve">La machine à se financer</w:t>
      </w:r>
    </w:p>
    <w:p>
      <w:pPr>
        <w:spacing w:after="60" w:before="300"/>
        <w:ind w:left="2160"/>
        <w:jc w:val="right"/>
      </w:pPr>
      <w:r>
        <w:rPr>
          <w:rFonts w:ascii="Georgia" w:cs="Georgia" w:eastAsia="Georgia" w:hAnsi="Georgia"/>
          <w:i/>
          <w:iCs/>
          <w:color w:val="4A5568"/>
          <w:sz w:val="22"/>
          <w:szCs w:val="22"/>
        </w:rPr>
        <w:t xml:space="preserve">“VOKA is mijn echte baas.”</w:t>
      </w:r>
    </w:p>
    <w:p>
      <w:pPr>
        <w:spacing w:after="400"/>
        <w:ind w:left="2160"/>
        <w:jc w:val="right"/>
      </w:pPr>
      <w:r>
        <w:rPr>
          <w:rFonts w:ascii="Georgia" w:cs="Georgia" w:eastAsia="Georgia" w:hAnsi="Georgia"/>
          <w:color w:val="4A5568"/>
          <w:sz w:val="20"/>
          <w:szCs w:val="20"/>
        </w:rPr>
        <w:t xml:space="preserve">— Bart De Wever, 2010</w:t>
      </w:r>
    </w:p>
    <w:p>
      <w:pPr>
        <w:spacing w:after="180" w:line="312"/>
        <w:jc w:val="both"/>
      </w:pPr>
      <w:r>
        <w:rPr>
          <w:rFonts w:ascii="Georgia" w:cs="Georgia" w:eastAsia="Georgia" w:hAnsi="Georgia"/>
          <w:color w:val="1A1A2E"/>
          <w:sz w:val="23"/>
          <w:szCs w:val="23"/>
        </w:rPr>
        <w:t xml:space="preserve">En 2010, Bart De Wever lâche cette phrase dans une interview. VOKA, la fédération patronale flamande, est « son vrai patron ». Selon la chercheuse Evelien Willems (UAntwerpen), « cette boutade contient plus de vérité qu’il n’y paraît ». L’ancien directeur général de VOKA, Philippe Muyters, est devenu directement ministre N-VA au gouvernement flamand — un cas d’école de porte tournante. En 2014, le président de VOKA Michel Delbaere a facilité la formation du gouvernement Michel I. Tom Schamp (UGent) a démontré que VOKA était l’organisation d’intérêt la plus influente lors des élections 2013-2014 : elle entretenait les contacts les plus fréquents avec tous les partis et voyait ses positions les plus souvent reprises dans les programmes électoraux. De Tijd notait dès 2010 que le programme économique de la N-VA ressemblait à un copier-coller des rapports VOKA.</w:t>
      </w:r>
    </w:p>
    <w:p>
      <w:pPr>
        <w:spacing w:after="180" w:line="312"/>
        <w:jc w:val="both"/>
      </w:pPr>
      <w:r>
        <w:rPr>
          <w:rFonts w:ascii="Georgia" w:cs="Georgia" w:eastAsia="Georgia" w:hAnsi="Georgia"/>
          <w:color w:val="1A1A2E"/>
          <w:sz w:val="23"/>
          <w:szCs w:val="23"/>
        </w:rPr>
        <w:t xml:space="preserve">Le pantouflage — le passage du public vers le privé — ne connaît en Belgique aucun encadrement légal global. Le GRECO du Conseil de l’Europe l’a dénoncé à répétition. La Commission fédérale de déontologie recommande des délais de carence stricts — une législature complète pour les ministres, 2 à 3 ans pour les hauts fonctionnaires — mais ces recommandations restent lettre morte. Le GRECO considère la quasi-totalité de ses recommandations comme « partiellement mises en œuvre ». Les déclarations de patrimoine des mandataires restent scellées sous pli fermé, inviolablement, sauf enquête pénale. Cumuleo.be recense plus d’un million de mandats détenus par les mandataires belges depuis 2004.</w:t>
      </w:r>
    </w:p>
    <w:p>
      <w:pPr>
        <w:spacing w:after="180" w:line="312"/>
        <w:jc w:val="both"/>
      </w:pPr>
      <w:r>
        <w:rPr>
          <w:rFonts w:ascii="Georgia" w:cs="Georgia" w:eastAsia="Georgia" w:hAnsi="Georgia"/>
          <w:color w:val="1A1A2E"/>
          <w:sz w:val="23"/>
          <w:szCs w:val="23"/>
        </w:rPr>
        <w:t xml:space="preserve">L’indice de perception de la corruption a chuté à 69 sur 100 en 2024 — son plus bas historique depuis la création de l’indice — influencé par le scandale du Qatargate impliquant l’eurodéputé belge Marc Tarabella. Bruxelles héberge entre 25 000 et 30 000 lobbyistes, presque autant que les 32 000 employés de la Commission européenne. Le registre de transparence du Parlement fédéral est volontaire depuis 2018 seulement. Et cinq familles contrôlent l’essentiel des médias : DPG Media (Van Thillo), Mediahuis (Leysen et al.), Rossel (Hurbain), IPM (Le Hodey). La fusion Rossel-IPM, annoncée en juin 2025, créerait un monopole de la presse quotidienne francophone. Comme le résume Médor : « En 2020, trois groupes existaient. En 2026, il n’y en aura plus qu’un. »</w:t>
      </w:r>
    </w:p>
    <w:p>
      <w:pPr>
        <w:pBdr>
          <w:left w:val="single" w:color="48BB78" w:sz="6" w:space="12"/>
        </w:pBdr>
        <w:spacing w:after="200" w:before="200"/>
        <w:ind w:left="720"/>
      </w:pPr>
      <w:r>
        <w:rPr>
          <w:rFonts w:ascii="Arial" w:cs="Arial" w:eastAsia="Arial" w:hAnsi="Arial"/>
          <w:b/>
          <w:bCs/>
          <w:color w:val="1A1A2E"/>
          <w:sz w:val="21"/>
          <w:szCs w:val="21"/>
        </w:rPr>
        <w:t xml:space="preserve">Corruption : 69/100 (plus bas historique) • 25-30 000 lobbyistes à Bruxelles • Zéro cooling-off légal • Monopole presse francophone en cours</w:t>
      </w:r>
    </w:p>
    <w:p>
      <w:pPr>
        <w:spacing w:after="400" w:before="400"/>
        <w:jc w:val="center"/>
      </w:pPr>
      <w:r>
        <w:rPr>
          <w:rFonts w:ascii="Georgia" w:cs="Georgia" w:eastAsia="Georgia" w:hAnsi="Georgia"/>
          <w:color w:val="9F7AEA"/>
          <w:sz w:val="24"/>
          <w:szCs w:val="24"/>
        </w:rPr>
        <w:t xml:space="preserve">•  •  •</w:t>
      </w:r>
    </w:p>
    <w:p>
      <w:r>
        <w:br w:type="page"/>
      </w:r>
    </w:p>
    <w:p>
      <w:pPr>
        <w:spacing w:after="1200" w:before="1200"/>
      </w:pPr>
    </w:p>
    <w:p>
      <w:pPr>
        <w:spacing w:after="200"/>
        <w:jc w:val="center"/>
      </w:pPr>
      <w:r>
        <w:rPr>
          <w:rFonts w:ascii="Arial" w:cs="Arial" w:eastAsia="Arial" w:hAnsi="Arial"/>
          <w:b/>
          <w:bCs/>
          <w:color w:val="1A1A2E"/>
          <w:sz w:val="40"/>
          <w:szCs w:val="40"/>
        </w:rPr>
        <w:t xml:space="preserve">ACTE II</w:t>
      </w:r>
    </w:p>
    <w:p>
      <w:pPr>
        <w:pBdr>
          <w:bottom w:val="single" w:color="E53E3E" w:sz="3" w:space="8"/>
        </w:pBdr>
        <w:spacing w:after="100"/>
        <w:jc w:val="center"/>
      </w:pPr>
      <w:r>
        <w:rPr>
          <w:rFonts w:ascii="Arial" w:cs="Arial" w:eastAsia="Arial" w:hAnsi="Arial"/>
          <w:b/>
          <w:bCs/>
          <w:color w:val="E53E3E"/>
          <w:sz w:val="32"/>
          <w:szCs w:val="32"/>
        </w:rPr>
        <w:t xml:space="preserve">LE BROL D’EN BAS</w:t>
      </w:r>
    </w:p>
    <w:p>
      <w:pPr>
        <w:spacing w:after="800" w:before="200"/>
        <w:jc w:val="center"/>
      </w:pPr>
      <w:r>
        <w:rPr>
          <w:rFonts w:ascii="Georgia" w:cs="Georgia" w:eastAsia="Georgia" w:hAnsi="Georgia"/>
          <w:i/>
          <w:iCs/>
          <w:color w:val="4A5568"/>
          <w:sz w:val="24"/>
          <w:szCs w:val="24"/>
        </w:rPr>
        <w:t xml:space="preserve">La réalité citoyenne telle qu’elle se vit</w:t>
      </w:r>
    </w:p>
    <w:p>
      <w:r>
        <w:br w:type="page"/>
      </w:r>
    </w:p>
    <w:p>
      <w:pPr>
        <w:spacing w:after="100" w:before="600"/>
      </w:pPr>
      <w:r>
        <w:rPr>
          <w:rFonts w:ascii="Arial" w:cs="Arial" w:eastAsia="Arial" w:hAnsi="Arial"/>
          <w:b/>
          <w:bCs/>
          <w:caps/>
          <w:color w:val="9F7AEA"/>
          <w:sz w:val="22"/>
          <w:szCs w:val="22"/>
        </w:rPr>
        <w:t xml:space="preserve">CHAPITRE 4</w:t>
      </w:r>
    </w:p>
    <w:p>
      <w:pPr>
        <w:pStyle w:val="Heading1"/>
        <w:spacing w:after="400"/>
      </w:pPr>
      <w:r>
        <w:t xml:space="preserve">180 000 fois rien</w:t>
      </w:r>
    </w:p>
    <w:p>
      <w:pPr>
        <w:spacing w:after="60" w:before="300"/>
        <w:ind w:left="2160"/>
        <w:jc w:val="right"/>
      </w:pPr>
      <w:r>
        <w:rPr>
          <w:rFonts w:ascii="Georgia" w:cs="Georgia" w:eastAsia="Georgia" w:hAnsi="Georgia"/>
          <w:i/>
          <w:iCs/>
          <w:color w:val="4A5568"/>
          <w:sz w:val="22"/>
          <w:szCs w:val="22"/>
        </w:rPr>
        <w:t xml:space="preserve">“La réforme la plus communautaire que l’on puisse faire.”</w:t>
      </w:r>
    </w:p>
    <w:p>
      <w:pPr>
        <w:spacing w:after="400"/>
        <w:ind w:left="2160"/>
        <w:jc w:val="right"/>
      </w:pPr>
      <w:r>
        <w:rPr>
          <w:rFonts w:ascii="Georgia" w:cs="Georgia" w:eastAsia="Georgia" w:hAnsi="Georgia"/>
          <w:color w:val="4A5568"/>
          <w:sz w:val="20"/>
          <w:szCs w:val="20"/>
        </w:rPr>
        <w:t xml:space="preserve">— Bart De Wever, à propos de la limitation du chômage</w:t>
      </w:r>
    </w:p>
    <w:p>
      <w:pPr>
        <w:spacing w:after="180" w:line="312"/>
        <w:jc w:val="both"/>
      </w:pPr>
      <w:r>
        <w:rPr>
          <w:rFonts w:ascii="Georgia" w:cs="Georgia" w:eastAsia="Georgia" w:hAnsi="Georgia"/>
          <w:color w:val="1A1A2E"/>
          <w:sz w:val="23"/>
          <w:szCs w:val="23"/>
        </w:rPr>
        <w:t xml:space="preserve">Le 1er janvier 2026, les premières exclusions tombent. Vingt-huit mille personnes avec plus de vingt ans d’inoccupation perdent leurs allocations du jour au lendemain. Le 1er mars, ce sont 43 000 de plus. Puis 47 000 le 1er avril. Au total, 117 000 personnes entre janvier et juin. Environ 180 000 d’ici juillet 2027. C’est la mesure emblématique de la coalition Arizona, formée le 3 février 2025 sous la présidence de Bart De Wever : la limitation des allocations de chômage à 24 mois, une première historique qui met fin à l’un des derniers systèmes d’assurance-chômage illimitée de l’Union européenne.</w:t>
      </w:r>
    </w:p>
    <w:p>
      <w:pPr>
        <w:spacing w:after="180" w:line="312"/>
        <w:jc w:val="both"/>
      </w:pPr>
      <w:r>
        <w:rPr>
          <w:rFonts w:ascii="Georgia" w:cs="Georgia" w:eastAsia="Georgia" w:hAnsi="Georgia"/>
          <w:color w:val="1A1A2E"/>
          <w:sz w:val="23"/>
          <w:szCs w:val="23"/>
        </w:rPr>
        <w:t xml:space="preserve">La géographie de l’exclusion est une carte politique. Sur les 140 communes les plus touchées, 139 sont wallonnes ou bruxelloises. En Wallonie, 57 000 demandeurs d’emploi seront exclus. À Bruxelles, 42 000. Quatre-vingts pour cent des personnes concernées n’ont même pas le diplôme du secondaire supérieur. De Wever l’avait dit lui-même : c’est la réforme « la plus communautaire que l’on puisse faire » — une confession involontaire sur la dimension régionale du transfert de charges.</w:t>
      </w:r>
    </w:p>
    <w:p>
      <w:pPr>
        <w:spacing w:after="180" w:line="312"/>
        <w:jc w:val="both"/>
      </w:pPr>
      <w:r>
        <w:rPr>
          <w:rFonts w:ascii="Georgia" w:cs="Georgia" w:eastAsia="Georgia" w:hAnsi="Georgia"/>
          <w:color w:val="1A1A2E"/>
          <w:sz w:val="23"/>
          <w:szCs w:val="23"/>
        </w:rPr>
        <w:t xml:space="preserve">Le Revenu d’Intégration Sociale vers lequel ces personnes sont renvoyées offre 876 euros par mois pour un cohabitant, 1 314 euros pour un isolé, 1 776 euros pour une personne avec charge de famille. Les conditions d’accès sont plus restrictives : enquête patrimoniale, subsidiarité, prise en compte des ressources de tous les débiteurs alimentaires cohabitants à partir du 1er mars 2026. Et entre 57 et 76 % des personnes éligibles au RIS ne le demandent pas. Non-recours aux droits : le mur invisible du système social belge.</w:t>
      </w:r>
    </w:p>
    <w:p>
      <w:pPr>
        <w:spacing w:after="180" w:line="312"/>
        <w:jc w:val="both"/>
      </w:pPr>
      <w:r>
        <w:rPr>
          <w:rFonts w:ascii="Georgia" w:cs="Georgia" w:eastAsia="Georgia" w:hAnsi="Georgia"/>
          <w:color w:val="1A1A2E"/>
          <w:sz w:val="23"/>
          <w:szCs w:val="23"/>
        </w:rPr>
        <w:t xml:space="preserve">À Namur, 300 nouvelles demandes en vingt jours. Le CPAS prévoit de passer de 4 300 à 6 000 bénéficiaires d’ici fin 2026, après avoir épuisé ses réserves de 4 millions d’euros. La Fédération des CPAS estime le coût total entre 493 et 631 millions d’euros sur la législature, bien au-delà des compensations fédérales prévues. Le mécanisme est implacable : le fédéral réduit ses dépenses, les communes absorbent le choc, les contribuables locaux paient la différence. C’est la dépossession en cascade.</w:t>
      </w:r>
    </w:p>
    <w:p>
      <w:pPr>
        <w:spacing w:after="180" w:line="312"/>
        <w:jc w:val="both"/>
      </w:pPr>
      <w:r>
        <w:rPr>
          <w:rFonts w:ascii="Georgia" w:cs="Georgia" w:eastAsia="Georgia" w:hAnsi="Georgia"/>
          <w:color w:val="1A1A2E"/>
          <w:sz w:val="23"/>
          <w:szCs w:val="23"/>
        </w:rPr>
        <w:t xml:space="preserve">Cette dépossession s’inscrit dans une trajectoire de quarante ans. Le virage néolibéral belge commence en décembre 1981 avec le gouvernement Martens V : dévaluation, gel des salaires, pouvoirs spéciaux. Le Traité de Maastricht (1992) impose les critères de convergence. Le TSCG de 2012 étrangle l’espace des choix démocratiques. Le gouvernement Michel introduit le saut d’index en 2015 et relève l’âge de la pension. L’Arizona franchit le cap final. Et pendant ce temps, les entreprises belges continuent de recevoir 16 milliards d’euros de subsides annuels — un record européen — auxquels la coalition ajoute 2 milliards en réductions de cotisations patronales.</w:t>
      </w:r>
    </w:p>
    <w:p>
      <w:pPr>
        <w:pBdr>
          <w:left w:val="single" w:color="48BB78" w:sz="6" w:space="12"/>
        </w:pBdr>
        <w:spacing w:after="200" w:before="200"/>
        <w:ind w:left="720"/>
      </w:pPr>
      <w:r>
        <w:rPr>
          <w:rFonts w:ascii="Arial" w:cs="Arial" w:eastAsia="Arial" w:hAnsi="Arial"/>
          <w:b/>
          <w:bCs/>
          <w:color w:val="1A1A2E"/>
          <w:sz w:val="21"/>
          <w:szCs w:val="21"/>
        </w:rPr>
        <w:t xml:space="preserve">180 000 exclusions • 139 communes touchées sur 140 en Wallonie/Bruxelles • 57-76 % de non-recours au RIS • 16 Mds€ de subsides aux entreprises</w:t>
      </w:r>
    </w:p>
    <w:p>
      <w:pPr>
        <w:spacing w:after="400" w:before="400"/>
        <w:jc w:val="center"/>
      </w:pPr>
      <w:r>
        <w:rPr>
          <w:rFonts w:ascii="Georgia" w:cs="Georgia" w:eastAsia="Georgia" w:hAnsi="Georgia"/>
          <w:color w:val="9F7AEA"/>
          <w:sz w:val="24"/>
          <w:szCs w:val="24"/>
        </w:rPr>
        <w:t xml:space="preserve">•  •  •</w:t>
      </w:r>
    </w:p>
    <w:p>
      <w:r>
        <w:br w:type="page"/>
      </w:r>
    </w:p>
    <w:p>
      <w:pPr>
        <w:spacing w:after="100" w:before="600"/>
      </w:pPr>
      <w:r>
        <w:rPr>
          <w:rFonts w:ascii="Arial" w:cs="Arial" w:eastAsia="Arial" w:hAnsi="Arial"/>
          <w:b/>
          <w:bCs/>
          <w:caps/>
          <w:color w:val="9F7AEA"/>
          <w:sz w:val="22"/>
          <w:szCs w:val="22"/>
        </w:rPr>
        <w:t xml:space="preserve">CHAPITRE 5</w:t>
      </w:r>
    </w:p>
    <w:p>
      <w:pPr>
        <w:pStyle w:val="Heading1"/>
        <w:spacing w:after="400"/>
      </w:pPr>
      <w:r>
        <w:t xml:space="preserve">Le budget qui ne tient pas</w:t>
      </w:r>
    </w:p>
    <w:p>
      <w:pPr>
        <w:spacing w:after="180" w:line="312"/>
        <w:jc w:val="both"/>
      </w:pPr>
      <w:r>
        <w:rPr>
          <w:rFonts w:ascii="Georgia" w:cs="Georgia" w:eastAsia="Georgia" w:hAnsi="Georgia"/>
          <w:color w:val="1A1A2E"/>
          <w:sz w:val="23"/>
          <w:szCs w:val="23"/>
        </w:rPr>
        <w:t xml:space="preserve">Le gouvernement De Wever parie 7,9 milliards d’euros — un tiers de l’effort budgétaire total de 23 milliards — sur des « effets retour » générés mécaniquement par un taux d’emploi de 80 %. Pas une seule institution indépendante ne juge cette cible atteignable.</w:t>
      </w:r>
    </w:p>
    <w:p>
      <w:pPr>
        <w:spacing w:after="180" w:line="312"/>
        <w:jc w:val="both"/>
      </w:pPr>
      <w:r>
        <w:rPr>
          <w:rFonts w:ascii="Georgia" w:cs="Georgia" w:eastAsia="Georgia" w:hAnsi="Georgia"/>
          <w:color w:val="1A1A2E"/>
          <w:sz w:val="23"/>
          <w:szCs w:val="23"/>
        </w:rPr>
        <w:t xml:space="preserve">Le Bureau fédéral du Plan projette 74,7 % en 2030, très loin de la cible. La Banque nationale anticipe seulement 135 000 emplois créés entre 2025 et 2028. Le Denktank Minerva calcule qu’atteindre 80 % exigerait 150 000 emplois par an, contre une moyenne historique de 50 000 et un record absolu de 95 000 en 2022. Geert Peersman (UGent) déclare n’avoir « jamais vu une estimation aussi excessive ». Le tax shift du gouvernement Michel, qui a coûté 8 milliards par an, a produit des effets retour estimés entre 4 et 15 % par la KU Leuven. L’Arizona table sur 50 % — trois à douze fois plus que l’expérience empirique.</w:t>
      </w:r>
    </w:p>
    <w:p>
      <w:pPr>
        <w:spacing w:after="180" w:line="312"/>
        <w:jc w:val="both"/>
      </w:pPr>
      <w:r>
        <w:rPr>
          <w:rFonts w:ascii="Georgia" w:cs="Georgia" w:eastAsia="Georgia" w:hAnsi="Georgia"/>
          <w:color w:val="1A1A2E"/>
          <w:sz w:val="23"/>
          <w:szCs w:val="23"/>
        </w:rPr>
        <w:t xml:space="preserve">L’étude de l’OCDE la plus pertinente — Andrea Salvatori, Working Paper n°272, 2022, portant spécifiquement sur la Belgique — conclut que la réforme de 2012 du système belge d’allocations dégressives n’a produit aucune indication d’augmentation des flux vers l’emploi. L’auteur conclut que les résultats fournissent peu de bases en faveur d’une accentuation de la dégressivité. Une méta-analyse Cochrane portant sur 1,15 million de périodes de chômage dans sept pays montre que la réduction de la durée des allocations n’augmente le taux de sortie que d’environ 10 % — un effet faible qui ne dit rien sur la qualité de l’emploi retrouvé. L’étude du Lancet sur le Universal Credit britannique est encore plus tranchante : aucun effet significatif sur l’emploi, mais une augmentation documentée de la pauvreté et de la suicidalité.</w:t>
      </w:r>
    </w:p>
    <w:p>
      <w:pPr>
        <w:spacing w:after="180" w:line="312"/>
        <w:jc w:val="both"/>
      </w:pPr>
      <w:r>
        <w:rPr>
          <w:rFonts w:ascii="Georgia" w:cs="Georgia" w:eastAsia="Georgia" w:hAnsi="Georgia"/>
          <w:color w:val="1A1A2E"/>
          <w:sz w:val="23"/>
          <w:szCs w:val="23"/>
        </w:rPr>
        <w:t xml:space="preserve">En juin 2025, Fitch a dégradé la note souveraine belge de AA- à A+, une première en dix ans. La Commission européenne projette le pire déficit de la zone euro en 2027 : 5,9 % du PIB. Le Comité de monitoring prévoit 6,5 % toutes entités confondues en 2030. Les charges d’intérêt dépasseront 20 milliards en 2030. Et le budget 2026, présenté onze mois après la formation du gouvernement, n’est toujours pas voté — le pays fonctionne sous douzièmes provisoires, à un surcoût estimé de 1,3 milliard. L’austérité est auto-destructrice, comme le FMI l’a reconnu pour la Grèce. Mais en Belgique, on recommence.</w:t>
      </w:r>
    </w:p>
    <w:p>
      <w:pPr>
        <w:pBdr>
          <w:left w:val="single" w:color="48BB78" w:sz="6" w:space="12"/>
        </w:pBdr>
        <w:spacing w:after="200" w:before="200"/>
        <w:ind w:left="720"/>
      </w:pPr>
      <w:r>
        <w:rPr>
          <w:rFonts w:ascii="Arial" w:cs="Arial" w:eastAsia="Arial" w:hAnsi="Arial"/>
          <w:b/>
          <w:bCs/>
          <w:color w:val="1A1A2E"/>
          <w:sz w:val="21"/>
          <w:szCs w:val="21"/>
        </w:rPr>
        <w:t xml:space="preserve">7,9 Mds€ d’effets retour fictifs • Fitch : AA- → A+ • Pire déficit zone euro • OCDE : aucun effet mesurable sur l’emploi</w:t>
      </w:r>
    </w:p>
    <w:p>
      <w:pPr>
        <w:spacing w:after="400" w:before="400"/>
        <w:jc w:val="center"/>
      </w:pPr>
      <w:r>
        <w:rPr>
          <w:rFonts w:ascii="Georgia" w:cs="Georgia" w:eastAsia="Georgia" w:hAnsi="Georgia"/>
          <w:color w:val="9F7AEA"/>
          <w:sz w:val="24"/>
          <w:szCs w:val="24"/>
        </w:rPr>
        <w:t xml:space="preserve">•  •  •</w:t>
      </w:r>
    </w:p>
    <w:p>
      <w:r>
        <w:br w:type="page"/>
      </w:r>
    </w:p>
    <w:p>
      <w:pPr>
        <w:spacing w:after="100" w:before="600"/>
      </w:pPr>
      <w:r>
        <w:rPr>
          <w:rFonts w:ascii="Arial" w:cs="Arial" w:eastAsia="Arial" w:hAnsi="Arial"/>
          <w:b/>
          <w:bCs/>
          <w:caps/>
          <w:color w:val="9F7AEA"/>
          <w:sz w:val="22"/>
          <w:szCs w:val="22"/>
        </w:rPr>
        <w:t xml:space="preserve">CHAPITRE 6</w:t>
      </w:r>
    </w:p>
    <w:p>
      <w:pPr>
        <w:pStyle w:val="Heading1"/>
        <w:spacing w:after="400"/>
      </w:pPr>
      <w:r>
        <w:t xml:space="preserve">La fabrique du coupable</w:t>
      </w:r>
    </w:p>
    <w:p>
      <w:pPr>
        <w:spacing w:after="60" w:before="300"/>
        <w:ind w:left="2160"/>
        <w:jc w:val="right"/>
      </w:pPr>
      <w:r>
        <w:rPr>
          <w:rFonts w:ascii="Georgia" w:cs="Georgia" w:eastAsia="Georgia" w:hAnsi="Georgia"/>
          <w:i/>
          <w:iCs/>
          <w:color w:val="4A5568"/>
          <w:sz w:val="22"/>
          <w:szCs w:val="22"/>
        </w:rPr>
        <w:t xml:space="preserve">“Ce n’est pas du journalisme. C’est une machine à fabriquer le sens commun néolibéral.”</w:t>
      </w:r>
    </w:p>
    <w:p>
      <w:pPr>
        <w:spacing w:after="400"/>
        <w:ind w:left="2160"/>
        <w:jc w:val="right"/>
      </w:pPr>
      <w:r>
        <w:rPr>
          <w:rFonts w:ascii="Georgia" w:cs="Georgia" w:eastAsia="Georgia" w:hAnsi="Georgia"/>
          <w:color w:val="4A5568"/>
          <w:sz w:val="20"/>
          <w:szCs w:val="20"/>
        </w:rPr>
        <w:t xml:space="preserve">— Tracey Jensen, sociologue</w:t>
      </w:r>
    </w:p>
    <w:p>
      <w:pPr>
        <w:spacing w:after="180" w:line="312"/>
        <w:jc w:val="both"/>
      </w:pPr>
      <w:r>
        <w:rPr>
          <w:rFonts w:ascii="Georgia" w:cs="Georgia" w:eastAsia="Georgia" w:hAnsi="Georgia"/>
          <w:color w:val="1A1A2E"/>
          <w:sz w:val="23"/>
          <w:szCs w:val="23"/>
        </w:rPr>
        <w:t xml:space="preserve">Le 7 novembre 2025, RTL-TVI diffuse « Sans boulot : tous fraudeurs ? » de Christophe Deborsu. Coût de production estimé : 120 000 à 200 000 euros. Plus de 100 plaintes au CSA. 410 860 téléspectateurs. Le documentaire mobilise les mécanismes les plus éprouvés de la construction de l’ennemi intérieur : caméra cachée sur des personnes vulnérables, montage à charge avec un ratio de 120:1 — 120 heures de tournage pour une heure de programme —, absence de mise en perspective statistique, diffusion deux mois avant l’entrée en vigueur des exclusions. La sociologie de la propagande médiatique, de Carl Schmitt à Loïc Wacquant, décrit exactement ce programme : la construction du bouc émissaire pour cimenter le consentement à l’austérité.</w:t>
      </w:r>
    </w:p>
    <w:p>
      <w:pPr>
        <w:spacing w:after="180" w:line="312"/>
        <w:jc w:val="both"/>
      </w:pPr>
      <w:r>
        <w:rPr>
          <w:rFonts w:ascii="Georgia" w:cs="Georgia" w:eastAsia="Georgia" w:hAnsi="Georgia"/>
          <w:color w:val="1A1A2E"/>
          <w:sz w:val="23"/>
          <w:szCs w:val="23"/>
        </w:rPr>
        <w:t xml:space="preserve">René Girard explique le mécanisme : désigner une victime collective pour unifier le groupe dominant. Loïc Wacquant documente comment la pénalisation de la pauvreté remplace les politiques sociales. Le cadrage épisodique — montrer des cas individuels sans contexte systémique — est le rouage central. Quand RTL montre « le fraudeur », elle ne montre pas les 184 000 personnes qui seront exclues. Elle ne montre pas le 57-76 % de non-recours. Elle ne montre pas les 16 milliards de subsides aux entreprises. Le documentaire de Deborsu n’est pas un accident médiatique — c’est un rouage dans une machine de production de consentement.</w:t>
      </w:r>
    </w:p>
    <w:p>
      <w:pPr>
        <w:spacing w:after="180" w:line="312"/>
        <w:jc w:val="both"/>
      </w:pPr>
      <w:r>
        <w:rPr>
          <w:rFonts w:ascii="Georgia" w:cs="Georgia" w:eastAsia="Georgia" w:hAnsi="Georgia"/>
          <w:color w:val="1A1A2E"/>
          <w:sz w:val="23"/>
          <w:szCs w:val="23"/>
        </w:rPr>
        <w:t xml:space="preserve">Cette machine fonctionne dans un paysage déjà concentré à l’extrême. Le nombre de titres de journaux est passé de 48 en 1960 à 15 en 2016, les éditeurs indépendants de 34 à 5. Les GAFAM captent environ 70 % des revenus publicitaires numériques. Aucune étude académique majeure n’a systématiquement appliqué le modèle de propagande de Herman-Chomsky au contexte belge, mais les travaux de Geoffrey Geuens (ULiège) sur l’actionnariat des groupes médiatiques s’en rapprochent. Les cinq filtres s’appliquent aisément : concentration de la propriété familiale, dépendance publicitaire, dépendance aux sources institutionnelles, pressions croisées, filtre idéologique néolibéral.</w:t>
      </w:r>
    </w:p>
    <w:p>
      <w:pPr>
        <w:spacing w:after="400" w:before="400"/>
        <w:jc w:val="center"/>
      </w:pPr>
      <w:r>
        <w:rPr>
          <w:rFonts w:ascii="Georgia" w:cs="Georgia" w:eastAsia="Georgia" w:hAnsi="Georgia"/>
          <w:color w:val="9F7AEA"/>
          <w:sz w:val="24"/>
          <w:szCs w:val="24"/>
        </w:rPr>
        <w:t xml:space="preserve">•  •  •</w:t>
      </w:r>
    </w:p>
    <w:p>
      <w:r>
        <w:br w:type="page"/>
      </w:r>
    </w:p>
    <w:p>
      <w:pPr>
        <w:spacing w:after="100" w:before="600"/>
      </w:pPr>
      <w:r>
        <w:rPr>
          <w:rFonts w:ascii="Arial" w:cs="Arial" w:eastAsia="Arial" w:hAnsi="Arial"/>
          <w:b/>
          <w:bCs/>
          <w:caps/>
          <w:color w:val="9F7AEA"/>
          <w:sz w:val="22"/>
          <w:szCs w:val="22"/>
        </w:rPr>
        <w:t xml:space="preserve">CHAPITRE 7</w:t>
      </w:r>
    </w:p>
    <w:p>
      <w:pPr>
        <w:pStyle w:val="Heading1"/>
        <w:spacing w:after="400"/>
      </w:pPr>
      <w:r>
        <w:t xml:space="preserve">Le corps comme champ de bataille</w:t>
      </w:r>
    </w:p>
    <w:p>
      <w:pPr>
        <w:spacing w:after="180" w:line="312"/>
        <w:jc w:val="both"/>
      </w:pPr>
      <w:r>
        <w:rPr>
          <w:rFonts w:ascii="Georgia" w:cs="Georgia" w:eastAsia="Georgia" w:hAnsi="Georgia"/>
          <w:color w:val="1A1A2E"/>
          <w:sz w:val="23"/>
          <w:szCs w:val="23"/>
        </w:rPr>
        <w:t xml:space="preserve">Les chiffres sont des corps. Derrière chaque statistique, une personne qui renonce à un soin, un enfant qui mange une fois par jour, un malade de longue durée qui reçoit une convocation de contrôle comme une sentence. La Belgique de 2026 produit de la souffrance à une échelle industrielle.</w:t>
      </w:r>
    </w:p>
    <w:p>
      <w:pPr>
        <w:spacing w:after="180" w:line="312"/>
        <w:jc w:val="both"/>
      </w:pPr>
      <w:r>
        <w:rPr>
          <w:rFonts w:ascii="Georgia" w:cs="Georgia" w:eastAsia="Georgia" w:hAnsi="Georgia"/>
          <w:color w:val="1A1A2E"/>
          <w:sz w:val="23"/>
          <w:szCs w:val="23"/>
        </w:rPr>
        <w:t xml:space="preserve">L’écart d’espérance de vie entre les plus favorisés et les plus défavorisés atteint 9,3 ans pour les hommes. À Bruxelles, 44 % des enfants vivent sous le seuil de pauvreté. Quarante et un pour cent des Belges francophones ont renoncé à au moins un soin — 60 % chez les familles monoparentales, 63 % chez les invalides. Plus de 900 000 personnes sont en insécurité alimentaire. Les banques alimentaires qualifient 2026 d’année noire : le budget fédéral passe de 27 à 15 millions, tandis que la demande explose. En 2025, elles distribuaient déjà 28 000 tonnes de nourriture — 56 millions de repas — à 205 000 bénéficiaires mensuels, en hausse de 50 % en une décennie. Quarante pour cent de ces bénéficiaires sont des enfants.</w:t>
      </w:r>
    </w:p>
    <w:p>
      <w:pPr>
        <w:spacing w:after="180" w:line="312"/>
        <w:jc w:val="both"/>
      </w:pPr>
      <w:r>
        <w:rPr>
          <w:rFonts w:ascii="Georgia" w:cs="Georgia" w:eastAsia="Georgia" w:hAnsi="Georgia"/>
          <w:color w:val="1A1A2E"/>
          <w:sz w:val="23"/>
          <w:szCs w:val="23"/>
        </w:rPr>
        <w:t xml:space="preserve">Le pays compte 549 996 personnes en invalidité, un doublement depuis 2008. La réponse gouvernementale : quadrupler les sanctions et remettre 100 000 malades au travail d’ici 2029. Le Conseil national du Travail a affirmé à l’unanimité qu’un mécanisme de sanctions est « incompatible avec une approche volontaire ». La Cour constitutionnelle allemande avait jugé en 2019 que les sanctions supérieures à 30 % violaient la dignité humaine. En Belgique, on supprime 100 %.</w:t>
      </w:r>
    </w:p>
    <w:p>
      <w:pPr>
        <w:spacing w:after="180" w:line="312"/>
        <w:jc w:val="both"/>
      </w:pPr>
      <w:r>
        <w:rPr>
          <w:rFonts w:ascii="Georgia" w:cs="Georgia" w:eastAsia="Georgia" w:hAnsi="Georgia"/>
          <w:color w:val="1A1A2E"/>
          <w:sz w:val="23"/>
          <w:szCs w:val="23"/>
        </w:rPr>
        <w:t xml:space="preserve">À Bruxelles, 7 134 personnes sont sans abri — quasi-quadruplement depuis 2008. Plus de 326 000 personnes attendent un logement social. Le nombre de travailleurs pauvres bénéficiant du RIS a explosé de 73 % en quatre ans en Wallonie, démontrant que l’emploi seul ne protège plus. Et 40 % des Belges sont en vulnérabilité numérique — pendant que les services publics basculent vers le « digital by default ». La santé mentale est désormais la première cause de perte d’années de vie en bonne santé en Belgique selon Sciensano.</w:t>
      </w:r>
    </w:p>
    <w:p>
      <w:pPr>
        <w:pBdr>
          <w:left w:val="single" w:color="48BB78" w:sz="6" w:space="12"/>
        </w:pBdr>
        <w:spacing w:after="200" w:before="200"/>
        <w:ind w:left="720"/>
      </w:pPr>
      <w:r>
        <w:rPr>
          <w:rFonts w:ascii="Arial" w:cs="Arial" w:eastAsia="Arial" w:hAnsi="Arial"/>
          <w:b/>
          <w:bCs/>
          <w:color w:val="1A1A2E"/>
          <w:sz w:val="21"/>
          <w:szCs w:val="21"/>
        </w:rPr>
        <w:t xml:space="preserve">9,3 ans d’écart d’espérance de vie • 44 % pauvreté infantile Bruxelles • 550K invalides • 900K insécurité alimentaire • 41 % renoncement aux soins</w:t>
      </w:r>
    </w:p>
    <w:p>
      <w:pPr>
        <w:spacing w:after="400" w:before="400"/>
        <w:jc w:val="center"/>
      </w:pPr>
      <w:r>
        <w:rPr>
          <w:rFonts w:ascii="Georgia" w:cs="Georgia" w:eastAsia="Georgia" w:hAnsi="Georgia"/>
          <w:color w:val="9F7AEA"/>
          <w:sz w:val="24"/>
          <w:szCs w:val="24"/>
        </w:rPr>
        <w:t xml:space="preserve">•  •  •</w:t>
      </w:r>
    </w:p>
    <w:p>
      <w:r>
        <w:br w:type="page"/>
      </w:r>
    </w:p>
    <w:p>
      <w:pPr>
        <w:spacing w:after="1200" w:before="1200"/>
      </w:pPr>
    </w:p>
    <w:p>
      <w:pPr>
        <w:spacing w:after="200"/>
        <w:jc w:val="center"/>
      </w:pPr>
      <w:r>
        <w:rPr>
          <w:rFonts w:ascii="Arial" w:cs="Arial" w:eastAsia="Arial" w:hAnsi="Arial"/>
          <w:b/>
          <w:bCs/>
          <w:color w:val="1A1A2E"/>
          <w:sz w:val="40"/>
          <w:szCs w:val="40"/>
        </w:rPr>
        <w:t xml:space="preserve">ACTE III</w:t>
      </w:r>
    </w:p>
    <w:p>
      <w:pPr>
        <w:pBdr>
          <w:bottom w:val="single" w:color="2D8659" w:sz="3" w:space="8"/>
        </w:pBdr>
        <w:spacing w:after="100"/>
        <w:jc w:val="center"/>
      </w:pPr>
      <w:r>
        <w:rPr>
          <w:rFonts w:ascii="Arial" w:cs="Arial" w:eastAsia="Arial" w:hAnsi="Arial"/>
          <w:b/>
          <w:bCs/>
          <w:color w:val="2D8659"/>
          <w:sz w:val="32"/>
          <w:szCs w:val="32"/>
        </w:rPr>
        <w:t xml:space="preserve">LE BROL COMME ARME</w:t>
      </w:r>
    </w:p>
    <w:p>
      <w:pPr>
        <w:spacing w:after="800" w:before="200"/>
        <w:jc w:val="center"/>
      </w:pPr>
      <w:r>
        <w:rPr>
          <w:rFonts w:ascii="Georgia" w:cs="Georgia" w:eastAsia="Georgia" w:hAnsi="Georgia"/>
          <w:i/>
          <w:iCs/>
          <w:color w:val="4A5568"/>
          <w:sz w:val="24"/>
          <w:szCs w:val="24"/>
        </w:rPr>
        <w:t xml:space="preserve">Ce qu’on peut faire avec, contre, malgré</w:t>
      </w:r>
    </w:p>
    <w:p>
      <w:r>
        <w:br w:type="page"/>
      </w:r>
    </w:p>
    <w:p>
      <w:pPr>
        <w:spacing w:after="100" w:before="600"/>
      </w:pPr>
      <w:r>
        <w:rPr>
          <w:rFonts w:ascii="Arial" w:cs="Arial" w:eastAsia="Arial" w:hAnsi="Arial"/>
          <w:b/>
          <w:bCs/>
          <w:caps/>
          <w:color w:val="9F7AEA"/>
          <w:sz w:val="22"/>
          <w:szCs w:val="22"/>
        </w:rPr>
        <w:t xml:space="preserve">CHAPITRE 8</w:t>
      </w:r>
    </w:p>
    <w:p>
      <w:pPr>
        <w:pStyle w:val="Heading1"/>
        <w:spacing w:after="400"/>
      </w:pPr>
      <w:r>
        <w:t xml:space="preserve">Les armes du citoyen</w:t>
      </w:r>
    </w:p>
    <w:p>
      <w:pPr>
        <w:spacing w:after="60" w:before="300"/>
        <w:ind w:left="2160"/>
        <w:jc w:val="right"/>
      </w:pPr>
      <w:r>
        <w:rPr>
          <w:rFonts w:ascii="Georgia" w:cs="Georgia" w:eastAsia="Georgia" w:hAnsi="Georgia"/>
          <w:i/>
          <w:iCs/>
          <w:color w:val="4A5568"/>
          <w:sz w:val="22"/>
          <w:szCs w:val="22"/>
        </w:rPr>
        <w:t xml:space="preserve">“Ce n’est pas une guerre de l’information, mais une guerre sur le sens de l’information.”</w:t>
      </w:r>
    </w:p>
    <w:p>
      <w:pPr>
        <w:spacing w:after="400"/>
        <w:ind w:left="2160"/>
        <w:jc w:val="right"/>
      </w:pPr>
      <w:r>
        <w:rPr>
          <w:rFonts w:ascii="Georgia" w:cs="Georgia" w:eastAsia="Georgia" w:hAnsi="Georgia"/>
          <w:color w:val="4A5568"/>
          <w:sz w:val="20"/>
          <w:szCs w:val="20"/>
        </w:rPr>
        <w:t xml:space="preserve">— Document stratégique ouaisfieu, février 2026</w:t>
      </w:r>
    </w:p>
    <w:p>
      <w:pPr>
        <w:spacing w:after="180" w:line="312"/>
        <w:jc w:val="both"/>
      </w:pPr>
      <w:r>
        <w:rPr>
          <w:rFonts w:ascii="Georgia" w:cs="Georgia" w:eastAsia="Georgia" w:hAnsi="Georgia"/>
          <w:color w:val="1A1A2E"/>
          <w:sz w:val="23"/>
          <w:szCs w:val="23"/>
        </w:rPr>
        <w:t xml:space="preserve">Le citoyen belge n’est pas désarmé. Il croit l’être — et c’est précisément cette croyance que le système cultive. L’impuissance apprise est le premier ennemi. Mais il existe un arsenal juridique, stratégique et informationnel largement inexploité.</w:t>
      </w:r>
    </w:p>
    <w:p>
      <w:pPr>
        <w:pStyle w:val="Heading2"/>
        <w:spacing w:after="200" w:before="360"/>
      </w:pPr>
      <w:r>
        <w:t xml:space="preserve">L’article 23 : le standstill</w:t>
      </w:r>
    </w:p>
    <w:p>
      <w:pPr>
        <w:spacing w:after="180" w:line="312"/>
        <w:jc w:val="both"/>
      </w:pPr>
      <w:r>
        <w:rPr>
          <w:rFonts w:ascii="Georgia" w:cs="Georgia" w:eastAsia="Georgia" w:hAnsi="Georgia"/>
          <w:color w:val="1A1A2E"/>
          <w:sz w:val="23"/>
          <w:szCs w:val="23"/>
        </w:rPr>
        <w:t xml:space="preserve">L’article 23 de la Constitution garantit le droit à une vie conforme à la dignité humaine. La jurisprudence de la Cour constitutionnelle a établi une obligation de standstill : le législateur ne peut pas réduire significativement le niveau de protection sans justification d’intérêt général. Les arrêts 8/2025 et 115/2025, l’avis 14/2025 de l’Institut fédéral des droits humains, le précédent de Liège du 3 mars 2023 dessinent un arsenal. Quatre plaintes devant le Comité européen des Droits sociaux sont en cours. Cinq communes ont engagé des recours. La saturation judiciaire, modèle Urgenda et Klimaatzaak, est une stratégie légitime quand les voies parlementaires sont verrouillées.</w:t>
      </w:r>
    </w:p>
    <w:p>
      <w:pPr>
        <w:pStyle w:val="Heading2"/>
        <w:spacing w:after="200" w:before="360"/>
      </w:pPr>
      <w:r>
        <w:t xml:space="preserve">Les trois guerres civiques</w:t>
      </w:r>
    </w:p>
    <w:p>
      <w:pPr>
        <w:spacing w:after="180" w:line="312"/>
        <w:jc w:val="both"/>
      </w:pPr>
      <w:r>
        <w:rPr>
          <w:rFonts w:ascii="Georgia" w:cs="Georgia" w:eastAsia="Georgia" w:hAnsi="Georgia"/>
          <w:color w:val="1A1A2E"/>
          <w:sz w:val="23"/>
          <w:szCs w:val="23"/>
        </w:rPr>
        <w:t xml:space="preserve">Le projet ouaisfieu théorise trois guerres civiques inspirées de la doctrine chinoise des Trois Guerres — ce triptyque non-cinétique qui reconnaît que la victoire se joue avant le champ de bataille, dans l’espace des perceptions, des psychés et des normes. En miroir inversé.</w:t>
      </w:r>
    </w:p>
    <w:p>
      <w:pPr>
        <w:spacing w:after="180" w:line="312"/>
        <w:jc w:val="both"/>
      </w:pPr>
      <w:r>
        <w:rPr>
          <w:rFonts w:ascii="Georgia" w:cs="Georgia" w:eastAsia="Georgia" w:hAnsi="Georgia"/>
          <w:color w:val="1A1A2E"/>
          <w:sz w:val="23"/>
          <w:szCs w:val="23"/>
        </w:rPr>
        <w:t xml:space="preserve">La Guerre du Récit mobilise l’OSINT citoyen, le fact-checking et la veille stratégique pour briser le monopole du cadrage particratique. Face au cadrage épisodique de RTL (« le fraudeur »), imposer systématiquement le cadrage thématique (« le système qui produit la fraude »). Le lead-dexing — fiches de suivi nominatives des décideurs — n’est pas du doxing, c’est du journalisme de redevabilité. Chaque fiche est documentée, sourcée, vérifiable.</w:t>
      </w:r>
    </w:p>
    <w:p>
      <w:pPr>
        <w:spacing w:after="180" w:line="312"/>
        <w:jc w:val="both"/>
      </w:pPr>
      <w:r>
        <w:rPr>
          <w:rFonts w:ascii="Georgia" w:cs="Georgia" w:eastAsia="Georgia" w:hAnsi="Georgia"/>
          <w:color w:val="1A1A2E"/>
          <w:sz w:val="23"/>
          <w:szCs w:val="23"/>
        </w:rPr>
        <w:t xml:space="preserve">La Dé-sidération est une entreprise d’éducation permanente destinée à briser la paralysie cognitive. Si la particratie mène une guerre psychologique d’intégration au sens d’Ellul — conformité aux normes, acceptation passive —, la guerre de dé-sidération est une guerre d’émancipation. Elle transforme les consommateurs de récits en producteurs d’analyse. Chaque interaction doit faire monter l’utilisateur dans la pyramide DIKW : données, information, connaissance, sagesse. Jamais le laisser à la consommation passive.</w:t>
      </w:r>
    </w:p>
    <w:p>
      <w:pPr>
        <w:spacing w:after="180" w:line="312"/>
        <w:jc w:val="both"/>
      </w:pPr>
      <w:r>
        <w:rPr>
          <w:rFonts w:ascii="Georgia" w:cs="Georgia" w:eastAsia="Georgia" w:hAnsi="Georgia"/>
          <w:color w:val="1A1A2E"/>
          <w:sz w:val="23"/>
          <w:szCs w:val="23"/>
        </w:rPr>
        <w:t xml:space="preserve">Le Prétoire active les leviers juridiques — contentieux stratégique, test cases, lobbying citoyen technique. Le lawfare citoyen n’est pas un abus du droit : c’est son usage légitime face à un État qui s’en affranchit lui-même avec plus de 9 000 condamnations dans la crise de l’accueil. Le cycle est complet : la veille produit la donnée, l’analyse la transforme en preuve, la preuve alimente le contentieux, le contentieux crée le fait juridique que le récit peut exploiter.</w:t>
      </w:r>
    </w:p>
    <w:p>
      <w:pPr>
        <w:spacing w:after="180" w:line="312"/>
        <w:jc w:val="both"/>
      </w:pPr>
      <w:r>
        <w:rPr>
          <w:rFonts w:ascii="Georgia" w:cs="Georgia" w:eastAsia="Georgia" w:hAnsi="Georgia"/>
          <w:color w:val="1A1A2E"/>
          <w:sz w:val="23"/>
          <w:szCs w:val="23"/>
        </w:rPr>
        <w:t xml:space="preserve">Ces trois guerres ne sont pas des métaphores. Ce sont des opérations. Et le vocabulaire martial qui les désigne — « combat démocratique », « arsenal citoyen », « lawfare », « doctrine » — est juridiquement protégé par la CEDH comme relevant de l’expression politique la plus protégée, enraciné dans trois siècles de tradition académique de Clausewitz à Foucault, et cognitivement irremplacable pour nommer les rapports de force réels.</w:t>
      </w:r>
    </w:p>
    <w:p>
      <w:pPr>
        <w:spacing w:after="400" w:before="400"/>
        <w:jc w:val="center"/>
      </w:pPr>
      <w:r>
        <w:rPr>
          <w:rFonts w:ascii="Georgia" w:cs="Georgia" w:eastAsia="Georgia" w:hAnsi="Georgia"/>
          <w:color w:val="9F7AEA"/>
          <w:sz w:val="24"/>
          <w:szCs w:val="24"/>
        </w:rPr>
        <w:t xml:space="preserve">•  •  •</w:t>
      </w:r>
    </w:p>
    <w:p>
      <w:r>
        <w:br w:type="page"/>
      </w:r>
    </w:p>
    <w:p>
      <w:pPr>
        <w:spacing w:after="100" w:before="600"/>
      </w:pPr>
      <w:r>
        <w:rPr>
          <w:rFonts w:ascii="Arial" w:cs="Arial" w:eastAsia="Arial" w:hAnsi="Arial"/>
          <w:b/>
          <w:bCs/>
          <w:caps/>
          <w:color w:val="9F7AEA"/>
          <w:sz w:val="22"/>
          <w:szCs w:val="22"/>
        </w:rPr>
        <w:t xml:space="preserve">CHAPITRE 9</w:t>
      </w:r>
    </w:p>
    <w:p>
      <w:pPr>
        <w:pStyle w:val="Heading1"/>
        <w:spacing w:after="400"/>
      </w:pPr>
      <w:r>
        <w:t xml:space="preserve">L’intelligence du brol</w:t>
      </w:r>
    </w:p>
    <w:p>
      <w:pPr>
        <w:spacing w:after="60" w:before="300"/>
        <w:ind w:left="2160"/>
        <w:jc w:val="right"/>
      </w:pPr>
      <w:r>
        <w:rPr>
          <w:rFonts w:ascii="Georgia" w:cs="Georgia" w:eastAsia="Georgia" w:hAnsi="Georgia"/>
          <w:i/>
          <w:iCs/>
          <w:color w:val="4A5568"/>
          <w:sz w:val="22"/>
          <w:szCs w:val="22"/>
        </w:rPr>
        <w:t xml:space="preserve">“L’esclave absolu : dans la mesure où il s’exploite lui-même de son plein gré et sans maître.”</w:t>
      </w:r>
    </w:p>
    <w:p>
      <w:pPr>
        <w:spacing w:after="400"/>
        <w:ind w:left="2160"/>
        <w:jc w:val="right"/>
      </w:pPr>
      <w:r>
        <w:rPr>
          <w:rFonts w:ascii="Georgia" w:cs="Georgia" w:eastAsia="Georgia" w:hAnsi="Georgia"/>
          <w:color w:val="4A5568"/>
          <w:sz w:val="20"/>
          <w:szCs w:val="20"/>
        </w:rPr>
        <w:t xml:space="preserve">— Byung-Chul Han, Psychopolitique</w:t>
      </w:r>
    </w:p>
    <w:p>
      <w:pPr>
        <w:spacing w:after="180" w:line="312"/>
        <w:jc w:val="both"/>
      </w:pPr>
      <w:r>
        <w:rPr>
          <w:rFonts w:ascii="Georgia" w:cs="Georgia" w:eastAsia="Georgia" w:hAnsi="Georgia"/>
          <w:color w:val="1A1A2E"/>
          <w:sz w:val="23"/>
          <w:szCs w:val="23"/>
        </w:rPr>
        <w:t xml:space="preserve">Le néolibéralisme et les États exploitent désormais la psyché et la sphère informationnelle comme champs de bataille. Byung-Chul Han a montré comment le capitalisme numérique a dépassé la biopolitique foucaldienne pour coloniser directement l’esprit, transformant chaque individu en entrepreneur de soi — un esclave absolu qui s’exploite lui-même. Arquilla et Ronfeldt, à la RAND Corporation, ont théorisé la noopolitik — la stratégie de domination par la maîtrise de la noospère. La doctrine de guerre cognitive de l’OTAN définit le cerveau comme « à la fois la cible et l’arme ». Ces cadres théoriques, conçus comme des technologies de pouvoir, recèlent pourtant leur propre antidote.</w:t>
      </w:r>
    </w:p>
    <w:p>
      <w:pPr>
        <w:spacing w:after="180" w:line="312"/>
        <w:jc w:val="both"/>
      </w:pPr>
      <w:r>
        <w:rPr>
          <w:rFonts w:ascii="Georgia" w:cs="Georgia" w:eastAsia="Georgia" w:hAnsi="Georgia"/>
          <w:color w:val="1A1A2E"/>
          <w:sz w:val="23"/>
          <w:szCs w:val="23"/>
        </w:rPr>
        <w:t xml:space="preserve">Bernard Stiegler fournit la clé : le pharmakon. Tout objet technique est simultanément poison et remède. Les mêmes technologies qui rendent possible la psychopolitique de contrôle peuvent devenir des technologies de l’esprit au service de l’émancipation. La dé-sidération — étymologiquement, sortir de l’état de stupeur — désigne le processus par lequel on échappe à la capture hypnotique des psychotechnologies pour retrouver la capacité de pensée rationnelle. C’est le geste pharmacologique par excellence : retourner le dispositif de sidération en dispositif d’éveil.</w:t>
      </w:r>
    </w:p>
    <w:p>
      <w:pPr>
        <w:spacing w:after="180" w:line="312"/>
        <w:jc w:val="both"/>
      </w:pPr>
      <w:r>
        <w:rPr>
          <w:rFonts w:ascii="Georgia" w:cs="Georgia" w:eastAsia="Georgia" w:hAnsi="Georgia"/>
          <w:color w:val="1A1A2E"/>
          <w:sz w:val="23"/>
          <w:szCs w:val="23"/>
        </w:rPr>
        <w:t xml:space="preserve">L’intelligence citoyenne — cette capacité des collectivités à aborder collectivement les problèmes qu’elles partagent, selon Douglas Schuler — représente une inversion fondamentale. Le mouvement mondial s’articule autour de plus de 500 organisations actives : l’ICIJ (280 journalistes, 105 pays), Bellingcat (pionnier de l’OSINT citoyenne), la CRIIRAD, Safecast, soutenus par plus de 100 millions de dollars annuels de financement philanthropique. Le concept de CITINT — renseignement citoyen — formalisé par Pietilä et al. en 2024 désigne l’intelligence produite par les citoyens à partir de sources ouvertes. L’OSINT citoyen ne reproduit pas le renseignement étatique : il le démocratise.</w:t>
      </w:r>
    </w:p>
    <w:p>
      <w:pPr>
        <w:spacing w:after="180" w:line="312"/>
        <w:jc w:val="both"/>
      </w:pPr>
      <w:r>
        <w:rPr>
          <w:rFonts w:ascii="Georgia" w:cs="Georgia" w:eastAsia="Georgia" w:hAnsi="Georgia"/>
          <w:color w:val="1A1A2E"/>
          <w:sz w:val="23"/>
          <w:szCs w:val="23"/>
        </w:rPr>
        <w:t xml:space="preserve">En Belgique, 40 % de la population est en vulnérabilité numérique. Le VDAB utilise un modèle de machine learning pour profiler les chômeurs. La Banque Carrefour de la Sécurité Sociale relie 2 000 institutions dans un réseau qui échange plus d’un milliard de messages par an. Retourner ces outils — le détournement situationniste appliqué à la data — c’est la contre-psychopolitique en acte. Comme l’écrivait Debord dans Les Lèvres Nues en 1956, le détournement est « bon marché mais puissant, ce qui en fait une arme accessible à quiconque ». Le coût de production de l’intégralité du corpus ouaisfieu — 270 documents, plus de 200 000 mots d’analyse — est de 29 euros par mois.</w:t>
      </w:r>
    </w:p>
    <w:p>
      <w:pPr>
        <w:spacing w:after="400" w:before="400"/>
        <w:jc w:val="center"/>
      </w:pPr>
      <w:r>
        <w:rPr>
          <w:rFonts w:ascii="Georgia" w:cs="Georgia" w:eastAsia="Georgia" w:hAnsi="Georgia"/>
          <w:color w:val="9F7AEA"/>
          <w:sz w:val="24"/>
          <w:szCs w:val="24"/>
        </w:rPr>
        <w:t xml:space="preserve">•  •  •</w:t>
      </w:r>
    </w:p>
    <w:p>
      <w:r>
        <w:br w:type="page"/>
      </w:r>
    </w:p>
    <w:p>
      <w:pPr>
        <w:spacing w:after="100" w:before="600"/>
      </w:pPr>
      <w:r>
        <w:rPr>
          <w:rFonts w:ascii="Arial" w:cs="Arial" w:eastAsia="Arial" w:hAnsi="Arial"/>
          <w:b/>
          <w:bCs/>
          <w:caps/>
          <w:color w:val="9F7AEA"/>
          <w:sz w:val="22"/>
          <w:szCs w:val="22"/>
        </w:rPr>
        <w:t xml:space="preserve">CHAPITRE 10</w:t>
      </w:r>
    </w:p>
    <w:p>
      <w:pPr>
        <w:pStyle w:val="Heading1"/>
        <w:spacing w:after="400"/>
      </w:pPr>
      <w:r>
        <w:t xml:space="preserve">Dé-sidération</w:t>
      </w:r>
    </w:p>
    <w:p>
      <w:pPr>
        <w:spacing w:after="60" w:before="300"/>
        <w:ind w:left="2160"/>
        <w:jc w:val="right"/>
      </w:pPr>
      <w:r>
        <w:rPr>
          <w:rFonts w:ascii="Georgia" w:cs="Georgia" w:eastAsia="Georgia" w:hAnsi="Georgia"/>
          <w:i/>
          <w:iCs/>
          <w:color w:val="4A5568"/>
          <w:sz w:val="22"/>
          <w:szCs w:val="22"/>
        </w:rPr>
        <w:t xml:space="preserve">“L’éducation permanente vise à développer l’analyse critique de la société, la participation citoyenne active, l’émancipation individuelle et collective.”</w:t>
      </w:r>
    </w:p>
    <w:p>
      <w:pPr>
        <w:spacing w:after="400"/>
        <w:ind w:left="2160"/>
        <w:jc w:val="right"/>
      </w:pPr>
      <w:r>
        <w:rPr>
          <w:rFonts w:ascii="Georgia" w:cs="Georgia" w:eastAsia="Georgia" w:hAnsi="Georgia"/>
          <w:color w:val="4A5568"/>
          <w:sz w:val="20"/>
          <w:szCs w:val="20"/>
        </w:rPr>
        <w:t xml:space="preserve">— Décret du 17 juillet 2003, FWB</w:t>
      </w:r>
    </w:p>
    <w:p>
      <w:pPr>
        <w:spacing w:after="180" w:line="312"/>
        <w:jc w:val="both"/>
      </w:pPr>
      <w:r>
        <w:rPr>
          <w:rFonts w:ascii="Georgia" w:cs="Georgia" w:eastAsia="Georgia" w:hAnsi="Georgia"/>
          <w:color w:val="1A1A2E"/>
          <w:sz w:val="23"/>
          <w:szCs w:val="23"/>
        </w:rPr>
        <w:t xml:space="preserve">La sidération n’est pas un effet secondaire de l’austérité. C’est un levier opérationnel. L’accumulation ultra-rapide de réformes régressives — chômage, pensions, santé, aide alimentaire, tout en même temps — produit une paralysie cognitive qui neutralise le pouvoir d’agir. Le citoyen ne sait plus par où commencer. Il ne commence pas. C’est exactement le mécanisme de la guerre psychologique d’intégration décrit par Jacques Ellul : la propagande la plus efficace est celle qui ajuste les individus aux schémas désirés sans qu’ils ne s’en rendent compte.</w:t>
      </w:r>
    </w:p>
    <w:p>
      <w:pPr>
        <w:spacing w:after="180" w:line="312"/>
        <w:jc w:val="both"/>
      </w:pPr>
      <w:r>
        <w:rPr>
          <w:rFonts w:ascii="Georgia" w:cs="Georgia" w:eastAsia="Georgia" w:hAnsi="Georgia"/>
          <w:color w:val="1A1A2E"/>
          <w:sz w:val="23"/>
          <w:szCs w:val="23"/>
        </w:rPr>
        <w:t xml:space="preserve">La dé-sidération est l’inversion de ce processus. L’éducation permanente belge — 280 associations reconnues, environ 2 300 travailleurs ETP, un décret fondateur de 1976 qui reconnaissait « l’utilité publique de la libre critique associative de l’ordre établi » — constitue une infrastructure unique en Europe. PAC, le plus grand mouvement, dispose de 50 salariés, 11 régionales et 200 sections locales. Le MOC fédère un réseau touchant plus d’un million de personnes à travers la CSC et la Mutualité chrétienne. Des centaines de lieux gratuits — bibliothèques, EPN, centres culturels, maisons de quartier — sont prêts à accueillir des ateliers de dé-sidération.</w:t>
      </w:r>
    </w:p>
    <w:p>
      <w:pPr>
        <w:spacing w:after="180" w:line="312"/>
        <w:jc w:val="both"/>
      </w:pPr>
      <w:r>
        <w:rPr>
          <w:rFonts w:ascii="Georgia" w:cs="Georgia" w:eastAsia="Georgia" w:hAnsi="Georgia"/>
          <w:color w:val="1A1A2E"/>
          <w:sz w:val="23"/>
          <w:szCs w:val="23"/>
        </w:rPr>
        <w:t xml:space="preserve">Mais ces piliers sont eux-mêmes attaqués. Le décret-programme de décembre 2025 menace directement la reconnaissance de PAC. Le gouvernement flamand a drastiquement réduit les subsides au secteur socio-culturel pour 2026-2030, ciblant spécifiquement des organisations qualifiées d’extrême gauche malgré des évaluations positives. Le décret Weyts interdit aux organisations subsidiées d’utiliser leurs fonds pour des actions en justice contre le gouvernement flamand. Miranda Ulens (ABVV flamand) a qualifié ces mesures de « plus grande attaque contre le middenveld de l’histoire ». La FWB a adopté un moratoire bloquant toute nouvelle reconnaissance en éducation permanente jusqu’en 2028.</w:t>
      </w:r>
    </w:p>
    <w:p>
      <w:pPr>
        <w:spacing w:after="180" w:line="312"/>
        <w:jc w:val="both"/>
      </w:pPr>
      <w:r>
        <w:rPr>
          <w:rFonts w:ascii="Georgia" w:cs="Georgia" w:eastAsia="Georgia" w:hAnsi="Georgia"/>
          <w:color w:val="1A1A2E"/>
          <w:sz w:val="23"/>
          <w:szCs w:val="23"/>
        </w:rPr>
        <w:t xml:space="preserve">C’est précisément parce que ces infrastructures sont menacées qu’il faut en créer de nouvelles. La contre-institution numérique — un écosystème de veille, d’analyse et de formation hébergé sur des outils gratuits et ouverts — n’est pas une alternative à l’éducation permanente. C’est son complément asymétrique. Murray Bookchin a articulé le principe : le municipalisme libertaire, ces assemblées populaires directement démocratiques au niveau municipal, offre précisément ce que la psychopolitique néolibérale détruit : un « Nous » politique. Là où Han diagnostique l’impossibilité de l’action collective sous l’auto-exploitation, Bookchin montre que la démocratie face-à-face reconstruit le sujet politique par la pratique même de la délibération.</w:t>
      </w:r>
    </w:p>
    <w:p>
      <w:pPr>
        <w:spacing w:after="180" w:line="312"/>
        <w:jc w:val="both"/>
      </w:pPr>
      <w:r>
        <w:rPr>
          <w:rFonts w:ascii="Georgia" w:cs="Georgia" w:eastAsia="Georgia" w:hAnsi="Georgia"/>
          <w:color w:val="1A1A2E"/>
          <w:sz w:val="23"/>
          <w:szCs w:val="23"/>
        </w:rPr>
        <w:t xml:space="preserve">Là où l’institutionnel peut être ciblé, le numérique se fork. Le code source est ouvert. La licence est libre. La doctrine tient en trois mots : Fork. Hack. Spread.</w:t>
      </w:r>
    </w:p>
    <w:p>
      <w:pPr>
        <w:pBdr>
          <w:left w:val="single" w:color="48BB78" w:sz="6" w:space="12"/>
        </w:pBdr>
        <w:spacing w:after="200" w:before="200"/>
        <w:ind w:left="720"/>
      </w:pPr>
      <w:r>
        <w:rPr>
          <w:rFonts w:ascii="Arial" w:cs="Arial" w:eastAsia="Arial" w:hAnsi="Arial"/>
          <w:b/>
          <w:bCs/>
          <w:color w:val="1A1A2E"/>
          <w:sz w:val="21"/>
          <w:szCs w:val="21"/>
        </w:rPr>
        <w:t xml:space="preserve">280 associations EP • 500M€ de coupes FWB • Moratoire 2026-2028 • Doctrine : Fork·Hack·Spread • Coût : 29€/mois</w:t>
      </w:r>
    </w:p>
    <w:p>
      <w:pPr>
        <w:spacing w:after="400" w:before="400"/>
        <w:jc w:val="center"/>
      </w:pPr>
      <w:r>
        <w:rPr>
          <w:rFonts w:ascii="Georgia" w:cs="Georgia" w:eastAsia="Georgia" w:hAnsi="Georgia"/>
          <w:color w:val="9F7AEA"/>
          <w:sz w:val="24"/>
          <w:szCs w:val="24"/>
        </w:rPr>
        <w:t xml:space="preserve">•  •  •</w:t>
      </w:r>
    </w:p>
    <w:p>
      <w:r>
        <w:br w:type="page"/>
      </w:r>
    </w:p>
    <w:p>
      <w:pPr>
        <w:spacing w:after="80" w:before="400"/>
      </w:pPr>
      <w:r>
        <w:rPr>
          <w:rFonts w:ascii="Arial" w:cs="Arial" w:eastAsia="Arial" w:hAnsi="Arial"/>
          <w:b/>
          <w:bCs/>
          <w:caps/>
          <w:color w:val="9F7AEA"/>
          <w:sz w:val="22"/>
          <w:szCs w:val="22"/>
        </w:rPr>
        <w:t xml:space="preserve">ÉPILOGUE</w:t>
      </w:r>
    </w:p>
    <w:p>
      <w:pPr>
        <w:pStyle w:val="Heading1"/>
        <w:spacing w:after="400"/>
      </w:pPr>
      <w:r>
        <w:t xml:space="preserve">Belges, encore un effort…</w:t>
      </w:r>
    </w:p>
    <w:p>
      <w:pPr>
        <w:spacing w:after="60" w:before="300"/>
        <w:ind w:left="2160"/>
        <w:jc w:val="right"/>
      </w:pPr>
      <w:r>
        <w:rPr>
          <w:rFonts w:ascii="Georgia" w:cs="Georgia" w:eastAsia="Georgia" w:hAnsi="Georgia"/>
          <w:i/>
          <w:iCs/>
          <w:color w:val="4A5568"/>
          <w:sz w:val="22"/>
          <w:szCs w:val="22"/>
        </w:rPr>
        <w:t xml:space="preserve">“Français, encore un effort si vous voulez être républicains.”</w:t>
      </w:r>
    </w:p>
    <w:p>
      <w:pPr>
        <w:spacing w:after="400"/>
        <w:ind w:left="2160"/>
        <w:jc w:val="right"/>
      </w:pPr>
      <w:r>
        <w:rPr>
          <w:rFonts w:ascii="Georgia" w:cs="Georgia" w:eastAsia="Georgia" w:hAnsi="Georgia"/>
          <w:color w:val="4A5568"/>
          <w:sz w:val="20"/>
          <w:szCs w:val="20"/>
        </w:rPr>
        <w:t xml:space="preserve">— Marquis de Sade, 1795</w:t>
      </w:r>
    </w:p>
    <w:p>
      <w:pPr>
        <w:spacing w:after="180" w:line="312"/>
        <w:jc w:val="both"/>
      </w:pPr>
      <w:r>
        <w:rPr>
          <w:rFonts w:ascii="Georgia" w:cs="Georgia" w:eastAsia="Georgia" w:hAnsi="Georgia"/>
          <w:color w:val="1A1A2E"/>
          <w:sz w:val="23"/>
          <w:szCs w:val="23"/>
        </w:rPr>
        <w:t xml:space="preserve">Ce livre a documenté un fossé. D’un côté, 31 806 mandataires, 188 millions d’euros de financement public, 99,73 % de discipline de vote, zéro référendum depuis 1950, zéro cooling-off légal pour le pantouflage, zéro mécanisme de responsabilité pour mauvaise gestion budgétaire. De l’autre, 180 000 exclus du chômage, 900 000 personnes en insécurité alimentaire, 550 000 invalides dont les sanctions sont quadruplées, 44 % de pauvreté infantile à Bruxelles, 41 % de renoncement aux soins, 8 % de confiance envers les partis, et un budget dont les hypothèses centrales sont qualifiées d’excessives par toutes les institutions indépendantes.</w:t>
      </w:r>
    </w:p>
    <w:p>
      <w:pPr>
        <w:spacing w:after="180" w:line="312"/>
        <w:jc w:val="both"/>
      </w:pPr>
      <w:r>
        <w:rPr>
          <w:rFonts w:ascii="Georgia" w:cs="Georgia" w:eastAsia="Georgia" w:hAnsi="Georgia"/>
          <w:color w:val="1A1A2E"/>
          <w:sz w:val="23"/>
          <w:szCs w:val="23"/>
        </w:rPr>
        <w:t xml:space="preserve">Le brol n’est pas un accident. C’est une architecture. Une complexité fonctionnelle qui protège ceux qui l’ont conçue et écrase ceux qui la subissent. Mais toute architecture peut être démontée — à condition de comprendre comment elle tient. C’est ce que ce livre a essayé de faire : rendre visible la structure du tiroir à brol, identifier chaque pièce, montrer comment elles s’emboîtent.</w:t>
      </w:r>
    </w:p>
    <w:p>
      <w:pPr>
        <w:spacing w:after="180" w:line="312"/>
        <w:jc w:val="both"/>
      </w:pPr>
      <w:r>
        <w:rPr>
          <w:rFonts w:ascii="Georgia" w:cs="Georgia" w:eastAsia="Georgia" w:hAnsi="Georgia"/>
          <w:color w:val="1A1A2E"/>
          <w:sz w:val="23"/>
          <w:szCs w:val="23"/>
        </w:rPr>
        <w:t xml:space="preserve">Ce que tu peux faire lundi matin est à la fois modeste et décisif. Vérifier tes droits, parce que le non-recours est le meilleur allié de l’austérité. Connaître tes élus — pas leur visage, leurs votes. Documenter ce que tu observes, parce que l’observation citoyenne est le premier acte de résistance à la sidération. Rejoindre une des 280 associations d’éducation permanente, un EPN, une bibliothèque, un centre culturel — les lieux de dé-sidération existent déjà, il faut les habiter. Et si rien de tout cela ne convient : forker. Prendre ce livre, le découper, le hacker, le répandre. C’est la licence. C’est la doctrine.</w:t>
      </w:r>
    </w:p>
    <w:p>
      <w:pPr>
        <w:spacing w:after="180" w:line="312"/>
        <w:jc w:val="both"/>
      </w:pPr>
      <w:r>
        <w:rPr>
          <w:rFonts w:ascii="Georgia" w:cs="Georgia" w:eastAsia="Georgia" w:hAnsi="Georgia"/>
          <w:color w:val="1A1A2E"/>
          <w:sz w:val="23"/>
          <w:szCs w:val="23"/>
        </w:rPr>
        <w:t xml:space="preserve">La tradition anarchiste nous enseigne que les institutions parallèles — les espaces où d’autres rapports au savoir et au pouvoir sont déjà pratiqués — sont la forme la plus efficace de résistance. Colin Ward l’a formulé : l’anarchie n’est pas un futur spéculatif, c’est « une graine sous la neige » qui existe déjà côte à côte avec les tendances autoritaires dominantes. Kropotkine a démontré que la sociabilité est autant une loi de nature que la lutte. Freire a montré que l’éducation par le problème — la relation horizontale où enseignant et apprenant apprennent mutuellement — est le geste révolutionnaire fondamental. Rancière a posé le principe de l’égalité des intelligences comme point de départ de toute émancipation. Joseph Jacotot, exilé en Belgique, enseignait le français à des étudiants flamands sans connaître le flamand. C’est possible.</w:t>
      </w:r>
    </w:p>
    <w:p>
      <w:pPr>
        <w:spacing w:after="180" w:line="312"/>
        <w:jc w:val="both"/>
      </w:pPr>
      <w:r>
        <w:rPr>
          <w:rFonts w:ascii="Georgia" w:cs="Georgia" w:eastAsia="Georgia" w:hAnsi="Georgia"/>
          <w:color w:val="1A1A2E"/>
          <w:sz w:val="23"/>
          <w:szCs w:val="23"/>
        </w:rPr>
        <w:t xml:space="preserve">La citoyenneté belge est un brol. Mais le brol, ça se range. Ça se trie. Ça se retourne contre ceux qui l’ont créé. Et parfois, au fond du tiroir, on trouve exactement la clé qu’on cherchait.</w:t>
      </w:r>
    </w:p>
    <w:p>
      <w:pPr>
        <w:spacing w:after="400" w:before="400"/>
      </w:pPr>
    </w:p>
    <w:p>
      <w:pPr>
        <w:spacing w:after="100"/>
        <w:jc w:val="center"/>
      </w:pPr>
      <w:r>
        <w:rPr>
          <w:rFonts w:ascii="Arial" w:cs="Arial" w:eastAsia="Arial" w:hAnsi="Arial"/>
          <w:color w:val="1A1A2E"/>
          <w:sz w:val="22"/>
          <w:szCs w:val="22"/>
        </w:rPr>
        <w:t xml:space="preserve">Yan &amp; Claude (Anthropic)</w:t>
      </w:r>
    </w:p>
    <w:p>
      <w:pPr>
        <w:spacing w:after="100"/>
        <w:jc w:val="center"/>
      </w:pPr>
      <w:r>
        <w:rPr>
          <w:rFonts w:ascii="Arial" w:cs="Arial" w:eastAsia="Arial" w:hAnsi="Arial"/>
          <w:color w:val="4A5568"/>
          <w:sz w:val="20"/>
          <w:szCs w:val="20"/>
        </w:rPr>
        <w:t xml:space="preserve">Bruxelles, mars 2026</w:t>
      </w:r>
    </w:p>
    <w:p>
      <w:pPr>
        <w:jc w:val="center"/>
      </w:pPr>
      <w:r>
        <w:rPr>
          <w:rFonts w:ascii="Arial" w:cs="Arial" w:eastAsia="Arial" w:hAnsi="Arial"/>
          <w:color w:val="9F7AEA"/>
          <w:sz w:val="20"/>
          <w:szCs w:val="20"/>
        </w:rPr>
        <w:t xml:space="preserve">ouaisfi.eu • ccplc.eu • Fork·Hack·Spread</w:t>
      </w:r>
    </w:p>
    <w:p>
      <w:r>
        <w:br w:type="page"/>
      </w:r>
    </w:p>
    <w:p>
      <w:pPr>
        <w:pStyle w:val="Heading1"/>
        <w:spacing w:after="300"/>
      </w:pPr>
      <w:r>
        <w:t xml:space="preserve">Sources principales</w:t>
      </w:r>
    </w:p>
    <w:p>
      <w:pPr>
        <w:spacing w:after="180" w:line="312"/>
        <w:jc w:val="both"/>
      </w:pPr>
      <w:r>
        <w:rPr>
          <w:rFonts w:ascii="Georgia" w:cs="Georgia" w:eastAsia="Georgia" w:hAnsi="Georgia"/>
          <w:color w:val="1A1A2E"/>
          <w:sz w:val="23"/>
          <w:szCs w:val="23"/>
        </w:rPr>
        <w:t xml:space="preserve">Cet ouvrage s’appuie sur les travaux de recherche et les données publiées par les institutions et auteurs suivants. L’intégralité des sources, incluant les numéros de page et URL, est disponible dans les dossiers détaillés du corpus ouaisfieu sous licence CC BY-SA 4.0 sur github.com/ouaisfieu.</w:t>
      </w:r>
    </w:p>
    <w:p>
      <w:pPr>
        <w:pStyle w:val="Heading2"/>
        <w:spacing w:after="200" w:before="360"/>
      </w:pPr>
      <w:r>
        <w:t xml:space="preserve">Institutions</w:t>
      </w:r>
    </w:p>
    <w:p>
      <w:pPr>
        <w:spacing w:after="180" w:line="312"/>
        <w:jc w:val="both"/>
      </w:pPr>
      <w:r>
        <w:rPr>
          <w:rFonts w:ascii="Georgia" w:cs="Georgia" w:eastAsia="Georgia" w:hAnsi="Georgia"/>
          <w:color w:val="1A1A2E"/>
          <w:sz w:val="23"/>
          <w:szCs w:val="23"/>
        </w:rPr>
        <w:t xml:space="preserve">CRISP • Bureau fédéral du Plan • Banque nationale de Belgique • Cour des comptes • Cour constitutionnelle • Conseil d’État • IFDH/FIRM • IWEPS • Statbel • INAMI • SPF Intérieur • Fondation Roi Baudouin • Solidaris • Commission européenne • OCDE • GRECO • Transparency International • Comité européen des Droits sociaux • CEDH • Civicus Monitor • EUI • Economist Intelligence Unit • Sciensano • Fédération belge des banques alimentaires • Fédération des CPAS</w:t>
      </w:r>
    </w:p>
    <w:p>
      <w:pPr>
        <w:pStyle w:val="Heading2"/>
        <w:spacing w:after="200" w:before="360"/>
      </w:pPr>
      <w:r>
        <w:t xml:space="preserve">Universités et chercheurs</w:t>
      </w:r>
    </w:p>
    <w:p>
      <w:pPr>
        <w:spacing w:after="180" w:line="312"/>
        <w:jc w:val="both"/>
      </w:pPr>
      <w:r>
        <w:rPr>
          <w:rFonts w:ascii="Georgia" w:cs="Georgia" w:eastAsia="Georgia" w:hAnsi="Georgia"/>
          <w:color w:val="1A1A2E"/>
          <w:sz w:val="23"/>
          <w:szCs w:val="23"/>
        </w:rPr>
        <w:t xml:space="preserve">KU Leuven (Bart Maddens, Marleen Brans) • ULB (Pascal Delwit, Marc Uyttendaele, Anne-Emmanuelle Bourgaux) • UCLouvain (Francis Delpérée, Lieven De Winter, Patrick Dumont) • ULiège (Christian Behrendt, Geoffrey Geuens) • VUB • UGent (Geert Peersman, Tom Schamp) • UAntwerpen (Evelien Willems) • Tilburg (Ico Maly) • Frederik Verleden (CRISP) • Wilfried Dewachter • Christian de Visscher • Hugues Dumont (Saint-Louis) • Andrea Salvatori (OCDE) • Tracey Jensen • Douglas Schuler</w:t>
      </w:r>
    </w:p>
    <w:p>
      <w:pPr>
        <w:pStyle w:val="Heading2"/>
        <w:spacing w:after="200" w:before="360"/>
      </w:pPr>
      <w:r>
        <w:t xml:space="preserve">Ouvrages et articles clés</w:t>
      </w:r>
    </w:p>
    <w:p>
      <w:pPr>
        <w:spacing w:after="180" w:line="312"/>
        <w:jc w:val="both"/>
      </w:pPr>
      <w:r>
        <w:rPr>
          <w:rFonts w:ascii="Georgia" w:cs="Georgia" w:eastAsia="Georgia" w:hAnsi="Georgia"/>
          <w:color w:val="1A1A2E"/>
          <w:sz w:val="23"/>
          <w:szCs w:val="23"/>
        </w:rPr>
        <w:t xml:space="preserve">Verleden, Aux sources de la particratie, CRISP, 2019 • Dewachter, De trukendoos van de Belgische particratie, 2014 • Vuye &amp; Wouters, Schone schijn, 2019 • Persoone, Wiens belang?, EPO, 2024 • Han, Psychopolitique, PUF • Stiegler, La société automatique • Arquilla &amp; Ronfeldt, Whose Story Wins, RAND, 2020 • Chomsky &amp; Herman, La fabrication du consentement • Ellul, Propagandes, 1962 • Freire, Pédagogie des opprimés • Rancière, Le Maître Ignorant • Bookchin, Le municipalisme libertaire • Ward, Anarchy in Action • Kropotkine, L’Entraide • Salvatori, OECD Working Paper n°272, 2022 • Lijphart, Patterns of Democracy • Liberties Rule of Law Report 2023</w:t>
      </w:r>
    </w:p>
    <w:p>
      <w:pPr>
        <w:pStyle w:val="Heading2"/>
        <w:spacing w:after="200" w:before="360"/>
      </w:pPr>
      <w:r>
        <w:t xml:space="preserve">Cadre juridique</w:t>
      </w:r>
    </w:p>
    <w:p>
      <w:pPr>
        <w:spacing w:after="180" w:line="312"/>
        <w:jc w:val="both"/>
      </w:pPr>
      <w:r>
        <w:rPr>
          <w:rFonts w:ascii="Georgia" w:cs="Georgia" w:eastAsia="Georgia" w:hAnsi="Georgia"/>
          <w:color w:val="1A1A2E"/>
          <w:sz w:val="23"/>
          <w:szCs w:val="23"/>
        </w:rPr>
        <w:t xml:space="preserve">Art. 23, 33, 42, 62 de la Constitution belge • Décret éducation permanente du 17 juillet 2003 • Arrêts 8/2025 et 115/2025 de la Cour constitutionnelle • Avis IFDH 14/2025 • Arrêt de Liège du 3 mars 2023 • 4 plaintes CEDS • Arrêt CJUE C-817/19 (Ligue des Droits Humains c. Conseil des Ministres) • Art. 547 nouveau Code pénal • Loi du 17 juillet 2023 (Code déontologie)</w:t>
      </w:r>
    </w:p>
    <w:p>
      <w:pPr>
        <w:spacing w:after="400" w:before="400"/>
      </w:pPr>
    </w:p>
    <w:p>
      <w:pPr>
        <w:pBdr>
          <w:top w:val="single" w:color="48BB78" w:sz="2" w:space="12"/>
        </w:pBdr>
        <w:spacing w:before="400"/>
        <w:jc w:val="center"/>
      </w:pPr>
      <w:r>
        <w:rPr>
          <w:rFonts w:ascii="Arial" w:cs="Arial" w:eastAsia="Arial" w:hAnsi="Arial"/>
          <w:color w:val="9F7AEA"/>
          <w:sz w:val="20"/>
          <w:szCs w:val="20"/>
        </w:rPr>
        <w:t xml:space="preserve">— FIN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4A5568"/>
        <w:sz w:val="16"/>
        <w:szCs w:val="16"/>
      </w:rPr>
      <w:t xml:space="preserve">La citoyenneté, c’est le brol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1A1A2E"/>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9F7AEA"/>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2D86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2026-03-19T12:33:43.874Z</dcterms:created>
  <dcterms:modified xsi:type="dcterms:W3CDTF">2026-03-19T12:33:43.875Z</dcterms:modified>
</cp:coreProperties>
</file>

<file path=docProps/custom.xml><?xml version="1.0" encoding="utf-8"?>
<Properties xmlns="http://schemas.openxmlformats.org/officeDocument/2006/custom-properties" xmlns:vt="http://schemas.openxmlformats.org/officeDocument/2006/docPropsVTypes"/>
</file>