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Calibri" w:cs="Calibri" w:eastAsia="Calibri" w:hAnsi="Calibri"/>
          <w:b/>
          <w:bCs/>
          <w:color w:val="1F4E79"/>
          <w:sz w:val="48"/>
          <w:szCs w:val="48"/>
        </w:rPr>
        <w:t xml:space="preserve">Migration PEA Fortuneo → IBKR France</w:t>
      </w:r>
    </w:p>
    <w:p>
      <w:pPr>
        <w:spacing w:after="180"/>
        <w:jc w:val="center"/>
      </w:pPr>
      <w:r>
        <w:rPr>
          <w:rFonts w:ascii="Calibri" w:cs="Calibri" w:eastAsia="Calibri" w:hAnsi="Calibri"/>
          <w:i/>
          <w:iCs/>
          <w:color w:val="2E75B6"/>
          <w:sz w:val="28"/>
          <w:szCs w:val="28"/>
        </w:rPr>
        <w:t xml:space="preserve">et mise en place d'une stratégie d'investissement automatisée long terme</w:t>
      </w:r>
    </w:p>
    <w:p>
      <w:pPr>
        <w:spacing w:after="120" w:before="600"/>
        <w:jc w:val="center"/>
      </w:pPr>
      <w:r>
        <w:rPr>
          <w:rFonts w:ascii="Calibri" w:cs="Calibri" w:eastAsia="Calibri" w:hAnsi="Calibri"/>
          <w:color w:val="595959"/>
          <w:sz w:val="22"/>
          <w:szCs w:val="22"/>
        </w:rPr>
        <w:t xml:space="preserve">Document de référence opérationnel</w:t>
      </w:r>
    </w:p>
    <w:p>
      <w:pPr>
        <w:spacing w:after="240"/>
        <w:jc w:val="center"/>
      </w:pPr>
      <w:r>
        <w:rPr>
          <w:rFonts w:ascii="Calibri" w:cs="Calibri" w:eastAsia="Calibri" w:hAnsi="Calibri"/>
          <w:color w:val="595959"/>
          <w:sz w:val="22"/>
          <w:szCs w:val="22"/>
        </w:rPr>
        <w:t xml:space="preserve">Mai 2026</w:t>
      </w:r>
    </w:p>
    <w:p>
      <w:r>
        <w:br w:type="page"/>
      </w:r>
    </w:p>
    <w:p>
      <w:pPr>
        <w:pStyle w:val="Heading1"/>
        <w:spacing w:after="180" w:before="360"/>
      </w:pPr>
      <w:r>
        <w:rPr>
          <w:rFonts w:ascii="Calibri" w:cs="Calibri" w:eastAsia="Calibri" w:hAnsi="Calibri"/>
          <w:b/>
          <w:bCs/>
          <w:color w:val="1F4E79"/>
          <w:sz w:val="32"/>
          <w:szCs w:val="32"/>
        </w:rPr>
        <w:t xml:space="preserve">Sommaire</w:t>
      </w:r>
    </w:p>
    <w:p>
      <w:pPr>
        <w:spacing w:after="100"/>
      </w:pPr>
      <w:r>
        <w:rPr>
          <w:rFonts w:ascii="Calibri" w:cs="Calibri" w:eastAsia="Calibri" w:hAnsi="Calibri"/>
          <w:color w:val="1F1F1F"/>
          <w:sz w:val="22"/>
          <w:szCs w:val="22"/>
        </w:rPr>
        <w:t xml:space="preserve">1. Contexte et objectifs</w:t>
      </w:r>
    </w:p>
    <w:p>
      <w:pPr>
        <w:spacing w:after="100"/>
      </w:pPr>
      <w:r>
        <w:rPr>
          <w:rFonts w:ascii="Calibri" w:cs="Calibri" w:eastAsia="Calibri" w:hAnsi="Calibri"/>
          <w:color w:val="1F1F1F"/>
          <w:sz w:val="22"/>
          <w:szCs w:val="22"/>
        </w:rPr>
        <w:t xml:space="preserve">2. État des lieux du portefeuille actuel</w:t>
      </w:r>
    </w:p>
    <w:p>
      <w:pPr>
        <w:spacing w:after="100"/>
      </w:pPr>
      <w:r>
        <w:rPr>
          <w:rFonts w:ascii="Calibri" w:cs="Calibri" w:eastAsia="Calibri" w:hAnsi="Calibri"/>
          <w:color w:val="1F1F1F"/>
          <w:sz w:val="22"/>
          <w:szCs w:val="22"/>
        </w:rPr>
        <w:t xml:space="preserve">3. Comparatif tarifaire Fortuneo vs IBKR</w:t>
      </w:r>
    </w:p>
    <w:p>
      <w:pPr>
        <w:spacing w:after="100"/>
      </w:pPr>
      <w:r>
        <w:rPr>
          <w:rFonts w:ascii="Calibri" w:cs="Calibri" w:eastAsia="Calibri" w:hAnsi="Calibri"/>
          <w:color w:val="1F1F1F"/>
          <w:sz w:val="22"/>
          <w:szCs w:val="22"/>
        </w:rPr>
        <w:t xml:space="preserve">4. Stratégie d'investissement cible</w:t>
      </w:r>
    </w:p>
    <w:p>
      <w:pPr>
        <w:spacing w:after="100"/>
      </w:pPr>
      <w:r>
        <w:rPr>
          <w:rFonts w:ascii="Calibri" w:cs="Calibri" w:eastAsia="Calibri" w:hAnsi="Calibri"/>
          <w:color w:val="1F1F1F"/>
          <w:sz w:val="22"/>
          <w:szCs w:val="22"/>
        </w:rPr>
        <w:t xml:space="preserve">5. Procédure de transfert</w:t>
      </w:r>
    </w:p>
    <w:p>
      <w:pPr>
        <w:spacing w:after="100"/>
      </w:pPr>
      <w:r>
        <w:rPr>
          <w:rFonts w:ascii="Calibri" w:cs="Calibri" w:eastAsia="Calibri" w:hAnsi="Calibri"/>
          <w:color w:val="1F1F1F"/>
          <w:sz w:val="22"/>
          <w:szCs w:val="22"/>
        </w:rPr>
        <w:t xml:space="preserve">6. Frais et délais du transfert</w:t>
      </w:r>
    </w:p>
    <w:p>
      <w:pPr>
        <w:spacing w:after="100"/>
      </w:pPr>
      <w:r>
        <w:rPr>
          <w:rFonts w:ascii="Calibri" w:cs="Calibri" w:eastAsia="Calibri" w:hAnsi="Calibri"/>
          <w:color w:val="1F1F1F"/>
          <w:sz w:val="22"/>
          <w:szCs w:val="22"/>
        </w:rPr>
        <w:t xml:space="preserve">7. Précautions et pièges</w:t>
      </w:r>
    </w:p>
    <w:p>
      <w:pPr>
        <w:spacing w:after="100"/>
      </w:pPr>
      <w:r>
        <w:rPr>
          <w:rFonts w:ascii="Calibri" w:cs="Calibri" w:eastAsia="Calibri" w:hAnsi="Calibri"/>
          <w:color w:val="1F1F1F"/>
          <w:sz w:val="22"/>
          <w:szCs w:val="22"/>
        </w:rPr>
        <w:t xml:space="preserve">8. Calendrier d'exécution</w:t>
      </w:r>
    </w:p>
    <w:p>
      <w:pPr>
        <w:spacing w:after="100"/>
      </w:pPr>
      <w:r>
        <w:rPr>
          <w:rFonts w:ascii="Calibri" w:cs="Calibri" w:eastAsia="Calibri" w:hAnsi="Calibri"/>
          <w:color w:val="1F1F1F"/>
          <w:sz w:val="22"/>
          <w:szCs w:val="22"/>
        </w:rPr>
        <w:t xml:space="preserve">9. Chantiers à venir</w:t>
      </w:r>
    </w:p>
    <w:p>
      <w:pPr>
        <w:spacing w:after="100"/>
      </w:pPr>
      <w:r>
        <w:rPr>
          <w:rFonts w:ascii="Calibri" w:cs="Calibri" w:eastAsia="Calibri" w:hAnsi="Calibri"/>
          <w:color w:val="1F1F1F"/>
          <w:sz w:val="22"/>
          <w:szCs w:val="22"/>
        </w:rPr>
        <w:t xml:space="preserve">10. Annexes</w:t>
      </w:r>
    </w:p>
    <w:p>
      <w:r>
        <w:br w:type="page"/>
      </w:r>
    </w:p>
    <w:p>
      <w:pPr>
        <w:pStyle w:val="Heading1"/>
        <w:spacing w:after="180" w:before="360"/>
      </w:pPr>
      <w:r>
        <w:rPr>
          <w:rFonts w:ascii="Calibri" w:cs="Calibri" w:eastAsia="Calibri" w:hAnsi="Calibri"/>
          <w:b/>
          <w:bCs/>
          <w:color w:val="1F4E79"/>
          <w:sz w:val="32"/>
          <w:szCs w:val="32"/>
        </w:rPr>
        <w:t xml:space="preserve">1. Contexte et objectifs</w:t>
      </w:r>
    </w:p>
    <w:p>
      <w:pPr>
        <w:pStyle w:val="Heading2"/>
        <w:spacing w:after="140" w:before="280"/>
      </w:pPr>
      <w:r>
        <w:rPr>
          <w:rFonts w:ascii="Calibri" w:cs="Calibri" w:eastAsia="Calibri" w:hAnsi="Calibri"/>
          <w:b/>
          <w:bCs/>
          <w:color w:val="1F4E79"/>
          <w:sz w:val="26"/>
          <w:szCs w:val="26"/>
        </w:rPr>
        <w:t xml:space="preserve">1.1 Situation de départ</w:t>
      </w:r>
    </w:p>
    <w:p>
      <w:pPr>
        <w:spacing w:after="120" w:before="0" w:line="300"/>
      </w:pPr>
      <w:r>
        <w:rPr>
          <w:rFonts w:ascii="Calibri" w:cs="Calibri" w:eastAsia="Calibri" w:hAnsi="Calibri"/>
          <w:color w:val="1F1F1F"/>
          <w:sz w:val="22"/>
          <w:szCs w:val="22"/>
        </w:rPr>
        <w:t xml:space="preserve">Détention d'un PEA chez Fortuneo en formule Starter, composé de trois ETF UCITS éligibles PEA cotés sur Euronext Paris. Encours total d'environ 5 700 €. La gestion est actuellement manuelle, sans automatisation.</w:t>
      </w:r>
    </w:p>
    <w:p>
      <w:pPr>
        <w:pStyle w:val="Heading2"/>
        <w:spacing w:after="140" w:before="280"/>
      </w:pPr>
      <w:r>
        <w:rPr>
          <w:rFonts w:ascii="Calibri" w:cs="Calibri" w:eastAsia="Calibri" w:hAnsi="Calibri"/>
          <w:b/>
          <w:bCs/>
          <w:color w:val="1F4E79"/>
          <w:sz w:val="26"/>
          <w:szCs w:val="26"/>
        </w:rPr>
        <w:t xml:space="preserve">1.2 Objectifs visés</w:t>
      </w:r>
    </w:p>
    <w:p>
      <w:pPr>
        <w:pStyle w:val="ListParagraph"/>
        <w:numPr>
          <w:ilvl w:val="0"/>
          <w:numId w:val="2"/>
        </w:numPr>
        <w:spacing w:after="80" w:line="280"/>
      </w:pPr>
      <w:r>
        <w:rPr>
          <w:rFonts w:ascii="Calibri" w:cs="Calibri" w:eastAsia="Calibri" w:hAnsi="Calibri"/>
          <w:b/>
          <w:bCs/>
          <w:color w:val="1F1F1F"/>
          <w:sz w:val="22"/>
          <w:szCs w:val="22"/>
        </w:rPr>
        <w:t xml:space="preserve">Augmentation du DCA mensuel : </w:t>
      </w:r>
      <w:r>
        <w:rPr>
          <w:rFonts w:ascii="Calibri" w:cs="Calibri" w:eastAsia="Calibri" w:hAnsi="Calibri"/>
          <w:color w:val="1F1F1F"/>
          <w:sz w:val="22"/>
          <w:szCs w:val="22"/>
        </w:rPr>
        <w:t xml:space="preserve">passage de 500 €/mois à 1 000 €/mois à partir de fin 2026.</w:t>
      </w:r>
    </w:p>
    <w:p>
      <w:pPr>
        <w:pStyle w:val="ListParagraph"/>
        <w:numPr>
          <w:ilvl w:val="0"/>
          <w:numId w:val="2"/>
        </w:numPr>
        <w:spacing w:after="80" w:line="280"/>
      </w:pPr>
      <w:r>
        <w:rPr>
          <w:rFonts w:ascii="Calibri" w:cs="Calibri" w:eastAsia="Calibri" w:hAnsi="Calibri"/>
          <w:b/>
          <w:bCs/>
          <w:color w:val="1F1F1F"/>
          <w:sz w:val="22"/>
          <w:szCs w:val="22"/>
        </w:rPr>
        <w:t xml:space="preserve">Horizon d'investissement : </w:t>
      </w:r>
      <w:r>
        <w:rPr>
          <w:rFonts w:ascii="Calibri" w:cs="Calibri" w:eastAsia="Calibri" w:hAnsi="Calibri"/>
          <w:color w:val="1F1F1F"/>
          <w:sz w:val="22"/>
          <w:szCs w:val="22"/>
        </w:rPr>
        <w:t xml:space="preserve">20 ans minimum.</w:t>
      </w:r>
    </w:p>
    <w:p>
      <w:pPr>
        <w:pStyle w:val="ListParagraph"/>
        <w:numPr>
          <w:ilvl w:val="0"/>
          <w:numId w:val="2"/>
        </w:numPr>
        <w:spacing w:after="80" w:line="280"/>
      </w:pPr>
      <w:r>
        <w:rPr>
          <w:rFonts w:ascii="Calibri" w:cs="Calibri" w:eastAsia="Calibri" w:hAnsi="Calibri"/>
          <w:b/>
          <w:bCs/>
          <w:color w:val="1F1F1F"/>
          <w:sz w:val="22"/>
          <w:szCs w:val="22"/>
        </w:rPr>
        <w:t xml:space="preserve">Mise en place d'une stratégie automatisée : </w:t>
      </w:r>
      <w:r>
        <w:rPr>
          <w:rFonts w:ascii="Calibri" w:cs="Calibri" w:eastAsia="Calibri" w:hAnsi="Calibri"/>
          <w:color w:val="1F1F1F"/>
          <w:sz w:val="22"/>
          <w:szCs w:val="22"/>
        </w:rPr>
        <w:t xml:space="preserve">DCA programmé + rotation tactique sur signal.</w:t>
      </w:r>
    </w:p>
    <w:p>
      <w:pPr>
        <w:pStyle w:val="ListParagraph"/>
        <w:numPr>
          <w:ilvl w:val="0"/>
          <w:numId w:val="2"/>
        </w:numPr>
        <w:spacing w:after="80" w:line="280"/>
      </w:pPr>
      <w:r>
        <w:rPr>
          <w:rFonts w:ascii="Calibri" w:cs="Calibri" w:eastAsia="Calibri" w:hAnsi="Calibri"/>
          <w:b/>
          <w:bCs/>
          <w:color w:val="1F1F1F"/>
          <w:sz w:val="22"/>
          <w:szCs w:val="22"/>
        </w:rPr>
        <w:t xml:space="preserve">Réduction du drawdown maximal : </w:t>
      </w:r>
      <w:r>
        <w:rPr>
          <w:rFonts w:ascii="Calibri" w:cs="Calibri" w:eastAsia="Calibri" w:hAnsi="Calibri"/>
          <w:color w:val="1F1F1F"/>
          <w:sz w:val="22"/>
          <w:szCs w:val="22"/>
        </w:rPr>
        <w:t xml:space="preserve">objectif de division par deux du pire repli historique vs un buy-and-hold pur.</w:t>
      </w:r>
    </w:p>
    <w:p>
      <w:pPr>
        <w:pStyle w:val="ListParagraph"/>
        <w:numPr>
          <w:ilvl w:val="0"/>
          <w:numId w:val="2"/>
        </w:numPr>
        <w:spacing w:after="80" w:line="280"/>
      </w:pPr>
      <w:r>
        <w:rPr>
          <w:rFonts w:ascii="Calibri" w:cs="Calibri" w:eastAsia="Calibri" w:hAnsi="Calibri"/>
          <w:b/>
          <w:bCs/>
          <w:color w:val="1F1F1F"/>
          <w:sz w:val="22"/>
          <w:szCs w:val="22"/>
        </w:rPr>
        <w:t xml:space="preserve">Optimisation des frais : </w:t>
      </w:r>
      <w:r>
        <w:rPr>
          <w:rFonts w:ascii="Calibri" w:cs="Calibri" w:eastAsia="Calibri" w:hAnsi="Calibri"/>
          <w:color w:val="1F1F1F"/>
          <w:sz w:val="22"/>
          <w:szCs w:val="22"/>
        </w:rPr>
        <w:t xml:space="preserve">minimisation des coûts cumulés sur l'horizon long.</w:t>
      </w:r>
    </w:p>
    <w:p>
      <w:pPr>
        <w:pStyle w:val="ListParagraph"/>
        <w:numPr>
          <w:ilvl w:val="0"/>
          <w:numId w:val="2"/>
        </w:numPr>
        <w:spacing w:after="80" w:line="280"/>
      </w:pPr>
      <w:r>
        <w:rPr>
          <w:rFonts w:ascii="Calibri" w:cs="Calibri" w:eastAsia="Calibri" w:hAnsi="Calibri"/>
          <w:b/>
          <w:bCs/>
          <w:color w:val="1F1F1F"/>
          <w:sz w:val="22"/>
          <w:szCs w:val="22"/>
        </w:rPr>
        <w:t xml:space="preserve">Discipline mécanique : </w:t>
      </w:r>
      <w:r>
        <w:rPr>
          <w:rFonts w:ascii="Calibri" w:cs="Calibri" w:eastAsia="Calibri" w:hAnsi="Calibri"/>
          <w:color w:val="1F1F1F"/>
          <w:sz w:val="22"/>
          <w:szCs w:val="22"/>
        </w:rPr>
        <w:t xml:space="preserve">exécution systématique des règles, sans intervention discrétionnaire.</w:t>
      </w:r>
    </w:p>
    <w:p>
      <w:pPr>
        <w:pStyle w:val="Heading2"/>
        <w:spacing w:after="140" w:before="280"/>
      </w:pPr>
      <w:r>
        <w:rPr>
          <w:rFonts w:ascii="Calibri" w:cs="Calibri" w:eastAsia="Calibri" w:hAnsi="Calibri"/>
          <w:b/>
          <w:bCs/>
          <w:color w:val="1F4E79"/>
          <w:sz w:val="26"/>
          <w:szCs w:val="26"/>
        </w:rPr>
        <w:t xml:space="preserve">1.3 Pourquoi le transfert vers IBKR</w:t>
      </w:r>
    </w:p>
    <w:p>
      <w:pPr>
        <w:spacing w:after="120" w:before="0" w:line="300"/>
      </w:pPr>
      <w:r>
        <w:rPr>
          <w:rFonts w:ascii="Calibri" w:cs="Calibri" w:eastAsia="Calibri" w:hAnsi="Calibri"/>
          <w:color w:val="1F1F1F"/>
          <w:sz w:val="22"/>
          <w:szCs w:val="22"/>
        </w:rPr>
        <w:t xml:space="preserve">Trois raisons cumulatives justifient la migration :</w:t>
      </w:r>
    </w:p>
    <w:p>
      <w:pPr>
        <w:pStyle w:val="ListParagraph"/>
        <w:numPr>
          <w:ilvl w:val="0"/>
          <w:numId w:val="3"/>
        </w:numPr>
        <w:spacing w:after="80" w:line="280"/>
      </w:pPr>
      <w:r>
        <w:rPr>
          <w:rFonts w:ascii="Calibri" w:cs="Calibri" w:eastAsia="Calibri" w:hAnsi="Calibri"/>
          <w:b/>
          <w:bCs/>
          <w:color w:val="1F1F1F"/>
          <w:sz w:val="22"/>
          <w:szCs w:val="22"/>
        </w:rPr>
        <w:t xml:space="preserve">API officielle disponible. </w:t>
      </w:r>
      <w:r>
        <w:rPr>
          <w:rFonts w:ascii="Calibri" w:cs="Calibri" w:eastAsia="Calibri" w:hAnsi="Calibri"/>
          <w:color w:val="1F1F1F"/>
          <w:sz w:val="22"/>
          <w:szCs w:val="22"/>
        </w:rPr>
        <w:t xml:space="preserve">Fortuneo n'expose aucune API de trading. IBKR fournit la TWS API (Python, Java, C++, etc.) et une Web API REST, indispensables pour automatiser DCA et rotation.</w:t>
      </w:r>
    </w:p>
    <w:p>
      <w:pPr>
        <w:pStyle w:val="ListParagraph"/>
        <w:numPr>
          <w:ilvl w:val="0"/>
          <w:numId w:val="3"/>
        </w:numPr>
        <w:spacing w:after="80" w:line="280"/>
      </w:pPr>
      <w:r>
        <w:rPr>
          <w:rFonts w:ascii="Calibri" w:cs="Calibri" w:eastAsia="Calibri" w:hAnsi="Calibri"/>
          <w:b/>
          <w:bCs/>
          <w:color w:val="1F1F1F"/>
          <w:sz w:val="22"/>
          <w:szCs w:val="22"/>
        </w:rPr>
        <w:t xml:space="preserve">Économie de frais cumulée. </w:t>
      </w:r>
      <w:r>
        <w:rPr>
          <w:rFonts w:ascii="Calibri" w:cs="Calibri" w:eastAsia="Calibri" w:hAnsi="Calibri"/>
          <w:color w:val="1F1F1F"/>
          <w:sz w:val="22"/>
          <w:szCs w:val="22"/>
        </w:rPr>
        <w:t xml:space="preserve">Sur un horizon 20 ans avec les hypothèses retenues, l'écart de frais cumulés est estimé à environ 4 300 € en valeur nominale, soit 7 000 à 8 000 € en valeur terminale capitalisée à 7 %/an.</w:t>
      </w:r>
    </w:p>
    <w:p>
      <w:pPr>
        <w:pStyle w:val="ListParagraph"/>
        <w:numPr>
          <w:ilvl w:val="0"/>
          <w:numId w:val="3"/>
        </w:numPr>
        <w:spacing w:after="80" w:line="280"/>
      </w:pPr>
      <w:r>
        <w:rPr>
          <w:rFonts w:ascii="Calibri" w:cs="Calibri" w:eastAsia="Calibri" w:hAnsi="Calibri"/>
          <w:b/>
          <w:bCs/>
          <w:color w:val="1F1F1F"/>
          <w:sz w:val="22"/>
          <w:szCs w:val="22"/>
        </w:rPr>
        <w:t xml:space="preserve">Cohérence opérationnelle à terme. </w:t>
      </w:r>
      <w:r>
        <w:rPr>
          <w:rFonts w:ascii="Calibri" w:cs="Calibri" w:eastAsia="Calibri" w:hAnsi="Calibri"/>
          <w:color w:val="1F1F1F"/>
          <w:sz w:val="22"/>
          <w:szCs w:val="22"/>
        </w:rPr>
        <w:t xml:space="preserve">Unification progressive de l'infrastructure de placements financiers sur une plateforme unique offrant un reporting fiscal consolidé et une seule interface technique à maintenir.</w:t>
      </w:r>
    </w:p>
    <w:p>
      <w:r>
        <w:br w:type="page"/>
      </w:r>
    </w:p>
    <w:p>
      <w:pPr>
        <w:pStyle w:val="Heading1"/>
        <w:spacing w:after="180" w:before="360"/>
      </w:pPr>
      <w:r>
        <w:rPr>
          <w:rFonts w:ascii="Calibri" w:cs="Calibri" w:eastAsia="Calibri" w:hAnsi="Calibri"/>
          <w:b/>
          <w:bCs/>
          <w:color w:val="1F4E79"/>
          <w:sz w:val="32"/>
          <w:szCs w:val="32"/>
        </w:rPr>
        <w:t xml:space="preserve">2. État des lieux du portefeuille actuel</w:t>
      </w:r>
    </w:p>
    <w:p>
      <w:pPr>
        <w:spacing w:after="120" w:before="0" w:line="300"/>
      </w:pPr>
      <w:r>
        <w:rPr>
          <w:rFonts w:ascii="Calibri" w:cs="Calibri" w:eastAsia="Calibri" w:hAnsi="Calibri"/>
          <w:color w:val="1F1F1F"/>
          <w:sz w:val="22"/>
          <w:szCs w:val="22"/>
        </w:rPr>
        <w:t xml:space="preserve">Le portefeuille Fortuneo est composé de trois lignes propres et standards, toutes parfaitement éligibles PEA et présentes dans le catalogue IBKR. Aucune ligne fragile (fonds maison, action illiquide, fraction d'action) n'est détenue, ce qui rend le transfert particulièrement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500"/>
        <w:gridCol w:w="1226"/>
      </w:tblGrid>
      <w:tr>
        <w:trPr>
          <w:tblHeader/>
        </w:trPr>
        <w:tc>
          <w:tcPr>
            <w:tcW w:type="dxa" w:w="1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ISIN</w:t>
            </w:r>
          </w:p>
        </w:tc>
        <w:tc>
          <w:tcPr>
            <w:tcW w:type="dxa" w:w="4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Nom de l'ETF</w:t>
            </w:r>
          </w:p>
        </w:tc>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Encours</w:t>
            </w:r>
          </w:p>
        </w:tc>
        <w:tc>
          <w:tcPr>
            <w:tcW w:type="dxa" w:w="12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Quantité</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FR0011871128</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Nasdaq-100 UCITS ETF Acc</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3 236,64 €</w:t>
            </w:r>
          </w:p>
        </w:tc>
        <w:tc>
          <w:tcPr>
            <w:tcW w:type="dxa" w:w="12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33</w:t>
            </w:r>
          </w:p>
        </w:tc>
      </w:tr>
      <w:tr>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FR0011550185</w:t>
            </w:r>
          </w:p>
        </w:tc>
        <w:tc>
          <w:tcPr>
            <w:tcW w:type="dxa" w:w="4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BNPP Easy Stoxx Europe 600 UCITS ETF EC</w:t>
            </w:r>
          </w:p>
        </w:tc>
        <w:tc>
          <w:tcPr>
            <w:tcW w:type="dxa" w:w="1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1 932,48 €</w:t>
            </w:r>
          </w:p>
        </w:tc>
        <w:tc>
          <w:tcPr>
            <w:tcW w:type="dxa" w:w="12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96</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FR0013412020</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MSCI Emerging ESG Transition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524,85 €</w:t>
            </w:r>
          </w:p>
        </w:tc>
        <w:tc>
          <w:tcPr>
            <w:tcW w:type="dxa" w:w="12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15</w:t>
            </w:r>
          </w:p>
        </w:tc>
      </w:tr>
      <w:tr>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Total</w:t>
            </w:r>
          </w:p>
        </w:tc>
        <w:tc>
          <w:tcPr>
            <w:tcW w:type="dxa" w:w="4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3 lignes</w:t>
            </w:r>
          </w:p>
        </w:tc>
        <w:tc>
          <w:tcPr>
            <w:tcW w:type="dxa" w:w="1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5 693,97 €</w:t>
            </w:r>
          </w:p>
        </w:tc>
        <w:tc>
          <w:tcPr>
            <w:tcW w:type="dxa" w:w="12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
            </w:r>
          </w:p>
        </w:tc>
      </w:tr>
    </w:tbl>
    <w:p>
      <w:pPr>
        <w:spacing w:after="240"/>
      </w:pPr>
    </w:p>
    <w:p>
      <w:pPr>
        <w:spacing w:after="120" w:before="0" w:line="300"/>
      </w:pPr>
      <w:r>
        <w:rPr>
          <w:rFonts w:ascii="Calibri" w:cs="Calibri" w:eastAsia="Calibri" w:hAnsi="Calibri"/>
          <w:color w:val="1F1F1F"/>
          <w:sz w:val="22"/>
          <w:szCs w:val="22"/>
        </w:rPr>
        <w:t xml:space="preserve">Plus-value latente cumulée d'environ +700 € (performance pondérée ~12 %).</w:t>
      </w:r>
    </w:p>
    <w:p>
      <w:r>
        <w:br w:type="page"/>
      </w:r>
    </w:p>
    <w:p>
      <w:pPr>
        <w:pStyle w:val="Heading1"/>
        <w:spacing w:after="180" w:before="360"/>
      </w:pPr>
      <w:r>
        <w:rPr>
          <w:rFonts w:ascii="Calibri" w:cs="Calibri" w:eastAsia="Calibri" w:hAnsi="Calibri"/>
          <w:b/>
          <w:bCs/>
          <w:color w:val="1F4E79"/>
          <w:sz w:val="32"/>
          <w:szCs w:val="32"/>
        </w:rPr>
        <w:t xml:space="preserve">3. Comparatif tarifaire Fortuneo vs IBKR</w:t>
      </w:r>
    </w:p>
    <w:p>
      <w:pPr>
        <w:pStyle w:val="Heading2"/>
        <w:spacing w:after="140" w:before="280"/>
      </w:pPr>
      <w:r>
        <w:rPr>
          <w:rFonts w:ascii="Calibri" w:cs="Calibri" w:eastAsia="Calibri" w:hAnsi="Calibri"/>
          <w:b/>
          <w:bCs/>
          <w:color w:val="1F4E79"/>
          <w:sz w:val="26"/>
          <w:szCs w:val="26"/>
        </w:rPr>
        <w:t xml:space="preserve">3.1 Frais récurrents (hors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Poste</w:t>
            </w:r>
          </w:p>
        </w:tc>
        <w:tc>
          <w:tcPr>
            <w:tcW w:type="dxa" w:w="2913"/>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Fortuneo</w:t>
            </w:r>
          </w:p>
        </w:tc>
        <w:tc>
          <w:tcPr>
            <w:tcW w:type="dxa" w:w="2913"/>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IBKR</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Droits de garde</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Frais de tenue de compte</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Frais d'inactivité</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Frais d'ouverture</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Market data temps réel Euronext</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Inclus</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~4-5 €/mois (optionnel)</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Rémunération cash non investi</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Jusqu'à 1,3 %/an en EUR</w:t>
            </w:r>
          </w:p>
        </w:tc>
      </w:tr>
    </w:tbl>
    <w:p>
      <w:pPr>
        <w:spacing w:after="240"/>
      </w:pPr>
    </w:p>
    <w:p>
      <w:pPr>
        <w:pStyle w:val="Heading2"/>
        <w:spacing w:after="140" w:before="280"/>
      </w:pPr>
      <w:r>
        <w:rPr>
          <w:rFonts w:ascii="Calibri" w:cs="Calibri" w:eastAsia="Calibri" w:hAnsi="Calibri"/>
          <w:b/>
          <w:bCs/>
          <w:color w:val="1F4E79"/>
          <w:sz w:val="26"/>
          <w:szCs w:val="26"/>
        </w:rPr>
        <w:t xml:space="preserve">3.2 Frais de courtage sur Euronext Paris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Taille d'ordre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Fortuneo Starter</w:t>
            </w:r>
          </w:p>
        </w:tc>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Fortuneo Progress</w:t>
            </w:r>
          </w:p>
        </w:tc>
        <w:tc>
          <w:tcPr>
            <w:tcW w:type="dxa" w:w="22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IBKR Tiered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500 €</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 (1er du mois)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4,90 €</w:t>
            </w:r>
          </w:p>
        </w:tc>
        <w:tc>
          <w:tcPr>
            <w:tcW w:type="dxa" w:w="22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1,25 €</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1 000 €</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3,50 €</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4,90 €</w:t>
            </w:r>
          </w:p>
        </w:tc>
        <w:tc>
          <w:tcPr>
            <w:tcW w:type="dxa" w:w="22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1,25 €</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2 000 €</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7,00 €</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4,90 €</w:t>
            </w:r>
          </w:p>
        </w:tc>
        <w:tc>
          <w:tcPr>
            <w:tcW w:type="dxa" w:w="22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1,25 €</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5 000 €</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17,50 €</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7,50 €</w:t>
            </w:r>
          </w:p>
        </w:tc>
        <w:tc>
          <w:tcPr>
            <w:tcW w:type="dxa" w:w="22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2,50 €</w:t>
            </w:r>
          </w:p>
        </w:tc>
      </w:tr>
    </w:tbl>
    <w:p>
      <w:pPr>
        <w:spacing w:after="200"/>
      </w:pPr>
    </w:p>
    <w:p>
      <w:pPr>
        <w:spacing w:after="120" w:before="0" w:line="300"/>
      </w:pPr>
      <w:r>
        <w:rPr>
          <w:rFonts w:ascii="Calibri" w:cs="Calibri" w:eastAsia="Calibri" w:hAnsi="Calibri"/>
          <w:b/>
          <w:bCs/>
          <w:color w:val="1F1F1F"/>
          <w:sz w:val="22"/>
          <w:szCs w:val="22"/>
        </w:rPr>
        <w:t xml:space="preserve">Crossover : </w:t>
      </w:r>
      <w:r>
        <w:rPr>
          <w:rFonts w:ascii="Calibri" w:cs="Calibri" w:eastAsia="Calibri" w:hAnsi="Calibri"/>
          <w:color w:val="1F1F1F"/>
          <w:sz w:val="22"/>
          <w:szCs w:val="22"/>
        </w:rPr>
        <w:t xml:space="preserve">IBKR devient moins cher dès que les ordres dépassent ~350 € (hors 1er ordre mensuel gratuit Starter).</w:t>
      </w:r>
    </w:p>
    <w:p>
      <w:pPr>
        <w:pStyle w:val="Heading2"/>
        <w:spacing w:after="140" w:before="280"/>
      </w:pPr>
      <w:r>
        <w:rPr>
          <w:rFonts w:ascii="Calibri" w:cs="Calibri" w:eastAsia="Calibri" w:hAnsi="Calibri"/>
          <w:b/>
          <w:bCs/>
          <w:color w:val="1F4E79"/>
          <w:sz w:val="26"/>
          <w:szCs w:val="26"/>
        </w:rPr>
        <w:t xml:space="preserve">3.3 Frais cumulés simulés sur 20 ans</w:t>
      </w:r>
    </w:p>
    <w:p>
      <w:pPr>
        <w:spacing w:after="120" w:before="0" w:line="300"/>
      </w:pPr>
      <w:r>
        <w:rPr>
          <w:rFonts w:ascii="Calibri" w:cs="Calibri" w:eastAsia="Calibri" w:hAnsi="Calibri"/>
          <w:color w:val="1F1F1F"/>
          <w:sz w:val="22"/>
          <w:szCs w:val="22"/>
        </w:rPr>
        <w:t xml:space="preserve">Hypothèses : encours initial 5 700 €, DCA 500 €/mois jusqu'à fin 2026 puis 1 000 €/mois, plafond PEA 150 000 € atteint vers année 13, performance 7 %/an, 4 ordres de rebalancement/mois portant sur 8 % de l'encours.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13"/>
        <w:gridCol w:w="2513"/>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Année</w:t>
            </w:r>
          </w:p>
        </w:tc>
        <w:tc>
          <w:tcPr>
            <w:tcW w:type="dxa" w:w="2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Encours</w:t>
            </w:r>
          </w:p>
        </w:tc>
        <w:tc>
          <w:tcPr>
            <w:tcW w:type="dxa" w:w="2513"/>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Fortuneo Optimal</w:t>
            </w:r>
          </w:p>
        </w:tc>
        <w:tc>
          <w:tcPr>
            <w:tcW w:type="dxa" w:w="2513"/>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IBKR Tiered</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14 326 €</w:t>
            </w:r>
          </w:p>
        </w:tc>
        <w:tc>
          <w:tcPr>
            <w:tcW w:type="dxa" w:w="25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44 €</w:t>
            </w:r>
          </w:p>
        </w:tc>
        <w:tc>
          <w:tcPr>
            <w:tcW w:type="dxa" w:w="25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75 €</w:t>
            </w:r>
          </w:p>
        </w:tc>
      </w:tr>
      <w:tr>
        <w:tc>
          <w:tcPr>
            <w:tcW w:type="dxa" w:w="1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w:t>
            </w:r>
          </w:p>
        </w:tc>
        <w:tc>
          <w:tcPr>
            <w:tcW w:type="dxa" w:w="2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42 153 €</w:t>
            </w:r>
          </w:p>
        </w:tc>
        <w:tc>
          <w:tcPr>
            <w:tcW w:type="dxa" w:w="25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312 €</w:t>
            </w:r>
          </w:p>
        </w:tc>
        <w:tc>
          <w:tcPr>
            <w:tcW w:type="dxa" w:w="25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225 €</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5</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74 149 €</w:t>
            </w:r>
          </w:p>
        </w:tc>
        <w:tc>
          <w:tcPr>
            <w:tcW w:type="dxa" w:w="25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780 €</w:t>
            </w:r>
          </w:p>
        </w:tc>
        <w:tc>
          <w:tcPr>
            <w:tcW w:type="dxa" w:w="25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375 €</w:t>
            </w:r>
          </w:p>
        </w:tc>
      </w:tr>
      <w:tr>
        <w:tc>
          <w:tcPr>
            <w:tcW w:type="dxa" w:w="1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10</w:t>
            </w:r>
          </w:p>
        </w:tc>
        <w:tc>
          <w:tcPr>
            <w:tcW w:type="dxa" w:w="2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176 708 €</w:t>
            </w:r>
          </w:p>
        </w:tc>
        <w:tc>
          <w:tcPr>
            <w:tcW w:type="dxa" w:w="25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2 249 €</w:t>
            </w:r>
          </w:p>
        </w:tc>
        <w:tc>
          <w:tcPr>
            <w:tcW w:type="dxa" w:w="25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777 €</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15</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294 112 €</w:t>
            </w:r>
          </w:p>
        </w:tc>
        <w:tc>
          <w:tcPr>
            <w:tcW w:type="dxa" w:w="25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4 131 €</w:t>
            </w:r>
          </w:p>
        </w:tc>
        <w:tc>
          <w:tcPr>
            <w:tcW w:type="dxa" w:w="25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1 391 €</w:t>
            </w:r>
          </w:p>
        </w:tc>
      </w:tr>
      <w:tr>
        <w:tc>
          <w:tcPr>
            <w:tcW w:type="dxa" w:w="1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20</w:t>
            </w:r>
          </w:p>
        </w:tc>
        <w:tc>
          <w:tcPr>
            <w:tcW w:type="dxa" w:w="2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416 940 €</w:t>
            </w:r>
          </w:p>
        </w:tc>
        <w:tc>
          <w:tcPr>
            <w:tcW w:type="dxa" w:w="25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6 658 €</w:t>
            </w:r>
          </w:p>
        </w:tc>
        <w:tc>
          <w:tcPr>
            <w:tcW w:type="dxa" w:w="25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2 233 €</w:t>
            </w:r>
          </w:p>
        </w:tc>
      </w:tr>
    </w:tbl>
    <w:p>
      <w:pPr>
        <w:spacing w:after="200"/>
      </w:pPr>
    </w:p>
    <w:p>
      <w:pPr>
        <w:spacing w:after="120" w:before="0" w:line="300"/>
      </w:pPr>
      <w:r>
        <w:rPr>
          <w:rFonts w:ascii="Calibri" w:cs="Calibri" w:eastAsia="Calibri" w:hAnsi="Calibri"/>
          <w:b/>
          <w:bCs/>
          <w:color w:val="1F1F1F"/>
          <w:sz w:val="22"/>
          <w:szCs w:val="22"/>
        </w:rPr>
        <w:t xml:space="preserve">Économie nette IBKR vs Fortuneo Optimal sur 20 ans : </w:t>
      </w:r>
      <w:r>
        <w:rPr>
          <w:rFonts w:ascii="Calibri" w:cs="Calibri" w:eastAsia="Calibri" w:hAnsi="Calibri"/>
          <w:color w:val="1F1F1F"/>
          <w:sz w:val="22"/>
          <w:szCs w:val="22"/>
        </w:rPr>
        <w:t xml:space="preserve">~4 379 € en valeur nominale (après déduction des 45 € de frais de transfert), soit ~7 000-8 000 € en valeur terminale capitalisée à 7 %/an. Ce gain est net d'impôt dans le PEA.</w:t>
      </w:r>
    </w:p>
    <w:p>
      <w:r>
        <w:br w:type="page"/>
      </w:r>
    </w:p>
    <w:p>
      <w:pPr>
        <w:pStyle w:val="Heading1"/>
        <w:spacing w:after="180" w:before="360"/>
      </w:pPr>
      <w:r>
        <w:rPr>
          <w:rFonts w:ascii="Calibri" w:cs="Calibri" w:eastAsia="Calibri" w:hAnsi="Calibri"/>
          <w:b/>
          <w:bCs/>
          <w:color w:val="1F4E79"/>
          <w:sz w:val="32"/>
          <w:szCs w:val="32"/>
        </w:rPr>
        <w:t xml:space="preserve">4. Stratégie d'investissement cible</w:t>
      </w:r>
    </w:p>
    <w:p>
      <w:pPr>
        <w:pStyle w:val="Heading2"/>
        <w:spacing w:after="140" w:before="280"/>
      </w:pPr>
      <w:r>
        <w:rPr>
          <w:rFonts w:ascii="Calibri" w:cs="Calibri" w:eastAsia="Calibri" w:hAnsi="Calibri"/>
          <w:b/>
          <w:bCs/>
          <w:color w:val="1F4E79"/>
          <w:sz w:val="26"/>
          <w:szCs w:val="26"/>
        </w:rPr>
        <w:t xml:space="preserve">4.1 Architecture en trois couches</w:t>
      </w:r>
    </w:p>
    <w:p>
      <w:pPr>
        <w:spacing w:after="120" w:before="0" w:line="300"/>
      </w:pPr>
      <w:r>
        <w:rPr>
          <w:rFonts w:ascii="Calibri" w:cs="Calibri" w:eastAsia="Calibri" w:hAnsi="Calibri"/>
          <w:color w:val="1F1F1F"/>
          <w:sz w:val="22"/>
          <w:szCs w:val="22"/>
        </w:rPr>
        <w:t xml:space="preserve">La stratégie repose sur une structure core-satellite avec overlay défensif, organisée en trois couches imbriquées. La couche basse (la plus mécanique) prime toujours sur les couches supérieures en cas de conflit.</w:t>
      </w:r>
    </w:p>
    <w:p>
      <w:pPr>
        <w:pStyle w:val="Heading3"/>
        <w:spacing w:after="100" w:before="220"/>
      </w:pPr>
      <w:r>
        <w:rPr>
          <w:rFonts w:ascii="Calibri" w:cs="Calibri" w:eastAsia="Calibri" w:hAnsi="Calibri"/>
          <w:b/>
          <w:bCs/>
          <w:color w:val="2E75B6"/>
          <w:sz w:val="23"/>
          <w:szCs w:val="23"/>
        </w:rPr>
        <w:t xml:space="preserve">Couche 1 — Allocation stratégique (le socle)</w:t>
      </w:r>
    </w:p>
    <w:p>
      <w:pPr>
        <w:spacing w:after="120" w:before="0" w:line="300"/>
      </w:pPr>
      <w:r>
        <w:rPr>
          <w:rFonts w:ascii="Calibri" w:cs="Calibri" w:eastAsia="Calibri" w:hAnsi="Calibri"/>
          <w:color w:val="1F1F1F"/>
          <w:sz w:val="22"/>
          <w:szCs w:val="22"/>
        </w:rPr>
        <w:t xml:space="preserve">Cible long terme stable, vers laquelle le portefeuille revient en l'absence de signal. Définit la répartition par défaut entre les classes d'actifs.</w:t>
      </w:r>
    </w:p>
    <w:p>
      <w:pPr>
        <w:pStyle w:val="Heading3"/>
        <w:spacing w:after="100" w:before="220"/>
      </w:pPr>
      <w:r>
        <w:rPr>
          <w:rFonts w:ascii="Calibri" w:cs="Calibri" w:eastAsia="Calibri" w:hAnsi="Calibri"/>
          <w:b/>
          <w:bCs/>
          <w:color w:val="2E75B6"/>
          <w:sz w:val="23"/>
          <w:szCs w:val="23"/>
        </w:rPr>
        <w:t xml:space="preserve">Couche 2 — Tilt tactique sur momentum (le moteur de rotation)</w:t>
      </w:r>
    </w:p>
    <w:p>
      <w:pPr>
        <w:spacing w:after="120" w:before="0" w:line="300"/>
      </w:pPr>
      <w:r>
        <w:rPr>
          <w:rFonts w:ascii="Calibri" w:cs="Calibri" w:eastAsia="Calibri" w:hAnsi="Calibri"/>
          <w:color w:val="1F1F1F"/>
          <w:sz w:val="22"/>
          <w:szCs w:val="22"/>
        </w:rPr>
        <w:t xml:space="preserve">Écart contrôlé autour de la cible, fonction de la performance relative à 6 mois entre les ETF. Surpondère les actifs en momentum positif, sous-pondère ceux en momentum négatif. Amplitude bornée.</w:t>
      </w:r>
    </w:p>
    <w:p>
      <w:pPr>
        <w:pStyle w:val="Heading3"/>
        <w:spacing w:after="100" w:before="220"/>
      </w:pPr>
      <w:r>
        <w:rPr>
          <w:rFonts w:ascii="Calibri" w:cs="Calibri" w:eastAsia="Calibri" w:hAnsi="Calibri"/>
          <w:b/>
          <w:bCs/>
          <w:color w:val="2E75B6"/>
          <w:sz w:val="23"/>
          <w:szCs w:val="23"/>
        </w:rPr>
        <w:t xml:space="preserve">Couche 3 — Overlay défensif (la protection drawdown)</w:t>
      </w:r>
    </w:p>
    <w:p>
      <w:pPr>
        <w:spacing w:after="120" w:before="0" w:line="300"/>
      </w:pPr>
      <w:r>
        <w:rPr>
          <w:rFonts w:ascii="Calibri" w:cs="Calibri" w:eastAsia="Calibri" w:hAnsi="Calibri"/>
          <w:color w:val="1F1F1F"/>
          <w:sz w:val="22"/>
          <w:szCs w:val="22"/>
        </w:rPr>
        <w:t xml:space="preserve">Règle binaire de risk-on/risk-off basée sur l'indice global CW8 (MSCI World). Si CW8 &lt; MM200(CW8) en clôture du dernier jour ouvré du mois, l'intégralité du portefeuille passe en cash le mois suivant. Cette couche prime sur toutes les autres : elle peut annuler complètement les couches 1 et 2.</w:t>
      </w:r>
    </w:p>
    <w:p>
      <w:pPr>
        <w:pStyle w:val="Heading2"/>
        <w:spacing w:after="140" w:before="280"/>
      </w:pPr>
      <w:r>
        <w:rPr>
          <w:rFonts w:ascii="Calibri" w:cs="Calibri" w:eastAsia="Calibri" w:hAnsi="Calibri"/>
          <w:b/>
          <w:bCs/>
          <w:color w:val="1F4E79"/>
          <w:sz w:val="26"/>
          <w:szCs w:val="26"/>
        </w:rPr>
        <w:t xml:space="preserve">4.2 Pool de 5 ETF et allocation cible</w:t>
      </w:r>
    </w:p>
    <w:p>
      <w:pPr>
        <w:spacing w:after="120" w:before="0" w:line="300"/>
      </w:pPr>
      <w:r>
        <w:rPr>
          <w:rFonts w:ascii="Calibri" w:cs="Calibri" w:eastAsia="Calibri" w:hAnsi="Calibri"/>
          <w:color w:val="1F1F1F"/>
          <w:sz w:val="22"/>
          <w:szCs w:val="22"/>
        </w:rPr>
        <w:t xml:space="preserve">Le pool est volontairement limité à 5 ETF pour assurer une couverture géographique et factorielle complète sans complexifier la gestion. Tous sont éligibles PEA et cotés sur Euronext Paris.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3500"/>
        <w:gridCol w:w="1826"/>
      </w:tblGrid>
      <w:tr>
        <w:trPr>
          <w:tblHeader/>
        </w:trPr>
        <w:tc>
          <w:tcPr>
            <w:tcW w:type="dxa" w:w="3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ETF</w:t>
            </w:r>
          </w:p>
        </w:tc>
        <w:tc>
          <w:tcPr>
            <w:tcW w:type="dxa" w:w="3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Rôle</w:t>
            </w:r>
          </w:p>
        </w:tc>
        <w:tc>
          <w:tcPr>
            <w:tcW w:type="dxa" w:w="18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Cible</w:t>
            </w:r>
          </w:p>
        </w:tc>
      </w:tr>
      <w:t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S&amp;P 500</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US large diversifié</w:t>
            </w:r>
          </w:p>
        </w:tc>
        <w:tc>
          <w:tcPr>
            <w:tcW w:type="dxa" w:w="18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30 %</w:t>
            </w:r>
          </w:p>
        </w:tc>
      </w:tr>
      <w:tr>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Nasdaq-100</w:t>
            </w:r>
          </w:p>
        </w:tc>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US tech amplifié</w:t>
            </w:r>
          </w:p>
        </w:tc>
        <w:tc>
          <w:tcPr>
            <w:tcW w:type="dxa" w:w="1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15 %</w:t>
            </w:r>
          </w:p>
        </w:tc>
      </w:tr>
      <w:t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BNPP Easy Stoxx Europe 600</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Europe core</w:t>
            </w:r>
          </w:p>
        </w:tc>
        <w:tc>
          <w:tcPr>
            <w:tcW w:type="dxa" w:w="18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25 %</w:t>
            </w:r>
          </w:p>
        </w:tc>
      </w:tr>
      <w:tr>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Europe Small Cap</w:t>
            </w:r>
          </w:p>
        </w:tc>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Facteur size (Europe)</w:t>
            </w:r>
          </w:p>
        </w:tc>
        <w:tc>
          <w:tcPr>
            <w:tcW w:type="dxa" w:w="1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10 %</w:t>
            </w:r>
          </w:p>
        </w:tc>
      </w:tr>
      <w:t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MSCI Emerging ESG</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Émergents</w:t>
            </w:r>
          </w:p>
        </w:tc>
        <w:tc>
          <w:tcPr>
            <w:tcW w:type="dxa" w:w="18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15 %</w:t>
            </w:r>
          </w:p>
        </w:tc>
      </w:tr>
      <w:tr>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Cash structurel</w:t>
            </w:r>
          </w:p>
        </w:tc>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Buffer T+2</w:t>
            </w:r>
          </w:p>
        </w:tc>
        <w:tc>
          <w:tcPr>
            <w:tcW w:type="dxa" w:w="1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5 %</w:t>
            </w:r>
          </w:p>
        </w:tc>
      </w:tr>
    </w:tbl>
    <w:p>
      <w:pPr>
        <w:spacing w:after="240"/>
      </w:pPr>
    </w:p>
    <w:p>
      <w:pPr>
        <w:spacing w:after="120" w:before="0" w:line="300"/>
      </w:pPr>
      <w:r>
        <w:rPr>
          <w:rFonts w:ascii="Calibri" w:cs="Calibri" w:eastAsia="Calibri" w:hAnsi="Calibri"/>
          <w:color w:val="1F1F1F"/>
          <w:sz w:val="22"/>
          <w:szCs w:val="22"/>
        </w:rPr>
        <w:t xml:space="preserve">Répartition géographique consolidée : </w:t>
      </w:r>
      <w:r>
        <w:rPr>
          <w:rFonts w:ascii="Calibri" w:cs="Calibri" w:eastAsia="Calibri" w:hAnsi="Calibri"/>
          <w:b/>
          <w:bCs/>
          <w:color w:val="1F1F1F"/>
          <w:sz w:val="22"/>
          <w:szCs w:val="22"/>
        </w:rPr>
        <w:t xml:space="preserve">US 45 %, Europe 35 %, Émergents 15 %, cash 5 %</w:t>
      </w:r>
      <w:r>
        <w:rPr>
          <w:rFonts w:ascii="Calibri" w:cs="Calibri" w:eastAsia="Calibri" w:hAnsi="Calibri"/>
          <w:color w:val="1F1F1F"/>
          <w:sz w:val="22"/>
          <w:szCs w:val="22"/>
        </w:rPr>
        <w:t xml:space="preserve">. Cette répartition est légèrement biaisée Europe par rapport au MSCI ACWI (logique pour un PEA), avec un pari size modéré sur les small cap européennes.</w:t>
      </w:r>
    </w:p>
    <w:p>
      <w:pPr>
        <w:pStyle w:val="Heading2"/>
        <w:spacing w:after="140" w:before="280"/>
      </w:pPr>
      <w:r>
        <w:rPr>
          <w:rFonts w:ascii="Calibri" w:cs="Calibri" w:eastAsia="Calibri" w:hAnsi="Calibri"/>
          <w:b/>
          <w:bCs/>
          <w:color w:val="1F4E79"/>
          <w:sz w:val="26"/>
          <w:szCs w:val="26"/>
        </w:rPr>
        <w:t xml:space="preserve">4.3 Mécanique de la couche tactique (momentum)</w:t>
      </w:r>
    </w:p>
    <w:p>
      <w:pPr>
        <w:spacing w:after="120" w:before="0" w:line="300"/>
      </w:pPr>
      <w:r>
        <w:rPr>
          <w:rFonts w:ascii="Calibri" w:cs="Calibri" w:eastAsia="Calibri" w:hAnsi="Calibri"/>
          <w:color w:val="1F1F1F"/>
          <w:sz w:val="22"/>
          <w:szCs w:val="22"/>
        </w:rPr>
        <w:t xml:space="preserve">Chaque mois, calcul de la performance des 5 ETF sur les 6 derniers mois. Les actifs sont classés du meilleur au pire.</w:t>
      </w:r>
    </w:p>
    <w:p>
      <w:pPr>
        <w:pStyle w:val="ListParagraph"/>
        <w:numPr>
          <w:ilvl w:val="0"/>
          <w:numId w:val="2"/>
        </w:numPr>
        <w:spacing w:after="80" w:line="280"/>
      </w:pPr>
      <w:r>
        <w:rPr>
          <w:rFonts w:ascii="Calibri" w:cs="Calibri" w:eastAsia="Calibri" w:hAnsi="Calibri"/>
          <w:b/>
          <w:bCs/>
          <w:color w:val="1F1F1F"/>
          <w:sz w:val="22"/>
          <w:szCs w:val="22"/>
        </w:rPr>
        <w:t xml:space="preserve">Les 2 meilleurs : </w:t>
      </w:r>
      <w:r>
        <w:rPr>
          <w:rFonts w:ascii="Calibri" w:cs="Calibri" w:eastAsia="Calibri" w:hAnsi="Calibri"/>
          <w:color w:val="1F1F1F"/>
          <w:sz w:val="22"/>
          <w:szCs w:val="22"/>
        </w:rPr>
        <w:t xml:space="preserve">+3 points par rapport à leur cible stratégique.</w:t>
      </w:r>
    </w:p>
    <w:p>
      <w:pPr>
        <w:pStyle w:val="ListParagraph"/>
        <w:numPr>
          <w:ilvl w:val="0"/>
          <w:numId w:val="2"/>
        </w:numPr>
        <w:spacing w:after="80" w:line="280"/>
      </w:pPr>
      <w:r>
        <w:rPr>
          <w:rFonts w:ascii="Calibri" w:cs="Calibri" w:eastAsia="Calibri" w:hAnsi="Calibri"/>
          <w:b/>
          <w:bCs/>
          <w:color w:val="1F1F1F"/>
          <w:sz w:val="22"/>
          <w:szCs w:val="22"/>
        </w:rPr>
        <w:t xml:space="preserve">Le médian : </w:t>
      </w:r>
      <w:r>
        <w:rPr>
          <w:rFonts w:ascii="Calibri" w:cs="Calibri" w:eastAsia="Calibri" w:hAnsi="Calibri"/>
          <w:color w:val="1F1F1F"/>
          <w:sz w:val="22"/>
          <w:szCs w:val="22"/>
        </w:rPr>
        <w:t xml:space="preserve">cible inchangée.</w:t>
      </w:r>
    </w:p>
    <w:p>
      <w:pPr>
        <w:pStyle w:val="ListParagraph"/>
        <w:numPr>
          <w:ilvl w:val="0"/>
          <w:numId w:val="2"/>
        </w:numPr>
        <w:spacing w:after="80" w:line="280"/>
      </w:pPr>
      <w:r>
        <w:rPr>
          <w:rFonts w:ascii="Calibri" w:cs="Calibri" w:eastAsia="Calibri" w:hAnsi="Calibri"/>
          <w:b/>
          <w:bCs/>
          <w:color w:val="1F1F1F"/>
          <w:sz w:val="22"/>
          <w:szCs w:val="22"/>
        </w:rPr>
        <w:t xml:space="preserve">Les 2 pires : </w:t>
      </w:r>
      <w:r>
        <w:rPr>
          <w:rFonts w:ascii="Calibri" w:cs="Calibri" w:eastAsia="Calibri" w:hAnsi="Calibri"/>
          <w:color w:val="1F1F1F"/>
          <w:sz w:val="22"/>
          <w:szCs w:val="22"/>
        </w:rPr>
        <w:t xml:space="preserve">-3 points par rapport à leur cible stratégique.</w:t>
      </w:r>
    </w:p>
    <w:p>
      <w:pPr>
        <w:spacing w:after="120" w:before="0" w:line="300"/>
      </w:pPr>
      <w:r>
        <w:rPr>
          <w:rFonts w:ascii="Calibri" w:cs="Calibri" w:eastAsia="Calibri" w:hAnsi="Calibri"/>
          <w:color w:val="1F1F1F"/>
          <w:sz w:val="22"/>
          <w:szCs w:val="22"/>
        </w:rPr>
        <w:t xml:space="preserve">L'amplitude totale de tilt reste donc contenue à 12 points cumulés. Le portefeuille ne s'éloigne jamais radicalement de la cible stratégique.</w:t>
      </w:r>
    </w:p>
    <w:p>
      <w:pPr>
        <w:pStyle w:val="Heading2"/>
        <w:spacing w:after="140" w:before="280"/>
      </w:pPr>
      <w:r>
        <w:rPr>
          <w:rFonts w:ascii="Calibri" w:cs="Calibri" w:eastAsia="Calibri" w:hAnsi="Calibri"/>
          <w:b/>
          <w:bCs/>
          <w:color w:val="1F4E79"/>
          <w:sz w:val="26"/>
          <w:szCs w:val="26"/>
        </w:rPr>
        <w:t xml:space="preserve">4.4 Mécanique de la couche défensive (overlay progressif)</w:t>
      </w:r>
    </w:p>
    <w:p>
      <w:pPr>
        <w:spacing w:after="120" w:before="0" w:line="300"/>
      </w:pPr>
      <w:r>
        <w:rPr>
          <w:rFonts w:ascii="Calibri" w:cs="Calibri" w:eastAsia="Calibri" w:hAnsi="Calibri"/>
          <w:color w:val="1F1F1F"/>
          <w:sz w:val="22"/>
          <w:szCs w:val="22"/>
        </w:rPr>
        <w:t xml:space="preserve">Signal calculé sur l'Amundi MSCI World UCITS ETF (CW8, ISIN LU1681043599) utilisé comme proxy actions monde. La règle initialement envisagée était binaire (100 % cash dès franchissement de la MM200). Cette version a été abandonnée au profit d'un overlay progressif à 4 paliers, qui réduit drastiquement les whipsaws sans diminuer significativement la protection en bear market profond.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rPr>
          <w:tblHeader/>
        </w:trPr>
        <w:tc>
          <w:tcPr>
            <w:tcW w:type="dxa" w:w="3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Position de CW8 vs MM200</w:t>
            </w:r>
          </w:p>
        </w:tc>
        <w:tc>
          <w:tcPr>
            <w:tcW w:type="dxa" w:w="2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Exposition allocation</w:t>
            </w:r>
          </w:p>
        </w:tc>
        <w:tc>
          <w:tcPr>
            <w:tcW w:type="dxa" w:w="28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Cash</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 MM200</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100 %</w:t>
            </w:r>
          </w:p>
        </w:tc>
        <w:tc>
          <w:tcPr>
            <w:tcW w:type="dxa" w:w="28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r>
      <w:tr>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 à -5 % sous MM200</w:t>
            </w:r>
          </w:p>
        </w:tc>
        <w:tc>
          <w:tcPr>
            <w:tcW w:type="dxa" w:w="2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70 %</w:t>
            </w:r>
          </w:p>
        </w:tc>
        <w:tc>
          <w:tcPr>
            <w:tcW w:type="dxa" w:w="2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30 %</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-5 % à -10 % sous MM200</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40 %</w:t>
            </w:r>
          </w:p>
        </w:tc>
        <w:tc>
          <w:tcPr>
            <w:tcW w:type="dxa" w:w="28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60 %</w:t>
            </w:r>
          </w:p>
        </w:tc>
      </w:tr>
      <w:tr>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&lt; -10 % sous MM200</w:t>
            </w:r>
          </w:p>
        </w:tc>
        <w:tc>
          <w:tcPr>
            <w:tcW w:type="dxa" w:w="2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c>
          <w:tcPr>
            <w:tcW w:type="dxa" w:w="28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100 %</w:t>
            </w:r>
          </w:p>
        </w:tc>
      </w:tr>
    </w:tbl>
    <w:p>
      <w:pPr>
        <w:spacing w:after="240"/>
      </w:pPr>
    </w:p>
    <w:p>
      <w:pPr>
        <w:spacing w:after="120" w:before="0" w:line="300"/>
      </w:pPr>
      <w:r>
        <w:rPr>
          <w:rFonts w:ascii="Calibri" w:cs="Calibri" w:eastAsia="Calibri" w:hAnsi="Calibri"/>
          <w:b/>
          <w:bCs/>
          <w:color w:val="1F1F1F"/>
          <w:sz w:val="22"/>
          <w:szCs w:val="22"/>
        </w:rPr>
        <w:t xml:space="preserve">Logique : </w:t>
      </w:r>
      <w:r>
        <w:rPr>
          <w:rFonts w:ascii="Calibri" w:cs="Calibri" w:eastAsia="Calibri" w:hAnsi="Calibri"/>
          <w:color w:val="1F1F1F"/>
          <w:sz w:val="22"/>
          <w:szCs w:val="22"/>
        </w:rPr>
        <w:t xml:space="preserve">le bear market sévère reste pleinement protégé (à -10 % sous MM200 on est à 100 % cash, comme dans la version binaire). En revanche, les oscillations modérées autour de la MM200 (typiques des marchés latéraux) ne déclenchent plus une sortie totale, juste un dégagement partiel. Estimation : whipsaws divisés par 3 à 4 versus la règle binaire.</w:t>
      </w:r>
    </w:p>
    <w:p>
      <w:pPr>
        <w:spacing w:after="240"/>
      </w:pPr>
    </w:p>
    <w:p>
      <w:pPr>
        <w:spacing w:after="120" w:before="0" w:line="300"/>
      </w:pPr>
      <w:r>
        <w:rPr>
          <w:rFonts w:ascii="Calibri" w:cs="Calibri" w:eastAsia="Calibri" w:hAnsi="Calibri"/>
          <w:color w:val="1F1F1F"/>
          <w:sz w:val="22"/>
          <w:szCs w:val="22"/>
        </w:rPr>
        <w:t xml:space="preserve">Inspirée de la stratégie « Ivy Portfolio » de Mebane Faber dans sa version progressive. Backtests historiques sur stratégies de trend-following à paliers : réduction du drawdown maximal d'environ 35-45 % (vs 40-50 % pour la version binaire) au prix d'une sous-performance moindre en période haussière (~0,5-0,8 % annualisé vs ~1 %).</w:t>
      </w:r>
    </w:p>
    <w:p>
      <w:pPr>
        <w:pStyle w:val="Heading2"/>
        <w:spacing w:after="140" w:before="280"/>
      </w:pPr>
      <w:r>
        <w:rPr>
          <w:rFonts w:ascii="Calibri" w:cs="Calibri" w:eastAsia="Calibri" w:hAnsi="Calibri"/>
          <w:b/>
          <w:bCs/>
          <w:color w:val="1F4E79"/>
          <w:sz w:val="26"/>
          <w:szCs w:val="26"/>
        </w:rPr>
        <w:t xml:space="preserve">4.5 Cycle d'exécution mensuel</w:t>
      </w:r>
    </w:p>
    <w:p>
      <w:pPr>
        <w:spacing w:after="120" w:before="0" w:line="300"/>
      </w:pPr>
      <w:r>
        <w:rPr>
          <w:rFonts w:ascii="Calibri" w:cs="Calibri" w:eastAsia="Calibri" w:hAnsi="Calibri"/>
          <w:color w:val="1F1F1F"/>
          <w:sz w:val="22"/>
          <w:szCs w:val="22"/>
        </w:rPr>
        <w:t xml:space="preserve">Le 1er jour ouvré de chaque mois, le script d'automatisation exécute la séquence suivante, sur la base des prix de clôture du dernier jour ouvré du mois précédent :</w:t>
      </w:r>
    </w:p>
    <w:p>
      <w:pPr>
        <w:pStyle w:val="ListParagraph"/>
        <w:numPr>
          <w:ilvl w:val="0"/>
          <w:numId w:val="3"/>
        </w:numPr>
        <w:spacing w:after="80" w:line="280"/>
      </w:pPr>
      <w:r>
        <w:rPr>
          <w:rFonts w:ascii="Calibri" w:cs="Calibri" w:eastAsia="Calibri" w:hAnsi="Calibri"/>
          <w:color w:val="1F1F1F"/>
          <w:sz w:val="22"/>
          <w:szCs w:val="22"/>
        </w:rPr>
        <w:t xml:space="preserve">Calcul du signal défensif (CW8 vs MM200, position en pourcentage). Détermination de l'exposition cible selon la grille à 4 paliers.</w:t>
      </w:r>
    </w:p>
    <w:p>
      <w:pPr>
        <w:pStyle w:val="ListParagraph"/>
        <w:numPr>
          <w:ilvl w:val="0"/>
          <w:numId w:val="3"/>
        </w:numPr>
        <w:spacing w:after="80" w:line="280"/>
      </w:pPr>
      <w:r>
        <w:rPr>
          <w:rFonts w:ascii="Calibri" w:cs="Calibri" w:eastAsia="Calibri" w:hAnsi="Calibri"/>
          <w:color w:val="1F1F1F"/>
          <w:sz w:val="22"/>
          <w:szCs w:val="22"/>
        </w:rPr>
        <w:t xml:space="preserve">Calcul du momentum 6 mois sur les 5 ETF, classement, attribution des tilts (+3/0/-3 pts). Application uniquement sur la fraction allocation.</w:t>
      </w:r>
    </w:p>
    <w:p>
      <w:pPr>
        <w:pStyle w:val="ListParagraph"/>
        <w:numPr>
          <w:ilvl w:val="0"/>
          <w:numId w:val="3"/>
        </w:numPr>
        <w:spacing w:after="80" w:line="280"/>
      </w:pPr>
      <w:r>
        <w:rPr>
          <w:rFonts w:ascii="Calibri" w:cs="Calibri" w:eastAsia="Calibri" w:hAnsi="Calibri"/>
          <w:color w:val="1F1F1F"/>
          <w:sz w:val="22"/>
          <w:szCs w:val="22"/>
        </w:rPr>
        <w:t xml:space="preserve">Détermination de l'allocation tactique cible du mois (couche 1 × exposition + couche 2).</w:t>
      </w:r>
    </w:p>
    <w:p>
      <w:pPr>
        <w:pStyle w:val="ListParagraph"/>
        <w:numPr>
          <w:ilvl w:val="0"/>
          <w:numId w:val="3"/>
        </w:numPr>
        <w:spacing w:after="80" w:line="280"/>
      </w:pPr>
      <w:r>
        <w:rPr>
          <w:rFonts w:ascii="Calibri" w:cs="Calibri" w:eastAsia="Calibri" w:hAnsi="Calibri"/>
          <w:color w:val="1F1F1F"/>
          <w:sz w:val="22"/>
          <w:szCs w:val="22"/>
        </w:rPr>
        <w:t xml:space="preserve">Comparaison à l'allocation actuelle du portefeuille. Génération d'un ordre de rebalancement uniquement si l'écart sur une ligne dépasse 5 % en valeur absolue.</w:t>
      </w:r>
    </w:p>
    <w:p>
      <w:pPr>
        <w:pStyle w:val="ListParagraph"/>
        <w:numPr>
          <w:ilvl w:val="0"/>
          <w:numId w:val="3"/>
        </w:numPr>
        <w:spacing w:after="80" w:line="280"/>
      </w:pPr>
      <w:r>
        <w:rPr>
          <w:rFonts w:ascii="Calibri" w:cs="Calibri" w:eastAsia="Calibri" w:hAnsi="Calibri"/>
          <w:color w:val="1F1F1F"/>
          <w:sz w:val="22"/>
          <w:szCs w:val="22"/>
        </w:rPr>
        <w:t xml:space="preserve">Allocation prioritaire du DCA mensuel (1 000 €) sur la classe la plus sous-pondérée par rapport à la cible tactique.</w:t>
      </w:r>
    </w:p>
    <w:p>
      <w:pPr>
        <w:pStyle w:val="ListParagraph"/>
        <w:numPr>
          <w:ilvl w:val="0"/>
          <w:numId w:val="3"/>
        </w:numPr>
        <w:spacing w:after="80" w:line="280"/>
      </w:pPr>
      <w:r>
        <w:rPr>
          <w:rFonts w:ascii="Calibri" w:cs="Calibri" w:eastAsia="Calibri" w:hAnsi="Calibri"/>
          <w:color w:val="1F1F1F"/>
          <w:sz w:val="22"/>
          <w:szCs w:val="22"/>
        </w:rPr>
        <w:t xml:space="preserve">Exécution des ordres dans l'ordre vente → attente settlement T+2 → achat (gestion imposée par la nature cash strict du PEA).</w:t>
      </w:r>
    </w:p>
    <w:p>
      <w:pPr>
        <w:spacing w:after="200"/>
      </w:pPr>
    </w:p>
    <w:p>
      <w:pPr>
        <w:pStyle w:val="Heading3"/>
        <w:spacing w:after="100" w:before="220"/>
      </w:pPr>
      <w:r>
        <w:rPr>
          <w:rFonts w:ascii="Calibri" w:cs="Calibri" w:eastAsia="Calibri" w:hAnsi="Calibri"/>
          <w:b/>
          <w:bCs/>
          <w:color w:val="2E75B6"/>
          <w:sz w:val="23"/>
          <w:szCs w:val="23"/>
        </w:rPr>
        <w:t xml:space="preserve">Garde-fous opérationnels</w:t>
      </w:r>
    </w:p>
    <w:p>
      <w:pPr>
        <w:spacing w:after="120" w:before="0" w:line="300"/>
      </w:pPr>
      <w:r>
        <w:rPr>
          <w:rFonts w:ascii="Calibri" w:cs="Calibri" w:eastAsia="Calibri" w:hAnsi="Calibri"/>
          <w:color w:val="1F1F1F"/>
          <w:sz w:val="22"/>
          <w:szCs w:val="22"/>
        </w:rPr>
        <w:t xml:space="preserve">Trois contraintes appliquées en superposition à la mécanique principale, pour éviter le sur-trading et préserver l'efficacité économique de chaque ordre :</w:t>
      </w:r>
    </w:p>
    <w:p>
      <w:pPr>
        <w:pStyle w:val="ListParagraph"/>
        <w:numPr>
          <w:ilvl w:val="0"/>
          <w:numId w:val="2"/>
        </w:numPr>
        <w:spacing w:after="80" w:line="280"/>
      </w:pPr>
      <w:r>
        <w:rPr>
          <w:rFonts w:ascii="Calibri" w:cs="Calibri" w:eastAsia="Calibri" w:hAnsi="Calibri"/>
          <w:b/>
          <w:bCs/>
          <w:color w:val="1F1F1F"/>
          <w:sz w:val="22"/>
          <w:szCs w:val="22"/>
        </w:rPr>
        <w:t xml:space="preserve">Bande morte de rebalancement : 5 %. </w:t>
      </w:r>
      <w:r>
        <w:rPr>
          <w:rFonts w:ascii="Calibri" w:cs="Calibri" w:eastAsia="Calibri" w:hAnsi="Calibri"/>
          <w:color w:val="1F1F1F"/>
          <w:sz w:val="22"/>
          <w:szCs w:val="22"/>
        </w:rPr>
        <w:t xml:space="preserve">En dessous de cet écart, on laisse dériver. Évite la génération d'ordres marginaux dont le bénéfice est noyé dans le bruit.</w:t>
      </w:r>
    </w:p>
    <w:p>
      <w:pPr>
        <w:pStyle w:val="ListParagraph"/>
        <w:numPr>
          <w:ilvl w:val="0"/>
          <w:numId w:val="2"/>
        </w:numPr>
        <w:spacing w:after="80" w:line="280"/>
      </w:pPr>
      <w:r>
        <w:rPr>
          <w:rFonts w:ascii="Calibri" w:cs="Calibri" w:eastAsia="Calibri" w:hAnsi="Calibri"/>
          <w:b/>
          <w:bCs/>
          <w:color w:val="1F1F1F"/>
          <w:sz w:val="22"/>
          <w:szCs w:val="22"/>
        </w:rPr>
        <w:t xml:space="preserve">Seuil minimal d'ordre : 250 €. </w:t>
      </w:r>
      <w:r>
        <w:rPr>
          <w:rFonts w:ascii="Calibri" w:cs="Calibri" w:eastAsia="Calibri" w:hAnsi="Calibri"/>
          <w:color w:val="1F1F1F"/>
          <w:sz w:val="22"/>
          <w:szCs w:val="22"/>
        </w:rPr>
        <w:t xml:space="preserve">Aucun ordre inférieur à 250 € n'est généré. À 1,25 € de frais minimum IBKR, un ordre de 100 € représente 1,25 % de friction — économiquement absurde. Le poids non rebalancé est reporté au mois suivant.</w:t>
      </w:r>
    </w:p>
    <w:p>
      <w:pPr>
        <w:pStyle w:val="ListParagraph"/>
        <w:numPr>
          <w:ilvl w:val="0"/>
          <w:numId w:val="2"/>
        </w:numPr>
        <w:spacing w:after="80" w:line="280"/>
      </w:pPr>
      <w:r>
        <w:rPr>
          <w:rFonts w:ascii="Calibri" w:cs="Calibri" w:eastAsia="Calibri" w:hAnsi="Calibri"/>
          <w:b/>
          <w:bCs/>
          <w:color w:val="1F1F1F"/>
          <w:sz w:val="22"/>
          <w:szCs w:val="22"/>
        </w:rPr>
        <w:t xml:space="preserve">Cap de fréquence : 1 rebalancement par mois maximum. </w:t>
      </w:r>
      <w:r>
        <w:rPr>
          <w:rFonts w:ascii="Calibri" w:cs="Calibri" w:eastAsia="Calibri" w:hAnsi="Calibri"/>
          <w:color w:val="1F1F1F"/>
          <w:sz w:val="22"/>
          <w:szCs w:val="22"/>
        </w:rPr>
        <w:t xml:space="preserve">Indépendamment des signaux intra-mois éventuels, la stratégie ne s'exécute qu'une seule fois par cycle. Évite la sur-réactivité et lisse l'exécution.</w:t>
      </w:r>
    </w:p>
    <w:p>
      <w:pPr>
        <w:pStyle w:val="Heading2"/>
        <w:spacing w:after="140" w:before="280"/>
      </w:pPr>
      <w:r>
        <w:rPr>
          <w:rFonts w:ascii="Calibri" w:cs="Calibri" w:eastAsia="Calibri" w:hAnsi="Calibri"/>
          <w:b/>
          <w:bCs/>
          <w:color w:val="1F4E79"/>
          <w:sz w:val="26"/>
          <w:szCs w:val="26"/>
        </w:rPr>
        <w:t xml:space="preserve">4.6 Performance et risque attendus</w:t>
      </w:r>
    </w:p>
    <w:p>
      <w:pPr>
        <w:spacing w:after="120" w:before="0" w:line="300"/>
      </w:pPr>
      <w:r>
        <w:rPr>
          <w:rFonts w:ascii="Calibri" w:cs="Calibri" w:eastAsia="Calibri" w:hAnsi="Calibri"/>
          <w:color w:val="1F1F1F"/>
          <w:sz w:val="22"/>
          <w:szCs w:val="22"/>
        </w:rPr>
        <w:t xml:space="preserve">Estimations sur la base de backtests indicatifs de stratégies similaires (à valider par backtest spécifique sur cet univers)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Indicateur</w:t>
            </w:r>
          </w:p>
        </w:tc>
        <w:tc>
          <w:tcPr>
            <w:tcW w:type="dxa" w:w="2913"/>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Stratégie</w:t>
            </w:r>
          </w:p>
        </w:tc>
        <w:tc>
          <w:tcPr>
            <w:tcW w:type="dxa" w:w="2913"/>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Buy-and-hold pur</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Performance annualisée</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~7-8 %</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~8-9 %</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Drawdown maximal</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-25 % à -30 %</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-50 % à -55 %</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Volatilité annualisée</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10-12 %</w:t>
            </w:r>
          </w:p>
        </w:tc>
        <w:tc>
          <w:tcPr>
            <w:tcW w:type="dxa" w:w="2913"/>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15-17 %</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Sharpe ratio</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Meilleur de 15-25 %</w:t>
            </w:r>
          </w:p>
        </w:tc>
        <w:tc>
          <w:tcPr>
            <w:tcW w:type="dxa" w:w="29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Référence</w:t>
            </w:r>
          </w:p>
        </w:tc>
      </w:tr>
    </w:tbl>
    <w:p>
      <w:pPr>
        <w:spacing w:after="240"/>
      </w:pPr>
    </w:p>
    <w:p>
      <w:pPr>
        <w:spacing w:after="120" w:before="0" w:line="300"/>
      </w:pPr>
      <w:r>
        <w:rPr>
          <w:rFonts w:ascii="Calibri" w:cs="Calibri" w:eastAsia="Calibri" w:hAnsi="Calibri"/>
          <w:b/>
          <w:bCs/>
          <w:color w:val="1F1F1F"/>
          <w:sz w:val="22"/>
          <w:szCs w:val="22"/>
        </w:rPr>
        <w:t xml:space="preserve">Trade-off accepté : </w:t>
      </w:r>
      <w:r>
        <w:rPr>
          <w:rFonts w:ascii="Calibri" w:cs="Calibri" w:eastAsia="Calibri" w:hAnsi="Calibri"/>
          <w:color w:val="1F1F1F"/>
          <w:sz w:val="22"/>
          <w:szCs w:val="22"/>
        </w:rPr>
        <w:t xml:space="preserve">sacrifice d'environ 1 % de rendement annuel en échange d'une expérience d'investissement radicalement moins violente. Sur 20 ans, écart de capital terminal d'environ 15-20 % en faveur du buy-and-hold pur, mais avec des phases de stress (2008, 2020, 2022) infiniment plus tolérables.</w:t>
      </w:r>
    </w:p>
    <w:p>
      <w:pPr>
        <w:spacing w:after="200"/>
      </w:pPr>
    </w:p>
    <w:p>
      <w:pPr>
        <w:spacing w:after="120" w:before="0" w:line="300"/>
      </w:pPr>
      <w:r>
        <w:rPr>
          <w:rFonts w:ascii="Calibri" w:cs="Calibri" w:eastAsia="Calibri" w:hAnsi="Calibri"/>
          <w:b/>
          <w:bCs/>
          <w:color w:val="1F1F1F"/>
          <w:sz w:val="22"/>
          <w:szCs w:val="22"/>
        </w:rPr>
        <w:t xml:space="preserve">Engagement comportemental préalable : </w:t>
      </w:r>
      <w:r>
        <w:rPr>
          <w:rFonts w:ascii="Calibri" w:cs="Calibri" w:eastAsia="Calibri" w:hAnsi="Calibri"/>
          <w:color w:val="1F1F1F"/>
          <w:sz w:val="22"/>
          <w:szCs w:val="22"/>
        </w:rPr>
        <w:t xml:space="preserve">la stratégie peut sous-performer un buy-and-hold mondial pendant plusieurs années consécutives, y compris en marché haussier prolongé. Cette sous-performance relative est explicitement considérée comme un coût acceptable en échange de la réduction du drawdown maximal et de la volatilité. La tentation de revenir au buy-and-hold pur après 2-3 ans de tracking error négatif est le principal risque de la stratégie. La règle de discipline est non négociable : aucun arrêt ni modification de la stratégie sur la base d'une sous-performance relative observée.</w:t>
      </w:r>
    </w:p>
    <w:p>
      <w:pPr>
        <w:spacing w:after="200"/>
      </w:pPr>
    </w:p>
    <w:p>
      <w:pPr>
        <w:spacing w:after="120" w:before="0" w:line="300"/>
      </w:pPr>
      <w:r>
        <w:rPr>
          <w:rFonts w:ascii="Calibri" w:cs="Calibri" w:eastAsia="Calibri" w:hAnsi="Calibri"/>
          <w:b/>
          <w:bCs/>
          <w:color w:val="1F1F1F"/>
          <w:sz w:val="22"/>
          <w:szCs w:val="22"/>
        </w:rPr>
        <w:t xml:space="preserve">Note sur les estimations de frais : </w:t>
      </w:r>
      <w:r>
        <w:rPr>
          <w:rFonts w:ascii="Calibri" w:cs="Calibri" w:eastAsia="Calibri" w:hAnsi="Calibri"/>
          <w:color w:val="1F1F1F"/>
          <w:sz w:val="22"/>
          <w:szCs w:val="22"/>
        </w:rPr>
        <w:t xml:space="preserve">les ~4 379 € d'économie nominale et ~7 000-8 000 € de valeur terminale capitalisée présentés en section 3.3 reposaient sur une hypothèse de turnover de 4 ordres mensuels portant sur 8 % de l'encours. Avec les garde-fous opérationnels introduits (bande morte 5 %, seuil minimal 250 €, cap 1 rebalance/mois), le turnover effectif sera significativement plus faible — typiquement 1 à 3 ordres mensuels selon le régime de marché. L'économie de frais réelle est donc à réviser à la baisse : estimation actualisée de l'ordre de </w:t>
      </w:r>
      <w:r>
        <w:rPr>
          <w:rFonts w:ascii="Calibri" w:cs="Calibri" w:eastAsia="Calibri" w:hAnsi="Calibri"/>
          <w:b/>
          <w:bCs/>
          <w:color w:val="1F1F1F"/>
          <w:sz w:val="22"/>
          <w:szCs w:val="22"/>
        </w:rPr>
        <w:t xml:space="preserve">3 000 à 4 500 € en valeur terminale capitalisée</w:t>
      </w:r>
      <w:r>
        <w:rPr>
          <w:rFonts w:ascii="Calibri" w:cs="Calibri" w:eastAsia="Calibri" w:hAnsi="Calibri"/>
          <w:color w:val="1F1F1F"/>
          <w:sz w:val="22"/>
          <w:szCs w:val="22"/>
        </w:rPr>
        <w:t xml:space="preserve"> sur 20 ans. L'argument frais reste valide mais devient secondaire devant l'argument API et automatisation.</w:t>
      </w:r>
    </w:p>
    <w:p>
      <w:pPr>
        <w:spacing w:after="240"/>
      </w:pPr>
    </w:p>
    <w:p>
      <w:pPr>
        <w:pStyle w:val="Heading3"/>
        <w:spacing w:after="100" w:before="220"/>
      </w:pPr>
      <w:r>
        <w:rPr>
          <w:rFonts w:ascii="Calibri" w:cs="Calibri" w:eastAsia="Calibri" w:hAnsi="Calibri"/>
          <w:b/>
          <w:bCs/>
          <w:color w:val="2E75B6"/>
          <w:sz w:val="23"/>
          <w:szCs w:val="23"/>
        </w:rPr>
        <w:t xml:space="preserve">Risque devise indirect</w:t>
      </w:r>
    </w:p>
    <w:p>
      <w:pPr>
        <w:spacing w:after="120" w:before="0" w:line="300"/>
      </w:pPr>
      <w:r>
        <w:rPr>
          <w:rFonts w:ascii="Calibri" w:cs="Calibri" w:eastAsia="Calibri" w:hAnsi="Calibri"/>
          <w:color w:val="1F1F1F"/>
          <w:sz w:val="22"/>
          <w:szCs w:val="22"/>
        </w:rPr>
        <w:t xml:space="preserve">Bien que tous les ETF du pool soient libellés en EUR et éligibles PEA, l'exposition économique sous-jacente reste largement dollarisée. Les ETF synthétiques Amundi PEA S&amp;P 500 et Nasdaq-100 répliquent des indices US dont les composantes sont en USD ; le swap absorbe le risque de change technique au niveau du fonds, mais pas le risque économique.</w:t>
      </w:r>
    </w:p>
    <w:p>
      <w:pPr>
        <w:spacing w:after="120" w:before="0" w:line="300"/>
      </w:pPr>
      <w:r>
        <w:rPr>
          <w:rFonts w:ascii="Calibri" w:cs="Calibri" w:eastAsia="Calibri" w:hAnsi="Calibri"/>
          <w:color w:val="1F1F1F"/>
          <w:sz w:val="22"/>
          <w:szCs w:val="22"/>
        </w:rPr>
        <w:t xml:space="preserve">Sur l'allocation cible (45 % US + 15 % émergents partiellement dollarisés), environ 50-60 % du portefeuille reste économiquement exposé au dollar américain. Cette exposition est considérée comme acceptable dans une logique patrimoniale long terme, le risque devise étant historiquement moins structurant que le risque actions lui-même.</w:t>
      </w:r>
    </w:p>
    <w:p>
      <w:pPr>
        <w:pStyle w:val="Heading2"/>
        <w:spacing w:after="140" w:before="280"/>
      </w:pPr>
      <w:r>
        <w:rPr>
          <w:rFonts w:ascii="Calibri" w:cs="Calibri" w:eastAsia="Calibri" w:hAnsi="Calibri"/>
          <w:b/>
          <w:bCs/>
          <w:color w:val="1F4E79"/>
          <w:sz w:val="26"/>
          <w:szCs w:val="26"/>
        </w:rPr>
        <w:t xml:space="preserve">4.7 Trajectoire de convergence (glide path)</w:t>
      </w:r>
    </w:p>
    <w:p>
      <w:pPr>
        <w:spacing w:after="120" w:before="0" w:line="300"/>
      </w:pPr>
      <w:r>
        <w:rPr>
          <w:rFonts w:ascii="Calibri" w:cs="Calibri" w:eastAsia="Calibri" w:hAnsi="Calibri"/>
          <w:color w:val="1F1F1F"/>
          <w:sz w:val="22"/>
          <w:szCs w:val="22"/>
        </w:rPr>
        <w:t xml:space="preserve">Le portefeuille existant au moment du transfert ne correspond pas à l'allocation cible définie en section 4.2. Une transition contrôlée, sans vente, est nécessaire pour ramener progressivement la composition réelle vers la cible.</w:t>
      </w:r>
    </w:p>
    <w:p>
      <w:pPr>
        <w:pStyle w:val="Heading3"/>
        <w:spacing w:after="100" w:before="220"/>
      </w:pPr>
      <w:r>
        <w:rPr>
          <w:rFonts w:ascii="Calibri" w:cs="Calibri" w:eastAsia="Calibri" w:hAnsi="Calibri"/>
          <w:b/>
          <w:bCs/>
          <w:color w:val="2E75B6"/>
          <w:sz w:val="23"/>
          <w:szCs w:val="23"/>
        </w:rPr>
        <w:t xml:space="preserve">État de départ vs cible</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700"/>
        <w:gridCol w:w="1726"/>
      </w:tblGrid>
      <w:tr>
        <w:trPr>
          <w:tblHeader/>
        </w:trPr>
        <w:tc>
          <w:tcPr>
            <w:tcW w:type="dxa" w:w="3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ETF</w:t>
            </w:r>
          </w:p>
        </w:tc>
        <w:tc>
          <w:tcPr>
            <w:tcW w:type="dxa" w:w="1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 actuel</w:t>
            </w:r>
          </w:p>
        </w:tc>
        <w:tc>
          <w:tcPr>
            <w:tcW w:type="dxa" w:w="1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 cible</w:t>
            </w:r>
          </w:p>
        </w:tc>
        <w:tc>
          <w:tcPr>
            <w:tcW w:type="dxa" w:w="17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Écart</w:t>
            </w:r>
          </w:p>
        </w:tc>
      </w:tr>
      <w:t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Nasdaq-100</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56 %</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15 %</w:t>
            </w:r>
          </w:p>
        </w:tc>
        <w:tc>
          <w:tcPr>
            <w:tcW w:type="dxa" w:w="17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+41 pts</w:t>
            </w:r>
          </w:p>
        </w:tc>
      </w:tr>
      <w:tr>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BNPP Easy Stoxx Europe 600</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33 %</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25 %</w:t>
            </w:r>
          </w:p>
        </w:tc>
        <w:tc>
          <w:tcPr>
            <w:tcW w:type="dxa" w:w="17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+8 pts</w:t>
            </w:r>
          </w:p>
        </w:tc>
      </w:tr>
      <w:t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MSCI Emerging ESG</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9 %</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15 %</w:t>
            </w:r>
          </w:p>
        </w:tc>
        <w:tc>
          <w:tcPr>
            <w:tcW w:type="dxa" w:w="17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−6 pts</w:t>
            </w:r>
          </w:p>
        </w:tc>
      </w:tr>
      <w:tr>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S&amp;P 500</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30 %</w:t>
            </w:r>
          </w:p>
        </w:tc>
        <w:tc>
          <w:tcPr>
            <w:tcW w:type="dxa" w:w="17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−30 pts</w:t>
            </w:r>
          </w:p>
        </w:tc>
      </w:tr>
      <w:t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Europe Small Cap</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10 %</w:t>
            </w:r>
          </w:p>
        </w:tc>
        <w:tc>
          <w:tcPr>
            <w:tcW w:type="dxa" w:w="17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−10 pts</w:t>
            </w:r>
          </w:p>
        </w:tc>
      </w:tr>
      <w:tr>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Cash structurel</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5 %</w:t>
            </w:r>
          </w:p>
        </w:tc>
        <w:tc>
          <w:tcPr>
            <w:tcW w:type="dxa" w:w="17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 pts</w:t>
            </w:r>
          </w:p>
        </w:tc>
      </w:tr>
    </w:tbl>
    <w:p>
      <w:pPr>
        <w:spacing w:after="240"/>
      </w:pPr>
    </w:p>
    <w:p>
      <w:pPr>
        <w:spacing w:after="120" w:before="0" w:line="300"/>
      </w:pPr>
      <w:r>
        <w:rPr>
          <w:rFonts w:ascii="Calibri" w:cs="Calibri" w:eastAsia="Calibri" w:hAnsi="Calibri"/>
          <w:b/>
          <w:bCs/>
          <w:color w:val="1F1F1F"/>
          <w:sz w:val="22"/>
          <w:szCs w:val="22"/>
        </w:rPr>
        <w:t xml:space="preserve">Principe de la trajectoire : </w:t>
      </w:r>
      <w:r>
        <w:rPr>
          <w:rFonts w:ascii="Calibri" w:cs="Calibri" w:eastAsia="Calibri" w:hAnsi="Calibri"/>
          <w:color w:val="1F1F1F"/>
          <w:sz w:val="22"/>
          <w:szCs w:val="22"/>
        </w:rPr>
        <w:t xml:space="preserve">convergence par dilution via DCA orienté, sans vente brutale. Le DCA mensuel est dirigé prioritairement vers les classes manquantes ou sous-pondérées, ce qui réduit mécaniquement le poids relatif des classes sur-pondérées sans cristalliser de plus-values, sans subir le settlement T+2 de bascule, et sans générer de tracking error temporaire.</w:t>
      </w:r>
    </w:p>
    <w:p>
      <w:pPr>
        <w:pStyle w:val="Heading3"/>
        <w:spacing w:after="100" w:before="220"/>
      </w:pPr>
      <w:r>
        <w:rPr>
          <w:rFonts w:ascii="Calibri" w:cs="Calibri" w:eastAsia="Calibri" w:hAnsi="Calibri"/>
          <w:b/>
          <w:bCs/>
          <w:color w:val="2E75B6"/>
          <w:sz w:val="23"/>
          <w:szCs w:val="23"/>
        </w:rPr>
        <w:t xml:space="preserve">Règle d'allocation pendant la phase de convergence</w:t>
      </w:r>
    </w:p>
    <w:p>
      <w:pPr>
        <w:spacing w:after="120" w:before="0" w:line="300"/>
      </w:pPr>
      <w:r>
        <w:rPr>
          <w:rFonts w:ascii="Calibri" w:cs="Calibri" w:eastAsia="Calibri" w:hAnsi="Calibri"/>
          <w:color w:val="1F1F1F"/>
          <w:sz w:val="22"/>
          <w:szCs w:val="22"/>
        </w:rPr>
        <w:t xml:space="preserve">Pendant les 18 premiers mois post-transfert, l'allocation du DCA mensuel suit cette priorité, dans l'ordre :</w:t>
      </w:r>
    </w:p>
    <w:p>
      <w:pPr>
        <w:pStyle w:val="ListParagraph"/>
        <w:numPr>
          <w:ilvl w:val="0"/>
          <w:numId w:val="3"/>
        </w:numPr>
        <w:spacing w:after="80" w:line="280"/>
      </w:pPr>
      <w:r>
        <w:rPr>
          <w:rFonts w:ascii="Calibri" w:cs="Calibri" w:eastAsia="Calibri" w:hAnsi="Calibri"/>
          <w:color w:val="1F1F1F"/>
          <w:sz w:val="22"/>
          <w:szCs w:val="22"/>
        </w:rPr>
        <w:t xml:space="preserve">Si une ligne cible représente moins de 30 % de sa pondération cible (en absolu) → DCA prioritaire dessus.</w:t>
      </w:r>
    </w:p>
    <w:p>
      <w:pPr>
        <w:pStyle w:val="ListParagraph"/>
        <w:numPr>
          <w:ilvl w:val="0"/>
          <w:numId w:val="3"/>
        </w:numPr>
        <w:spacing w:after="80" w:line="280"/>
      </w:pPr>
      <w:r>
        <w:rPr>
          <w:rFonts w:ascii="Calibri" w:cs="Calibri" w:eastAsia="Calibri" w:hAnsi="Calibri"/>
          <w:color w:val="1F1F1F"/>
          <w:sz w:val="22"/>
          <w:szCs w:val="22"/>
        </w:rPr>
        <w:t xml:space="preserve">Sinon, DCA sur la ligne avec le plus grand écart négatif à la cible (en points de pourcentage).</w:t>
      </w:r>
    </w:p>
    <w:p>
      <w:pPr>
        <w:pStyle w:val="ListParagraph"/>
        <w:numPr>
          <w:ilvl w:val="0"/>
          <w:numId w:val="3"/>
        </w:numPr>
        <w:spacing w:after="80" w:line="280"/>
      </w:pPr>
      <w:r>
        <w:rPr>
          <w:rFonts w:ascii="Calibri" w:cs="Calibri" w:eastAsia="Calibri" w:hAnsi="Calibri"/>
          <w:color w:val="1F1F1F"/>
          <w:sz w:val="22"/>
          <w:szCs w:val="22"/>
        </w:rPr>
        <w:t xml:space="preserve">Aucun rebalancement par vente pendant cette phase.</w:t>
      </w:r>
    </w:p>
    <w:p>
      <w:pPr>
        <w:pStyle w:val="ListParagraph"/>
        <w:numPr>
          <w:ilvl w:val="0"/>
          <w:numId w:val="3"/>
        </w:numPr>
        <w:spacing w:after="80" w:line="280"/>
      </w:pPr>
      <w:r>
        <w:rPr>
          <w:rFonts w:ascii="Calibri" w:cs="Calibri" w:eastAsia="Calibri" w:hAnsi="Calibri"/>
          <w:color w:val="1F1F1F"/>
          <w:sz w:val="22"/>
          <w:szCs w:val="22"/>
        </w:rPr>
        <w:t xml:space="preserve">Aucun overlay défensif activé (la couche défensive arrive en Phase 3).</w:t>
      </w:r>
    </w:p>
    <w:p>
      <w:pPr>
        <w:pStyle w:val="Heading3"/>
        <w:spacing w:after="100" w:before="220"/>
      </w:pPr>
      <w:r>
        <w:rPr>
          <w:rFonts w:ascii="Calibri" w:cs="Calibri" w:eastAsia="Calibri" w:hAnsi="Calibri"/>
          <w:b/>
          <w:bCs/>
          <w:color w:val="2E75B6"/>
          <w:sz w:val="23"/>
          <w:szCs w:val="23"/>
        </w:rPr>
        <w:t xml:space="preserve">Calendrier de convergence indicatif</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4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Période</w:t>
            </w:r>
          </w:p>
        </w:tc>
        <w:tc>
          <w:tcPr>
            <w:tcW w:type="dxa" w:w="3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Cible prioritaire</w:t>
            </w:r>
          </w:p>
        </w:tc>
        <w:tc>
          <w:tcPr>
            <w:tcW w:type="dxa" w:w="34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DCA orienté</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Mois 1-4</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S&amp;P 500 (création de ligne)</w:t>
            </w:r>
          </w:p>
        </w:tc>
        <w:tc>
          <w:tcPr>
            <w:tcW w:type="dxa" w:w="34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1 000 €/mois sur S&amp;P 500</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Mois 5-6</w:t>
            </w:r>
          </w:p>
        </w:tc>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Small Cap Europe (création de ligne)</w:t>
            </w:r>
          </w:p>
        </w:tc>
        <w:tc>
          <w:tcPr>
            <w:tcW w:type="dxa" w:w="34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1 000 €/mois sur Small Cap Europe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Mois 7-10</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S&amp;P 500 (densification)</w:t>
            </w:r>
          </w:p>
        </w:tc>
        <w:tc>
          <w:tcPr>
            <w:tcW w:type="dxa" w:w="34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1 000 €/mois sur S&amp;P 500</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Mois 11-12</w:t>
            </w:r>
          </w:p>
        </w:tc>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Emerging (correction sous-pondération)</w:t>
            </w:r>
          </w:p>
        </w:tc>
        <w:tc>
          <w:tcPr>
            <w:tcW w:type="dxa" w:w="34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1 000 €/mois sur Emerging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Mois 13-18</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Finalisation glide</w:t>
            </w:r>
          </w:p>
        </w:tc>
        <w:tc>
          <w:tcPr>
            <w:tcW w:type="dxa" w:w="34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DCA orienté selon écart à la cible</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Mois 19+</w:t>
            </w:r>
          </w:p>
        </w:tc>
        <w:tc>
          <w:tcPr>
            <w:tcW w:type="dxa" w:w="3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Régime nominal</w:t>
            </w:r>
          </w:p>
        </w:tc>
        <w:tc>
          <w:tcPr>
            <w:tcW w:type="dxa" w:w="34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DCA selon couche tactique de la stratégie</w:t>
            </w:r>
          </w:p>
        </w:tc>
      </w:tr>
    </w:tbl>
    <w:p>
      <w:pPr>
        <w:spacing w:after="240"/>
      </w:pPr>
    </w:p>
    <w:p>
      <w:pPr>
        <w:spacing w:after="120" w:before="0" w:line="300"/>
      </w:pPr>
      <w:r>
        <w:rPr>
          <w:rFonts w:ascii="Calibri" w:cs="Calibri" w:eastAsia="Calibri" w:hAnsi="Calibri"/>
          <w:color w:val="1F1F1F"/>
          <w:sz w:val="22"/>
          <w:szCs w:val="22"/>
        </w:rPr>
        <w:t xml:space="preserve">Note : pendant les premiers mois de la Phase 1 (DCA encore à 500 €/mois jusqu'à fin 2026), le calendrier ci-dessus est appliqué proportionnellement avec un DCA de 500 € au lieu de 1 000 €. La convergence est simplement plus lente.</w:t>
      </w:r>
    </w:p>
    <w:p>
      <w:pPr>
        <w:pStyle w:val="Heading3"/>
        <w:spacing w:after="100" w:before="220"/>
      </w:pPr>
      <w:r>
        <w:rPr>
          <w:rFonts w:ascii="Calibri" w:cs="Calibri" w:eastAsia="Calibri" w:hAnsi="Calibri"/>
          <w:b/>
          <w:bCs/>
          <w:color w:val="2E75B6"/>
          <w:sz w:val="23"/>
          <w:szCs w:val="23"/>
        </w:rPr>
        <w:t xml:space="preserve">Sortie du glide vers le régime nominal</w:t>
      </w:r>
    </w:p>
    <w:p>
      <w:pPr>
        <w:spacing w:after="120" w:before="0" w:line="300"/>
      </w:pPr>
      <w:r>
        <w:rPr>
          <w:rFonts w:ascii="Calibri" w:cs="Calibri" w:eastAsia="Calibri" w:hAnsi="Calibri"/>
          <w:color w:val="1F1F1F"/>
          <w:sz w:val="22"/>
          <w:szCs w:val="22"/>
        </w:rPr>
        <w:t xml:space="preserve">À l'issue des 18 mois de convergence, le portefeuille est proche de la cible mais le Nasdaq peut rester légèrement sur-pondéré (typiquement 18-22 % au lieu des 15 % cibles), car la dilution pure ne permet pas mathématiquement de ramener une ligne très sur-pondérée à sa cible exacte sans vente. Trois options de finalisation :</w:t>
      </w:r>
    </w:p>
    <w:p>
      <w:pPr>
        <w:pStyle w:val="ListParagraph"/>
        <w:numPr>
          <w:ilvl w:val="0"/>
          <w:numId w:val="2"/>
        </w:numPr>
        <w:spacing w:after="80" w:line="280"/>
      </w:pPr>
      <w:r>
        <w:rPr>
          <w:rFonts w:ascii="Calibri" w:cs="Calibri" w:eastAsia="Calibri" w:hAnsi="Calibri"/>
          <w:b/>
          <w:bCs/>
          <w:color w:val="1F1F1F"/>
          <w:sz w:val="22"/>
          <w:szCs w:val="22"/>
        </w:rPr>
        <w:t xml:space="preserve">Option par défaut — accepter l'écart : </w:t>
      </w:r>
      <w:r>
        <w:rPr>
          <w:rFonts w:ascii="Calibri" w:cs="Calibri" w:eastAsia="Calibri" w:hAnsi="Calibri"/>
          <w:color w:val="1F1F1F"/>
          <w:sz w:val="22"/>
          <w:szCs w:val="22"/>
        </w:rPr>
        <w:t xml:space="preserve">un dépassement de 3-5 points sur le Nasdaq reste dans la bande morte de 5 % de la stratégie tactique. Aucun ordre de rééquilibrage n'est déclenché. Vivable à long terme étant donné la corrélation forte Nasdaq / S&amp;P 500.</w:t>
      </w:r>
    </w:p>
    <w:p>
      <w:pPr>
        <w:pStyle w:val="ListParagraph"/>
        <w:numPr>
          <w:ilvl w:val="0"/>
          <w:numId w:val="2"/>
        </w:numPr>
        <w:spacing w:after="80" w:line="280"/>
      </w:pPr>
      <w:r>
        <w:rPr>
          <w:rFonts w:ascii="Calibri" w:cs="Calibri" w:eastAsia="Calibri" w:hAnsi="Calibri"/>
          <w:b/>
          <w:bCs/>
          <w:color w:val="1F1F1F"/>
          <w:sz w:val="22"/>
          <w:szCs w:val="22"/>
        </w:rPr>
        <w:t xml:space="preserve">Option correction unique : </w:t>
      </w:r>
      <w:r>
        <w:rPr>
          <w:rFonts w:ascii="Calibri" w:cs="Calibri" w:eastAsia="Calibri" w:hAnsi="Calibri"/>
          <w:color w:val="1F1F1F"/>
          <w:sz w:val="22"/>
          <w:szCs w:val="22"/>
        </w:rPr>
        <w:t xml:space="preserve">à l'entrée en Phase 2 (couche tactique), un ordre exceptionnel de vente Nasdaq + achat S&amp;P 500 (~1 500 €) pour aligner exactement le portefeuille. Coût : ~3 € de frais et 2 jours de tracking error.</w:t>
      </w:r>
    </w:p>
    <w:p>
      <w:pPr>
        <w:pStyle w:val="ListParagraph"/>
        <w:numPr>
          <w:ilvl w:val="0"/>
          <w:numId w:val="2"/>
        </w:numPr>
        <w:spacing w:after="80" w:line="280"/>
      </w:pPr>
      <w:r>
        <w:rPr>
          <w:rFonts w:ascii="Calibri" w:cs="Calibri" w:eastAsia="Calibri" w:hAnsi="Calibri"/>
          <w:b/>
          <w:bCs/>
          <w:color w:val="1F1F1F"/>
          <w:sz w:val="22"/>
          <w:szCs w:val="22"/>
        </w:rPr>
        <w:t xml:space="preserve">Option attente naturelle : </w:t>
      </w:r>
      <w:r>
        <w:rPr>
          <w:rFonts w:ascii="Calibri" w:cs="Calibri" w:eastAsia="Calibri" w:hAnsi="Calibri"/>
          <w:color w:val="1F1F1F"/>
          <w:sz w:val="22"/>
          <w:szCs w:val="22"/>
        </w:rPr>
        <w:t xml:space="preserve">si la rotation tactique de Phase 2 démarre dans un régime où le Nasdaq sous-performe le S&amp;P 500, le tilt momentum corrigera l'écart organiquement sans intervention spécifique.</w:t>
      </w:r>
    </w:p>
    <w:p>
      <w:pPr>
        <w:spacing w:after="120" w:before="0" w:line="300"/>
      </w:pPr>
      <w:r>
        <w:rPr>
          <w:rFonts w:ascii="Calibri" w:cs="Calibri" w:eastAsia="Calibri" w:hAnsi="Calibri"/>
          <w:color w:val="1F1F1F"/>
          <w:sz w:val="22"/>
          <w:szCs w:val="22"/>
        </w:rPr>
        <w:t xml:space="preserve">Décision différée à la fin du glide : observer la situation réelle après 18 mois et choisir entre les trois options selon le contexte. Pas de décision préalable nécessaire.</w:t>
      </w:r>
    </w:p>
    <w:p>
      <w:r>
        <w:br w:type="page"/>
      </w:r>
    </w:p>
    <w:p>
      <w:pPr>
        <w:pStyle w:val="Heading1"/>
        <w:spacing w:after="180" w:before="360"/>
      </w:pPr>
      <w:r>
        <w:rPr>
          <w:rFonts w:ascii="Calibri" w:cs="Calibri" w:eastAsia="Calibri" w:hAnsi="Calibri"/>
          <w:b/>
          <w:bCs/>
          <w:color w:val="1F4E79"/>
          <w:sz w:val="32"/>
          <w:szCs w:val="32"/>
        </w:rPr>
        <w:t xml:space="preserve">5. Procédure de transfert</w:t>
      </w:r>
    </w:p>
    <w:p>
      <w:pPr>
        <w:pStyle w:val="Heading2"/>
        <w:spacing w:after="140" w:before="280"/>
      </w:pPr>
      <w:r>
        <w:rPr>
          <w:rFonts w:ascii="Calibri" w:cs="Calibri" w:eastAsia="Calibri" w:hAnsi="Calibri"/>
          <w:b/>
          <w:bCs/>
          <w:color w:val="1F4E79"/>
          <w:sz w:val="26"/>
          <w:szCs w:val="26"/>
        </w:rPr>
        <w:t xml:space="preserve">5.1 Principe général</w:t>
      </w:r>
    </w:p>
    <w:p>
      <w:pPr>
        <w:spacing w:after="120" w:before="0" w:line="300"/>
      </w:pPr>
      <w:r>
        <w:rPr>
          <w:rFonts w:ascii="Calibri" w:cs="Calibri" w:eastAsia="Calibri" w:hAnsi="Calibri"/>
          <w:b/>
          <w:bCs/>
          <w:color w:val="1F1F1F"/>
          <w:sz w:val="22"/>
          <w:szCs w:val="22"/>
        </w:rPr>
        <w:t xml:space="preserve">Règle d'or : </w:t>
      </w:r>
      <w:r>
        <w:rPr>
          <w:rFonts w:ascii="Calibri" w:cs="Calibri" w:eastAsia="Calibri" w:hAnsi="Calibri"/>
          <w:color w:val="1F1F1F"/>
          <w:sz w:val="22"/>
          <w:szCs w:val="22"/>
        </w:rPr>
        <w:t xml:space="preserve">ne jamais clôturer le PEA Fortuneo soi-même. Cela casserait l'enveloppe fiscale, déclencherait l'imposition des plus-values et ferait perdre toute l'antériorité accumulée. Le transfert est une procédure spécifique distincte de la clôture, dans laquelle IBKR vient "chercher" le PEA chez Fortuneo en préservant l'antériorité fiscale.</w:t>
      </w:r>
    </w:p>
    <w:p>
      <w:pPr>
        <w:pStyle w:val="Heading2"/>
        <w:spacing w:after="140" w:before="280"/>
      </w:pPr>
      <w:r>
        <w:rPr>
          <w:rFonts w:ascii="Calibri" w:cs="Calibri" w:eastAsia="Calibri" w:hAnsi="Calibri"/>
          <w:b/>
          <w:bCs/>
          <w:color w:val="1F4E79"/>
          <w:sz w:val="26"/>
          <w:szCs w:val="26"/>
        </w:rPr>
        <w:t xml:space="preserve">5.2 Étape 0 — Préparation (semaine -2 à 0)</w:t>
      </w:r>
    </w:p>
    <w:p>
      <w:pPr>
        <w:pStyle w:val="ListParagraph"/>
        <w:numPr>
          <w:ilvl w:val="0"/>
          <w:numId w:val="2"/>
        </w:numPr>
        <w:spacing w:after="80" w:line="280"/>
      </w:pPr>
      <w:r>
        <w:rPr>
          <w:rFonts w:ascii="Calibri" w:cs="Calibri" w:eastAsia="Calibri" w:hAnsi="Calibri"/>
          <w:color w:val="1F1F1F"/>
          <w:sz w:val="22"/>
          <w:szCs w:val="22"/>
        </w:rPr>
        <w:t xml:space="preserve">Vérifier la présence des trois ETF actuels et des deux ETF cibles complémentaires (PE500, Small Cap Europe) dans le catalogue IBKR via Contract Search.</w:t>
      </w:r>
    </w:p>
    <w:p>
      <w:pPr>
        <w:pStyle w:val="ListParagraph"/>
        <w:numPr>
          <w:ilvl w:val="0"/>
          <w:numId w:val="2"/>
        </w:numPr>
        <w:spacing w:after="80" w:line="280"/>
      </w:pPr>
      <w:r>
        <w:rPr>
          <w:rFonts w:ascii="Calibri" w:cs="Calibri" w:eastAsia="Calibri" w:hAnsi="Calibri"/>
          <w:color w:val="1F1F1F"/>
          <w:sz w:val="22"/>
          <w:szCs w:val="22"/>
        </w:rPr>
        <w:t xml:space="preserve">Stabiliser le portefeuille : éviter de passer des ordres importants juste avant le transfert.</w:t>
      </w:r>
    </w:p>
    <w:p>
      <w:pPr>
        <w:pStyle w:val="ListParagraph"/>
        <w:numPr>
          <w:ilvl w:val="0"/>
          <w:numId w:val="2"/>
        </w:numPr>
        <w:spacing w:after="80" w:line="280"/>
      </w:pPr>
      <w:r>
        <w:rPr>
          <w:rFonts w:ascii="Calibri" w:cs="Calibri" w:eastAsia="Calibri" w:hAnsi="Calibri"/>
          <w:color w:val="1F1F1F"/>
          <w:sz w:val="22"/>
          <w:szCs w:val="22"/>
        </w:rPr>
        <w:t xml:space="preserve">Préparer les pièces justificatives : pièce d'identité en cours de validité, justificatif de domicile de moins de 3 mois.</w:t>
      </w:r>
    </w:p>
    <w:p>
      <w:pPr>
        <w:pStyle w:val="Heading2"/>
        <w:spacing w:after="140" w:before="280"/>
      </w:pPr>
      <w:r>
        <w:rPr>
          <w:rFonts w:ascii="Calibri" w:cs="Calibri" w:eastAsia="Calibri" w:hAnsi="Calibri"/>
          <w:b/>
          <w:bCs/>
          <w:color w:val="1F4E79"/>
          <w:sz w:val="26"/>
          <w:szCs w:val="26"/>
        </w:rPr>
        <w:t xml:space="preserve">5.3 Étape 1 — Ouverture du compte PEA chez IBKR (J+0 à J+3)</w:t>
      </w:r>
    </w:p>
    <w:p>
      <w:pPr>
        <w:pStyle w:val="ListParagraph"/>
        <w:numPr>
          <w:ilvl w:val="0"/>
          <w:numId w:val="2"/>
        </w:numPr>
        <w:spacing w:after="80" w:line="280"/>
      </w:pPr>
      <w:r>
        <w:rPr>
          <w:rFonts w:ascii="Calibri" w:cs="Calibri" w:eastAsia="Calibri" w:hAnsi="Calibri"/>
          <w:color w:val="1F1F1F"/>
          <w:sz w:val="22"/>
          <w:szCs w:val="22"/>
        </w:rPr>
        <w:t xml:space="preserve">Ouverture via le Portail Client IBKR, lien dédié « Ouvrir un PEA ».</w:t>
      </w:r>
    </w:p>
    <w:p>
      <w:pPr>
        <w:pStyle w:val="ListParagraph"/>
        <w:numPr>
          <w:ilvl w:val="0"/>
          <w:numId w:val="2"/>
        </w:numPr>
        <w:spacing w:after="80" w:line="280"/>
      </w:pPr>
      <w:r>
        <w:rPr>
          <w:rFonts w:ascii="Calibri" w:cs="Calibri" w:eastAsia="Calibri" w:hAnsi="Calibri"/>
          <w:b/>
          <w:bCs/>
          <w:color w:val="C00000"/>
          <w:sz w:val="22"/>
          <w:szCs w:val="22"/>
        </w:rPr>
        <w:t xml:space="preserve">Anomalie déclarative à connaître : </w:t>
      </w:r>
      <w:r>
        <w:rPr>
          <w:rFonts w:ascii="Calibri" w:cs="Calibri" w:eastAsia="Calibri" w:hAnsi="Calibri"/>
          <w:color w:val="1F1F1F"/>
          <w:sz w:val="22"/>
          <w:szCs w:val="22"/>
        </w:rPr>
        <w:t xml:space="preserve">à la question « Détenez-vous déjà un PEA ? », il faut répondre non pour permettre l'ouverture, alors qu'on en détient un chez Fortuneo. Cette particularité procédurale est connue et résolue par le transfert lui-même. La situation de double détention doit rester de courte durée pour éviter tout signalement à l'administration fiscale.</w:t>
      </w:r>
    </w:p>
    <w:p>
      <w:pPr>
        <w:pStyle w:val="ListParagraph"/>
        <w:numPr>
          <w:ilvl w:val="0"/>
          <w:numId w:val="2"/>
        </w:numPr>
        <w:spacing w:after="80" w:line="280"/>
      </w:pPr>
      <w:r>
        <w:rPr>
          <w:rFonts w:ascii="Calibri" w:cs="Calibri" w:eastAsia="Calibri" w:hAnsi="Calibri"/>
          <w:color w:val="1F1F1F"/>
          <w:sz w:val="22"/>
          <w:szCs w:val="22"/>
        </w:rPr>
        <w:t xml:space="preserve">KYC : pièce d'identité + justificatif de domicile.</w:t>
      </w:r>
    </w:p>
    <w:p>
      <w:pPr>
        <w:pStyle w:val="ListParagraph"/>
        <w:numPr>
          <w:ilvl w:val="0"/>
          <w:numId w:val="2"/>
        </w:numPr>
        <w:spacing w:after="80" w:line="280"/>
      </w:pPr>
      <w:r>
        <w:rPr>
          <w:rFonts w:ascii="Calibri" w:cs="Calibri" w:eastAsia="Calibri" w:hAnsi="Calibri"/>
          <w:color w:val="1F1F1F"/>
          <w:sz w:val="22"/>
          <w:szCs w:val="22"/>
        </w:rPr>
        <w:t xml:space="preserve">Délai d'ouverture : 1 à 3 jours ouvrés.</w:t>
      </w:r>
    </w:p>
    <w:p>
      <w:pPr>
        <w:pStyle w:val="ListParagraph"/>
        <w:numPr>
          <w:ilvl w:val="0"/>
          <w:numId w:val="2"/>
        </w:numPr>
        <w:spacing w:after="80" w:line="280"/>
      </w:pPr>
      <w:r>
        <w:rPr>
          <w:rFonts w:ascii="Calibri" w:cs="Calibri" w:eastAsia="Calibri" w:hAnsi="Calibri"/>
          <w:color w:val="1F1F1F"/>
          <w:sz w:val="22"/>
          <w:szCs w:val="22"/>
        </w:rPr>
        <w:t xml:space="preserve">Effectuer un dépôt minimum de 10 € pour activer le compte.</w:t>
      </w:r>
    </w:p>
    <w:p>
      <w:pPr>
        <w:pStyle w:val="Heading2"/>
        <w:spacing w:after="140" w:before="280"/>
      </w:pPr>
      <w:r>
        <w:rPr>
          <w:rFonts w:ascii="Calibri" w:cs="Calibri" w:eastAsia="Calibri" w:hAnsi="Calibri"/>
          <w:b/>
          <w:bCs/>
          <w:color w:val="1F4E79"/>
          <w:sz w:val="26"/>
          <w:szCs w:val="26"/>
        </w:rPr>
        <w:t xml:space="preserve">5.4 Étape 2 — Configuration du compte IBKR (J+3 à J+5)</w:t>
      </w:r>
    </w:p>
    <w:p>
      <w:pPr>
        <w:pStyle w:val="ListParagraph"/>
        <w:numPr>
          <w:ilvl w:val="0"/>
          <w:numId w:val="2"/>
        </w:numPr>
        <w:spacing w:after="80" w:line="280"/>
      </w:pPr>
      <w:r>
        <w:rPr>
          <w:rFonts w:ascii="Calibri" w:cs="Calibri" w:eastAsia="Calibri" w:hAnsi="Calibri"/>
          <w:b/>
          <w:bCs/>
          <w:color w:val="C00000"/>
          <w:sz w:val="22"/>
          <w:szCs w:val="22"/>
        </w:rPr>
        <w:t xml:space="preserve">Bascule manuelle Fixed → Tiered : </w:t>
      </w:r>
      <w:r>
        <w:rPr>
          <w:rFonts w:ascii="Calibri" w:cs="Calibri" w:eastAsia="Calibri" w:hAnsi="Calibri"/>
          <w:color w:val="1F1F1F"/>
          <w:sz w:val="22"/>
          <w:szCs w:val="22"/>
        </w:rPr>
        <w:t xml:space="preserve">dans les paramètres du compte, basculer du tarif Fixed vers Tiered. Réduit le minimum de 3 € à 1,25 € par ordre sur Euronext. Cette configuration n'est pas par défaut et oubli = surcoût de ~50-100 €/an.</w:t>
      </w:r>
    </w:p>
    <w:p>
      <w:pPr>
        <w:pStyle w:val="ListParagraph"/>
        <w:numPr>
          <w:ilvl w:val="0"/>
          <w:numId w:val="2"/>
        </w:numPr>
        <w:spacing w:after="80" w:line="280"/>
      </w:pPr>
      <w:r>
        <w:rPr>
          <w:rFonts w:ascii="Calibri" w:cs="Calibri" w:eastAsia="Calibri" w:hAnsi="Calibri"/>
          <w:color w:val="1F1F1F"/>
          <w:sz w:val="22"/>
          <w:szCs w:val="22"/>
        </w:rPr>
        <w:t xml:space="preserve">Activation de la 2FA (IB Key sur mobile ou clé physique).</w:t>
      </w:r>
    </w:p>
    <w:p>
      <w:pPr>
        <w:pStyle w:val="ListParagraph"/>
        <w:numPr>
          <w:ilvl w:val="0"/>
          <w:numId w:val="2"/>
        </w:numPr>
        <w:spacing w:after="80" w:line="280"/>
      </w:pPr>
      <w:r>
        <w:rPr>
          <w:rFonts w:ascii="Calibri" w:cs="Calibri" w:eastAsia="Calibri" w:hAnsi="Calibri"/>
          <w:color w:val="1F1F1F"/>
          <w:sz w:val="22"/>
          <w:szCs w:val="22"/>
        </w:rPr>
        <w:t xml:space="preserve">Souscription du bundle market data Euronext si screening temps réel souhaité (~4-5 €/mois).</w:t>
      </w:r>
    </w:p>
    <w:p>
      <w:pPr>
        <w:pStyle w:val="Heading2"/>
        <w:spacing w:after="140" w:before="280"/>
      </w:pPr>
      <w:r>
        <w:rPr>
          <w:rFonts w:ascii="Calibri" w:cs="Calibri" w:eastAsia="Calibri" w:hAnsi="Calibri"/>
          <w:b/>
          <w:bCs/>
          <w:color w:val="1F4E79"/>
          <w:sz w:val="26"/>
          <w:szCs w:val="26"/>
        </w:rPr>
        <w:t xml:space="preserve">5.5 Étape 3 — Initiation du transfert (J+5)</w:t>
      </w:r>
    </w:p>
    <w:p>
      <w:pPr>
        <w:spacing w:after="120" w:before="0" w:line="300"/>
      </w:pPr>
      <w:r>
        <w:rPr>
          <w:rFonts w:ascii="Calibri" w:cs="Calibri" w:eastAsia="Calibri" w:hAnsi="Calibri"/>
          <w:color w:val="1F1F1F"/>
          <w:sz w:val="22"/>
          <w:szCs w:val="22"/>
        </w:rPr>
        <w:t xml:space="preserve">Contacter le support IBKR (chat ou ticket) pour demander la procédure de transfert PEA depuis Fortuneo. IBKR fournit le formulaire spécifique à compléter, qui demande :</w:t>
      </w:r>
    </w:p>
    <w:p>
      <w:pPr>
        <w:pStyle w:val="ListParagraph"/>
        <w:numPr>
          <w:ilvl w:val="0"/>
          <w:numId w:val="2"/>
        </w:numPr>
        <w:spacing w:after="80" w:line="280"/>
      </w:pPr>
      <w:r>
        <w:rPr>
          <w:rFonts w:ascii="Calibri" w:cs="Calibri" w:eastAsia="Calibri" w:hAnsi="Calibri"/>
          <w:color w:val="1F1F1F"/>
          <w:sz w:val="22"/>
          <w:szCs w:val="22"/>
        </w:rPr>
        <w:t xml:space="preserve">Numéro de compte PEA Fortuneo.</w:t>
      </w:r>
    </w:p>
    <w:p>
      <w:pPr>
        <w:pStyle w:val="ListParagraph"/>
        <w:numPr>
          <w:ilvl w:val="0"/>
          <w:numId w:val="2"/>
        </w:numPr>
        <w:spacing w:after="80" w:line="280"/>
      </w:pPr>
      <w:r>
        <w:rPr>
          <w:rFonts w:ascii="Calibri" w:cs="Calibri" w:eastAsia="Calibri" w:hAnsi="Calibri"/>
          <w:color w:val="1F1F1F"/>
          <w:sz w:val="22"/>
          <w:szCs w:val="22"/>
        </w:rPr>
        <w:t xml:space="preserve">RIB du PEA Fortuneo.</w:t>
      </w:r>
    </w:p>
    <w:p>
      <w:pPr>
        <w:pStyle w:val="ListParagraph"/>
        <w:numPr>
          <w:ilvl w:val="0"/>
          <w:numId w:val="2"/>
        </w:numPr>
        <w:spacing w:after="80" w:line="280"/>
      </w:pPr>
      <w:r>
        <w:rPr>
          <w:rFonts w:ascii="Calibri" w:cs="Calibri" w:eastAsia="Calibri" w:hAnsi="Calibri"/>
          <w:color w:val="1F1F1F"/>
          <w:sz w:val="22"/>
          <w:szCs w:val="22"/>
        </w:rPr>
        <w:t xml:space="preserve">Liste détaillée des titres (ISIN + quantité).</w:t>
      </w:r>
    </w:p>
    <w:p>
      <w:pPr>
        <w:pStyle w:val="ListParagraph"/>
        <w:numPr>
          <w:ilvl w:val="0"/>
          <w:numId w:val="2"/>
        </w:numPr>
        <w:spacing w:after="80" w:line="280"/>
      </w:pPr>
      <w:r>
        <w:rPr>
          <w:rFonts w:ascii="Calibri" w:cs="Calibri" w:eastAsia="Calibri" w:hAnsi="Calibri"/>
          <w:color w:val="1F1F1F"/>
          <w:sz w:val="22"/>
          <w:szCs w:val="22"/>
        </w:rPr>
        <w:t xml:space="preserve">Valorisation cash + titres.</w:t>
      </w:r>
    </w:p>
    <w:p>
      <w:pPr>
        <w:pStyle w:val="ListParagraph"/>
        <w:numPr>
          <w:ilvl w:val="0"/>
          <w:numId w:val="2"/>
        </w:numPr>
        <w:spacing w:after="80" w:line="280"/>
      </w:pPr>
      <w:r>
        <w:rPr>
          <w:rFonts w:ascii="Calibri" w:cs="Calibri" w:eastAsia="Calibri" w:hAnsi="Calibri"/>
          <w:color w:val="1F1F1F"/>
          <w:sz w:val="22"/>
          <w:szCs w:val="22"/>
        </w:rPr>
        <w:t xml:space="preserve">Date d'ouverture initiale du PEA (essentielle pour l'antériorité fiscale).</w:t>
      </w:r>
    </w:p>
    <w:p>
      <w:pPr>
        <w:pStyle w:val="Heading2"/>
        <w:spacing w:after="140" w:before="280"/>
      </w:pPr>
      <w:r>
        <w:rPr>
          <w:rFonts w:ascii="Calibri" w:cs="Calibri" w:eastAsia="Calibri" w:hAnsi="Calibri"/>
          <w:b/>
          <w:bCs/>
          <w:color w:val="1F4E79"/>
          <w:sz w:val="26"/>
          <w:szCs w:val="26"/>
        </w:rPr>
        <w:t xml:space="preserve">5.6 Étape 4 — Période de transfert (J+5 à J+90)</w:t>
      </w:r>
    </w:p>
    <w:p>
      <w:pPr>
        <w:spacing w:after="120" w:before="0" w:line="300"/>
      </w:pPr>
      <w:r>
        <w:rPr>
          <w:rFonts w:ascii="Calibri" w:cs="Calibri" w:eastAsia="Calibri" w:hAnsi="Calibri"/>
          <w:color w:val="1F1F1F"/>
          <w:sz w:val="22"/>
          <w:szCs w:val="22"/>
        </w:rPr>
        <w:t xml:space="preserve">IBKR contacte Fortuneo et orchestre le transfert. Le déroulement se fait en trois vagues séquentielles :</w:t>
      </w:r>
    </w:p>
    <w:p>
      <w:pPr>
        <w:pStyle w:val="ListParagraph"/>
        <w:numPr>
          <w:ilvl w:val="0"/>
          <w:numId w:val="3"/>
        </w:numPr>
        <w:spacing w:after="80" w:line="280"/>
      </w:pPr>
      <w:r>
        <w:rPr>
          <w:rFonts w:ascii="Calibri" w:cs="Calibri" w:eastAsia="Calibri" w:hAnsi="Calibri"/>
          <w:color w:val="1F1F1F"/>
          <w:sz w:val="22"/>
          <w:szCs w:val="22"/>
        </w:rPr>
        <w:t xml:space="preserve">Poche espèces transférée en premier (quelques jours).</w:t>
      </w:r>
    </w:p>
    <w:p>
      <w:pPr>
        <w:pStyle w:val="ListParagraph"/>
        <w:numPr>
          <w:ilvl w:val="0"/>
          <w:numId w:val="3"/>
        </w:numPr>
        <w:spacing w:after="80" w:line="280"/>
      </w:pPr>
      <w:r>
        <w:rPr>
          <w:rFonts w:ascii="Calibri" w:cs="Calibri" w:eastAsia="Calibri" w:hAnsi="Calibri"/>
          <w:color w:val="1F1F1F"/>
          <w:sz w:val="22"/>
          <w:szCs w:val="22"/>
        </w:rPr>
        <w:t xml:space="preserve">Titres ligne par ligne (la phase la plus longue, dépend de la réactivité de Fortuneo).</w:t>
      </w:r>
    </w:p>
    <w:p>
      <w:pPr>
        <w:pStyle w:val="ListParagraph"/>
        <w:numPr>
          <w:ilvl w:val="0"/>
          <w:numId w:val="3"/>
        </w:numPr>
        <w:spacing w:after="80" w:line="280"/>
      </w:pPr>
      <w:r>
        <w:rPr>
          <w:rFonts w:ascii="Calibri" w:cs="Calibri" w:eastAsia="Calibri" w:hAnsi="Calibri"/>
          <w:color w:val="1F1F1F"/>
          <w:sz w:val="22"/>
          <w:szCs w:val="22"/>
        </w:rPr>
        <w:t xml:space="preserve">Bordereau fiscal transmis par Fortuneo, contenant l'historique du PEA et préservant l'antériorité.</w:t>
      </w:r>
    </w:p>
    <w:p>
      <w:pPr>
        <w:spacing w:after="120" w:before="0" w:line="300"/>
      </w:pPr>
      <w:r>
        <w:rPr>
          <w:rFonts w:ascii="Calibri" w:cs="Calibri" w:eastAsia="Calibri" w:hAnsi="Calibri"/>
          <w:b/>
          <w:bCs/>
          <w:color w:val="1F1F1F"/>
          <w:sz w:val="22"/>
          <w:szCs w:val="22"/>
        </w:rPr>
        <w:t xml:space="preserve">Important : </w:t>
      </w:r>
      <w:r>
        <w:rPr>
          <w:rFonts w:ascii="Calibri" w:cs="Calibri" w:eastAsia="Calibri" w:hAnsi="Calibri"/>
          <w:color w:val="1F1F1F"/>
          <w:sz w:val="22"/>
          <w:szCs w:val="22"/>
        </w:rPr>
        <w:t xml:space="preserve">à partir de l'émission du bordereau, plus aucune opération n'est possible sur le PEA, ni chez Fortuneo, ni chez IBKR, jusqu'à finalisation complète.</w:t>
      </w:r>
    </w:p>
    <w:p>
      <w:pPr>
        <w:pStyle w:val="Heading2"/>
        <w:spacing w:after="140" w:before="280"/>
      </w:pPr>
      <w:r>
        <w:rPr>
          <w:rFonts w:ascii="Calibri" w:cs="Calibri" w:eastAsia="Calibri" w:hAnsi="Calibri"/>
          <w:b/>
          <w:bCs/>
          <w:color w:val="1F4E79"/>
          <w:sz w:val="26"/>
          <w:szCs w:val="26"/>
        </w:rPr>
        <w:t xml:space="preserve">5.7 Étape 5 — Réception et vérification (J+90)</w:t>
      </w:r>
    </w:p>
    <w:p>
      <w:pPr>
        <w:pStyle w:val="ListParagraph"/>
        <w:numPr>
          <w:ilvl w:val="0"/>
          <w:numId w:val="2"/>
        </w:numPr>
        <w:spacing w:after="80" w:line="280"/>
      </w:pPr>
      <w:r>
        <w:rPr>
          <w:rFonts w:ascii="Calibri" w:cs="Calibri" w:eastAsia="Calibri" w:hAnsi="Calibri"/>
          <w:color w:val="1F1F1F"/>
          <w:sz w:val="22"/>
          <w:szCs w:val="22"/>
        </w:rPr>
        <w:t xml:space="preserve">Vérifier la présence des trois ETF dans le PEA IBKR avec les bonnes quantités.</w:t>
      </w:r>
    </w:p>
    <w:p>
      <w:pPr>
        <w:pStyle w:val="ListParagraph"/>
        <w:numPr>
          <w:ilvl w:val="0"/>
          <w:numId w:val="2"/>
        </w:numPr>
        <w:spacing w:after="80" w:line="280"/>
      </w:pPr>
      <w:r>
        <w:rPr>
          <w:rFonts w:ascii="Calibri" w:cs="Calibri" w:eastAsia="Calibri" w:hAnsi="Calibri"/>
          <w:color w:val="1F1F1F"/>
          <w:sz w:val="22"/>
          <w:szCs w:val="22"/>
        </w:rPr>
        <w:t xml:space="preserve">Vérifier le PRU repris pour chaque ligne.</w:t>
      </w:r>
    </w:p>
    <w:p>
      <w:pPr>
        <w:pStyle w:val="ListParagraph"/>
        <w:numPr>
          <w:ilvl w:val="0"/>
          <w:numId w:val="2"/>
        </w:numPr>
        <w:spacing w:after="80" w:line="280"/>
      </w:pPr>
      <w:r>
        <w:rPr>
          <w:rFonts w:ascii="Calibri" w:cs="Calibri" w:eastAsia="Calibri" w:hAnsi="Calibri"/>
          <w:b/>
          <w:bCs/>
          <w:color w:val="1F1F1F"/>
          <w:sz w:val="22"/>
          <w:szCs w:val="22"/>
        </w:rPr>
        <w:t xml:space="preserve">Vérifier la date d'ouverture du PEA : </w:t>
      </w:r>
      <w:r>
        <w:rPr>
          <w:rFonts w:ascii="Calibri" w:cs="Calibri" w:eastAsia="Calibri" w:hAnsi="Calibri"/>
          <w:color w:val="1F1F1F"/>
          <w:sz w:val="22"/>
          <w:szCs w:val="22"/>
        </w:rPr>
        <w:t xml:space="preserve">elle doit correspondre à la date d'ouverture initiale chez Fortuneo (et non à la date de transfert). C'est le point fiscal le plus important. Contester immédiatement avec preuves si erreur.</w:t>
      </w:r>
    </w:p>
    <w:p>
      <w:pPr>
        <w:pStyle w:val="ListParagraph"/>
        <w:numPr>
          <w:ilvl w:val="0"/>
          <w:numId w:val="2"/>
        </w:numPr>
        <w:spacing w:after="80" w:line="280"/>
      </w:pPr>
      <w:r>
        <w:rPr>
          <w:rFonts w:ascii="Calibri" w:cs="Calibri" w:eastAsia="Calibri" w:hAnsi="Calibri"/>
          <w:color w:val="1F1F1F"/>
          <w:sz w:val="22"/>
          <w:szCs w:val="22"/>
        </w:rPr>
        <w:t xml:space="preserve">Récupérer le bordereau de transfert pour archivage.</w:t>
      </w:r>
    </w:p>
    <w:p>
      <w:pPr>
        <w:pStyle w:val="ListParagraph"/>
        <w:numPr>
          <w:ilvl w:val="0"/>
          <w:numId w:val="2"/>
        </w:numPr>
        <w:spacing w:after="80" w:line="280"/>
      </w:pPr>
      <w:r>
        <w:rPr>
          <w:rFonts w:ascii="Calibri" w:cs="Calibri" w:eastAsia="Calibri" w:hAnsi="Calibri"/>
          <w:color w:val="1F1F1F"/>
          <w:sz w:val="22"/>
          <w:szCs w:val="22"/>
        </w:rPr>
        <w:t xml:space="preserve">S'assurer que le PEA Fortuneo est bien clôturé automatiquement par Fortuneo (ne pas le clôturer soi-même).</w:t>
      </w:r>
    </w:p>
    <w:p>
      <w:r>
        <w:br w:type="page"/>
      </w:r>
    </w:p>
    <w:p>
      <w:pPr>
        <w:pStyle w:val="Heading1"/>
        <w:spacing w:after="180" w:before="360"/>
      </w:pPr>
      <w:r>
        <w:rPr>
          <w:rFonts w:ascii="Calibri" w:cs="Calibri" w:eastAsia="Calibri" w:hAnsi="Calibri"/>
          <w:b/>
          <w:bCs/>
          <w:color w:val="1F4E79"/>
          <w:sz w:val="32"/>
          <w:szCs w:val="32"/>
        </w:rPr>
        <w:t xml:space="preserve">6. Frais et délais du transfert</w:t>
      </w:r>
    </w:p>
    <w:p>
      <w:pPr>
        <w:pStyle w:val="Heading2"/>
        <w:spacing w:after="140" w:before="280"/>
      </w:pPr>
      <w:r>
        <w:rPr>
          <w:rFonts w:ascii="Calibri" w:cs="Calibri" w:eastAsia="Calibri" w:hAnsi="Calibri"/>
          <w:b/>
          <w:bCs/>
          <w:color w:val="1F4E79"/>
          <w:sz w:val="26"/>
          <w:szCs w:val="26"/>
        </w:rPr>
        <w:t xml:space="preserve">6.1 Coût direct du transfert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Poste</w:t>
            </w:r>
          </w:p>
        </w:tc>
        <w:tc>
          <w:tcPr>
            <w:tcW w:type="dxa" w:w="25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Coût</w:t>
            </w:r>
          </w:p>
        </w:tc>
      </w:tr>
      <w:tr>
        <w:tc>
          <w:tcPr>
            <w:tcW w:type="dxa" w:w="6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Frais de transfert sortant Fortuneo (15 €/ligne × 3 lignes)</w:t>
            </w:r>
          </w:p>
        </w:tc>
        <w:tc>
          <w:tcPr>
            <w:tcW w:type="dxa" w:w="25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45 €</w:t>
            </w:r>
          </w:p>
        </w:tc>
      </w:tr>
      <w:tr>
        <w:tc>
          <w:tcPr>
            <w:tcW w:type="dxa" w:w="6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Frais de transfert entrant IBKR</w:t>
            </w:r>
          </w:p>
        </w:tc>
        <w:tc>
          <w:tcPr>
            <w:tcW w:type="dxa" w:w="2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r>
      <w:tr>
        <w:tc>
          <w:tcPr>
            <w:tcW w:type="dxa" w:w="6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Frais de clôture Fortuneo (transfert ≠ clôture)</w:t>
            </w:r>
          </w:p>
        </w:tc>
        <w:tc>
          <w:tcPr>
            <w:tcW w:type="dxa" w:w="25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0 €</w:t>
            </w:r>
          </w:p>
        </w:tc>
      </w:tr>
      <w:tr>
        <w:tc>
          <w:tcPr>
            <w:tcW w:type="dxa" w:w="6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Total</w:t>
            </w:r>
          </w:p>
        </w:tc>
        <w:tc>
          <w:tcPr>
            <w:tcW w:type="dxa" w:w="2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45 €</w:t>
            </w:r>
          </w:p>
        </w:tc>
      </w:tr>
    </w:tbl>
    <w:p>
      <w:pPr>
        <w:spacing w:after="200"/>
      </w:pPr>
    </w:p>
    <w:p>
      <w:pPr>
        <w:spacing w:after="120" w:before="0" w:line="300"/>
      </w:pPr>
      <w:r>
        <w:rPr>
          <w:rFonts w:ascii="Calibri" w:cs="Calibri" w:eastAsia="Calibri" w:hAnsi="Calibri"/>
          <w:color w:val="1F1F1F"/>
          <w:sz w:val="22"/>
          <w:szCs w:val="22"/>
        </w:rPr>
        <w:t xml:space="preserve">Note : Fortuneo rembourse les frais de transfert pour les transferts entrants (jusqu'à 2 000 €), mais pas pour les sortants. IBKR ne rembourse pas non plus les frais de transfert sortants côté Fortuneo.</w:t>
      </w:r>
    </w:p>
    <w:p>
      <w:pPr>
        <w:pStyle w:val="Heading2"/>
        <w:spacing w:after="140" w:before="280"/>
      </w:pPr>
      <w:r>
        <w:rPr>
          <w:rFonts w:ascii="Calibri" w:cs="Calibri" w:eastAsia="Calibri" w:hAnsi="Calibri"/>
          <w:b/>
          <w:bCs/>
          <w:color w:val="1F4E79"/>
          <w:sz w:val="26"/>
          <w:szCs w:val="26"/>
        </w:rPr>
        <w:t xml:space="preserve">6.2 Délais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Étape</w:t>
            </w:r>
          </w:p>
        </w:tc>
        <w:tc>
          <w:tcPr>
            <w:tcW w:type="dxa" w:w="35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Délai indicatif</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Ouverture compte IBKR + KYC</w:t>
            </w:r>
          </w:p>
        </w:tc>
        <w:tc>
          <w:tcPr>
            <w:tcW w:type="dxa" w:w="35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à 3 jours ouvrés</w:t>
            </w:r>
          </w:p>
        </w:tc>
      </w:tr>
      <w:tr>
        <w:tc>
          <w:tcPr>
            <w:tcW w:type="dxa" w:w="5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Préparation et envoi formulaire</w:t>
            </w:r>
          </w:p>
        </w:tc>
        <w:tc>
          <w:tcPr>
            <w:tcW w:type="dxa" w:w="3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1 semaine</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Transfert effectif</w:t>
            </w:r>
          </w:p>
        </w:tc>
        <w:tc>
          <w:tcPr>
            <w:tcW w:type="dxa" w:w="35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6 à 12 semaines</w:t>
            </w:r>
          </w:p>
        </w:tc>
      </w:tr>
      <w:tr>
        <w:tc>
          <w:tcPr>
            <w:tcW w:type="dxa" w:w="5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Total bout en bout</w:t>
            </w:r>
          </w:p>
        </w:tc>
        <w:tc>
          <w:tcPr>
            <w:tcW w:type="dxa" w:w="3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1F1F1F"/>
                <w:sz w:val="21"/>
                <w:szCs w:val="21"/>
              </w:rPr>
              <w:t xml:space="preserve">~2 à 3 mois</w:t>
            </w:r>
          </w:p>
        </w:tc>
      </w:tr>
    </w:tbl>
    <w:p>
      <w:pPr>
        <w:spacing w:after="200"/>
      </w:pPr>
    </w:p>
    <w:p>
      <w:pPr>
        <w:spacing w:after="120" w:before="0" w:line="300"/>
      </w:pPr>
      <w:r>
        <w:rPr>
          <w:rFonts w:ascii="Calibri" w:cs="Calibri" w:eastAsia="Calibri" w:hAnsi="Calibri"/>
          <w:color w:val="1F1F1F"/>
          <w:sz w:val="22"/>
          <w:szCs w:val="22"/>
        </w:rPr>
        <w:t xml:space="preserve">La loi impose un transfert sous 25 jours ouvrés, mais en pratique les transferts vers IBKR (encore récent sur ce circuit, lancé en juillet 2024) prennent souvent plus longtemps.</w:t>
      </w:r>
    </w:p>
    <w:p>
      <w:pPr>
        <w:pStyle w:val="Heading2"/>
        <w:spacing w:after="140" w:before="280"/>
      </w:pPr>
      <w:r>
        <w:rPr>
          <w:rFonts w:ascii="Calibri" w:cs="Calibri" w:eastAsia="Calibri" w:hAnsi="Calibri"/>
          <w:b/>
          <w:bCs/>
          <w:color w:val="1F4E79"/>
          <w:sz w:val="26"/>
          <w:szCs w:val="26"/>
        </w:rPr>
        <w:t xml:space="preserve">6.3 Coût d'opportunité de la période de gel</w:t>
      </w:r>
    </w:p>
    <w:p>
      <w:pPr>
        <w:spacing w:after="120" w:before="0" w:line="300"/>
      </w:pPr>
      <w:r>
        <w:rPr>
          <w:rFonts w:ascii="Calibri" w:cs="Calibri" w:eastAsia="Calibri" w:hAnsi="Calibri"/>
          <w:color w:val="1F1F1F"/>
          <w:sz w:val="22"/>
          <w:szCs w:val="22"/>
        </w:rPr>
        <w:t xml:space="preserve">Pendant 2-3 mois, aucune opération n'est possible. Sur un encours actuel de 5 700 €, l'impact est négligeable : pas de DCA possible (compensable rapidement après réception), pas de rebalancement (sans conséquence sur 3 lignes ETF stables). Lancer le transfert tant que l'encours est faible est précisément ce qui minimise ce coût.</w:t>
      </w:r>
    </w:p>
    <w:p>
      <w:r>
        <w:br w:type="page"/>
      </w:r>
    </w:p>
    <w:p>
      <w:pPr>
        <w:pStyle w:val="Heading1"/>
        <w:spacing w:after="180" w:before="360"/>
      </w:pPr>
      <w:r>
        <w:rPr>
          <w:rFonts w:ascii="Calibri" w:cs="Calibri" w:eastAsia="Calibri" w:hAnsi="Calibri"/>
          <w:b/>
          <w:bCs/>
          <w:color w:val="1F4E79"/>
          <w:sz w:val="32"/>
          <w:szCs w:val="32"/>
        </w:rPr>
        <w:t xml:space="preserve">7. Précautions et pièges</w:t>
      </w:r>
    </w:p>
    <w:p>
      <w:pPr>
        <w:pStyle w:val="Heading2"/>
        <w:spacing w:after="140" w:before="280"/>
      </w:pPr>
      <w:r>
        <w:rPr>
          <w:rFonts w:ascii="Calibri" w:cs="Calibri" w:eastAsia="Calibri" w:hAnsi="Calibri"/>
          <w:b/>
          <w:bCs/>
          <w:color w:val="1F4E79"/>
          <w:sz w:val="26"/>
          <w:szCs w:val="26"/>
        </w:rPr>
        <w:t xml:space="preserve">7.1 À éviter absolument</w:t>
      </w:r>
    </w:p>
    <w:p>
      <w:pPr>
        <w:pStyle w:val="ListParagraph"/>
        <w:numPr>
          <w:ilvl w:val="0"/>
          <w:numId w:val="2"/>
        </w:numPr>
        <w:spacing w:after="80" w:line="280"/>
      </w:pPr>
      <w:r>
        <w:rPr>
          <w:rFonts w:ascii="Calibri" w:cs="Calibri" w:eastAsia="Calibri" w:hAnsi="Calibri"/>
          <w:b/>
          <w:bCs/>
          <w:color w:val="C00000"/>
          <w:sz w:val="22"/>
          <w:szCs w:val="22"/>
        </w:rPr>
        <w:t xml:space="preserve">Ne jamais clôturer le PEA Fortuneo soi-même. </w:t>
      </w:r>
      <w:r>
        <w:rPr>
          <w:rFonts w:ascii="Calibri" w:cs="Calibri" w:eastAsia="Calibri" w:hAnsi="Calibri"/>
          <w:color w:val="1F1F1F"/>
          <w:sz w:val="22"/>
          <w:szCs w:val="22"/>
        </w:rPr>
        <w:t xml:space="preserve">Cela casse l'enveloppe fiscale, déclenche l'imposition des plus-values et fait perdre l'antériorité. Le transfert est une procédure spécifique distincte de la clôture.</w:t>
      </w:r>
    </w:p>
    <w:p>
      <w:pPr>
        <w:pStyle w:val="ListParagraph"/>
        <w:numPr>
          <w:ilvl w:val="0"/>
          <w:numId w:val="2"/>
        </w:numPr>
        <w:spacing w:after="80" w:line="280"/>
      </w:pPr>
      <w:r>
        <w:rPr>
          <w:rFonts w:ascii="Calibri" w:cs="Calibri" w:eastAsia="Calibri" w:hAnsi="Calibri"/>
          <w:b/>
          <w:bCs/>
          <w:color w:val="C00000"/>
          <w:sz w:val="22"/>
          <w:szCs w:val="22"/>
        </w:rPr>
        <w:t xml:space="preserve">Ne pas détenir deux PEA durablement. </w:t>
      </w:r>
      <w:r>
        <w:rPr>
          <w:rFonts w:ascii="Calibri" w:cs="Calibri" w:eastAsia="Calibri" w:hAnsi="Calibri"/>
          <w:color w:val="1F1F1F"/>
          <w:sz w:val="22"/>
          <w:szCs w:val="22"/>
        </w:rPr>
        <w:t xml:space="preserve">En cas de signalement à l'administration fiscale, les deux PEA peuvent être fermés. La période de chevauchement durant le transfert est tolérée.</w:t>
      </w:r>
    </w:p>
    <w:p>
      <w:pPr>
        <w:pStyle w:val="ListParagraph"/>
        <w:numPr>
          <w:ilvl w:val="0"/>
          <w:numId w:val="2"/>
        </w:numPr>
        <w:spacing w:after="80" w:line="280"/>
      </w:pPr>
      <w:r>
        <w:rPr>
          <w:rFonts w:ascii="Calibri" w:cs="Calibri" w:eastAsia="Calibri" w:hAnsi="Calibri"/>
          <w:b/>
          <w:bCs/>
          <w:color w:val="C00000"/>
          <w:sz w:val="22"/>
          <w:szCs w:val="22"/>
        </w:rPr>
        <w:t xml:space="preserve">Ne pas lancer le transfert si besoin de liquidité dans les 3 prochains mois. </w:t>
      </w:r>
      <w:r>
        <w:rPr>
          <w:rFonts w:ascii="Calibri" w:cs="Calibri" w:eastAsia="Calibri" w:hAnsi="Calibri"/>
          <w:color w:val="1F1F1F"/>
          <w:sz w:val="22"/>
          <w:szCs w:val="22"/>
        </w:rPr>
        <w:t xml:space="preserve">Aucune opération n'est possible pendant la période de transfert.</w:t>
      </w:r>
    </w:p>
    <w:p>
      <w:pPr>
        <w:pStyle w:val="Heading2"/>
        <w:spacing w:after="140" w:before="280"/>
      </w:pPr>
      <w:r>
        <w:rPr>
          <w:rFonts w:ascii="Calibri" w:cs="Calibri" w:eastAsia="Calibri" w:hAnsi="Calibri"/>
          <w:b/>
          <w:bCs/>
          <w:color w:val="1F4E79"/>
          <w:sz w:val="26"/>
          <w:szCs w:val="26"/>
        </w:rPr>
        <w:t xml:space="preserve">7.2 Points de vigilance</w:t>
      </w:r>
    </w:p>
    <w:p>
      <w:pPr>
        <w:pStyle w:val="ListParagraph"/>
        <w:numPr>
          <w:ilvl w:val="0"/>
          <w:numId w:val="2"/>
        </w:numPr>
        <w:spacing w:after="80" w:line="280"/>
      </w:pPr>
      <w:r>
        <w:rPr>
          <w:rFonts w:ascii="Calibri" w:cs="Calibri" w:eastAsia="Calibri" w:hAnsi="Calibri"/>
          <w:b/>
          <w:bCs/>
          <w:color w:val="1F1F1F"/>
          <w:sz w:val="22"/>
          <w:szCs w:val="22"/>
        </w:rPr>
        <w:t xml:space="preserve">Catalogue IBKR : </w:t>
      </w:r>
      <w:r>
        <w:rPr>
          <w:rFonts w:ascii="Calibri" w:cs="Calibri" w:eastAsia="Calibri" w:hAnsi="Calibri"/>
          <w:color w:val="1F1F1F"/>
          <w:sz w:val="22"/>
          <w:szCs w:val="22"/>
        </w:rPr>
        <w:t xml:space="preserve">si l'un des ETF n'est pas reconnu côté IBKR, le transfert se bloque. Vérification préalable indispensable.</w:t>
      </w:r>
    </w:p>
    <w:p>
      <w:pPr>
        <w:pStyle w:val="ListParagraph"/>
        <w:numPr>
          <w:ilvl w:val="0"/>
          <w:numId w:val="2"/>
        </w:numPr>
        <w:spacing w:after="80" w:line="280"/>
      </w:pPr>
      <w:r>
        <w:rPr>
          <w:rFonts w:ascii="Calibri" w:cs="Calibri" w:eastAsia="Calibri" w:hAnsi="Calibri"/>
          <w:b/>
          <w:bCs/>
          <w:color w:val="1F1F1F"/>
          <w:sz w:val="22"/>
          <w:szCs w:val="22"/>
        </w:rPr>
        <w:t xml:space="preserve">Configuration Tiered : </w:t>
      </w:r>
      <w:r>
        <w:rPr>
          <w:rFonts w:ascii="Calibri" w:cs="Calibri" w:eastAsia="Calibri" w:hAnsi="Calibri"/>
          <w:color w:val="1F1F1F"/>
          <w:sz w:val="22"/>
          <w:szCs w:val="22"/>
        </w:rPr>
        <w:t xml:space="preserve">le passage manuel de Fixed à Tiered doit être fait dès l'activation du compte. Sans cela, surcoût de 1,75 € par ordre.</w:t>
      </w:r>
    </w:p>
    <w:p>
      <w:pPr>
        <w:pStyle w:val="ListParagraph"/>
        <w:numPr>
          <w:ilvl w:val="0"/>
          <w:numId w:val="2"/>
        </w:numPr>
        <w:spacing w:after="80" w:line="280"/>
      </w:pPr>
      <w:r>
        <w:rPr>
          <w:rFonts w:ascii="Calibri" w:cs="Calibri" w:eastAsia="Calibri" w:hAnsi="Calibri"/>
          <w:b/>
          <w:bCs/>
          <w:color w:val="1F1F1F"/>
          <w:sz w:val="22"/>
          <w:szCs w:val="22"/>
        </w:rPr>
        <w:t xml:space="preserve">Antériorité fiscale : </w:t>
      </w:r>
      <w:r>
        <w:rPr>
          <w:rFonts w:ascii="Calibri" w:cs="Calibri" w:eastAsia="Calibri" w:hAnsi="Calibri"/>
          <w:color w:val="1F1F1F"/>
          <w:sz w:val="22"/>
          <w:szCs w:val="22"/>
        </w:rPr>
        <w:t xml:space="preserve">vérifier impérativement la date d'ouverture du PEA après transfert. C'est le point le plus important fiscalement.</w:t>
      </w:r>
    </w:p>
    <w:p>
      <w:pPr>
        <w:pStyle w:val="ListParagraph"/>
        <w:numPr>
          <w:ilvl w:val="0"/>
          <w:numId w:val="2"/>
        </w:numPr>
        <w:spacing w:after="80" w:line="280"/>
      </w:pPr>
      <w:r>
        <w:rPr>
          <w:rFonts w:ascii="Calibri" w:cs="Calibri" w:eastAsia="Calibri" w:hAnsi="Calibri"/>
          <w:b/>
          <w:bCs/>
          <w:color w:val="1F1F1F"/>
          <w:sz w:val="22"/>
          <w:szCs w:val="22"/>
        </w:rPr>
        <w:t xml:space="preserve">Discipline mécanique : </w:t>
      </w:r>
      <w:r>
        <w:rPr>
          <w:rFonts w:ascii="Calibri" w:cs="Calibri" w:eastAsia="Calibri" w:hAnsi="Calibri"/>
          <w:color w:val="1F1F1F"/>
          <w:sz w:val="22"/>
          <w:szCs w:val="22"/>
        </w:rPr>
        <w:t xml:space="preserve">une fois la stratégie en production, ne pas y déroger sur la base d'émotions ou d'opinions discrétionnaires. Les whipsaws (faux signaux défensifs en marché latéral) font partie du coût normal de la stratégie. Tenir.</w:t>
      </w:r>
    </w:p>
    <w:p>
      <w:r>
        <w:br w:type="page"/>
      </w:r>
    </w:p>
    <w:p>
      <w:pPr>
        <w:pStyle w:val="Heading1"/>
        <w:spacing w:after="180" w:before="360"/>
      </w:pPr>
      <w:r>
        <w:rPr>
          <w:rFonts w:ascii="Calibri" w:cs="Calibri" w:eastAsia="Calibri" w:hAnsi="Calibri"/>
          <w:b/>
          <w:bCs/>
          <w:color w:val="1F4E79"/>
          <w:sz w:val="32"/>
          <w:szCs w:val="32"/>
        </w:rPr>
        <w:t xml:space="preserve">8. Calendrier d'exécution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Période</w:t>
            </w:r>
          </w:p>
        </w:tc>
        <w:tc>
          <w:tcPr>
            <w:tcW w:type="dxa" w:w="60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Action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Mai 2026</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Vérification catalogue IBKR + ouverture compte PEA IBKR</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Mai 2026</w:t>
            </w:r>
          </w:p>
        </w:tc>
        <w:tc>
          <w:tcPr>
            <w:tcW w:type="dxa" w:w="60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Initiation du transfert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Juin-juillet 2026</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Période de transfert (zéro action sur le PEA)</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Juin-juillet 2026 (en parallèle)</w:t>
            </w:r>
          </w:p>
        </w:tc>
        <w:tc>
          <w:tcPr>
            <w:tcW w:type="dxa" w:w="60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Backtest de la stratégie sur 2000-2025</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Juillet-août 2026</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Réception + vérifications + montage de l'infra Python/IB Gateway</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Août-octobre 2026</w:t>
            </w:r>
          </w:p>
        </w:tc>
        <w:tc>
          <w:tcPr>
            <w:tcW w:type="dxa" w:w="60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Phase 1 : DCA simple automatisé (DCA actuel 500 €/mois)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Novembre 2026 - avril 2027</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Phase 2 : ajout couche tactique momentum + rebalancement</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Décembre 2026</w:t>
            </w:r>
          </w:p>
        </w:tc>
        <w:tc>
          <w:tcPr>
            <w:tcW w:type="dxa" w:w="60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Bascule sur DCA cible (1 000 €/mois)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Mai 2027 et au-delà</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Phase 3 : ajout overlay défensif progressif après stabilité confirmée</w:t>
            </w:r>
          </w:p>
        </w:tc>
      </w:tr>
    </w:tbl>
    <w:p>
      <w:r>
        <w:br w:type="page"/>
      </w:r>
    </w:p>
    <w:p>
      <w:pPr>
        <w:pStyle w:val="Heading1"/>
        <w:spacing w:after="180" w:before="360"/>
      </w:pPr>
      <w:r>
        <w:rPr>
          <w:rFonts w:ascii="Calibri" w:cs="Calibri" w:eastAsia="Calibri" w:hAnsi="Calibri"/>
          <w:b/>
          <w:bCs/>
          <w:color w:val="1F4E79"/>
          <w:sz w:val="32"/>
          <w:szCs w:val="32"/>
        </w:rPr>
        <w:t xml:space="preserve">9. Chantiers à venir</w:t>
      </w:r>
    </w:p>
    <w:p>
      <w:pPr>
        <w:spacing w:after="120" w:before="0" w:line="300"/>
      </w:pPr>
      <w:r>
        <w:rPr>
          <w:rFonts w:ascii="Calibri" w:cs="Calibri" w:eastAsia="Calibri" w:hAnsi="Calibri"/>
          <w:color w:val="1F1F1F"/>
          <w:sz w:val="22"/>
          <w:szCs w:val="22"/>
        </w:rPr>
        <w:t xml:space="preserve">Le déploiement est organisé en trois phases successives, chacune validée avant passage à la suivante. Cette progression évite la sur-ingénierie initiale et permet de stabiliser la couche basse avant d'ajouter la couche supérieure.</w:t>
      </w:r>
    </w:p>
    <w:p>
      <w:pPr>
        <w:pStyle w:val="Heading2"/>
        <w:spacing w:after="140" w:before="280"/>
      </w:pPr>
      <w:r>
        <w:rPr>
          <w:rFonts w:ascii="Calibri" w:cs="Calibri" w:eastAsia="Calibri" w:hAnsi="Calibri"/>
          <w:b/>
          <w:bCs/>
          <w:color w:val="1F4E79"/>
          <w:sz w:val="26"/>
          <w:szCs w:val="26"/>
        </w:rPr>
        <w:t xml:space="preserve">9.1 Backtest préalable de la stratégie</w:t>
      </w:r>
    </w:p>
    <w:p>
      <w:pPr>
        <w:spacing w:after="120" w:before="0" w:line="300"/>
      </w:pPr>
      <w:r>
        <w:rPr>
          <w:rFonts w:ascii="Calibri" w:cs="Calibri" w:eastAsia="Calibri" w:hAnsi="Calibri"/>
          <w:color w:val="1F1F1F"/>
          <w:sz w:val="22"/>
          <w:szCs w:val="22"/>
        </w:rPr>
        <w:t xml:space="preserve">Avant tout déploiement en production, backtest complet sur 2000-2025.</w:t>
      </w:r>
    </w:p>
    <w:p>
      <w:pPr>
        <w:pStyle w:val="ListParagraph"/>
        <w:numPr>
          <w:ilvl w:val="0"/>
          <w:numId w:val="2"/>
        </w:numPr>
        <w:spacing w:after="80" w:line="280"/>
      </w:pPr>
      <w:r>
        <w:rPr>
          <w:rFonts w:ascii="Calibri" w:cs="Calibri" w:eastAsia="Calibri" w:hAnsi="Calibri"/>
          <w:color w:val="1F1F1F"/>
          <w:sz w:val="22"/>
          <w:szCs w:val="22"/>
        </w:rPr>
        <w:t xml:space="preserve">Implémentation en Python (vectorbt ou backtrader).</w:t>
      </w:r>
    </w:p>
    <w:p>
      <w:pPr>
        <w:pStyle w:val="ListParagraph"/>
        <w:numPr>
          <w:ilvl w:val="0"/>
          <w:numId w:val="2"/>
        </w:numPr>
        <w:spacing w:after="80" w:line="280"/>
      </w:pPr>
      <w:r>
        <w:rPr>
          <w:rFonts w:ascii="Calibri" w:cs="Calibri" w:eastAsia="Calibri" w:hAnsi="Calibri"/>
          <w:color w:val="1F1F1F"/>
          <w:sz w:val="22"/>
          <w:szCs w:val="22"/>
        </w:rPr>
        <w:t xml:space="preserve">Données : yfinance pour validation rapide, EOD Historical Data pour précision (~20 €/mois).</w:t>
      </w:r>
    </w:p>
    <w:p>
      <w:pPr>
        <w:pStyle w:val="ListParagraph"/>
        <w:numPr>
          <w:ilvl w:val="0"/>
          <w:numId w:val="2"/>
        </w:numPr>
        <w:spacing w:after="80" w:line="280"/>
      </w:pPr>
      <w:r>
        <w:rPr>
          <w:rFonts w:ascii="Calibri" w:cs="Calibri" w:eastAsia="Calibri" w:hAnsi="Calibri"/>
          <w:color w:val="1F1F1F"/>
          <w:sz w:val="22"/>
          <w:szCs w:val="22"/>
        </w:rPr>
        <w:t xml:space="preserve">Substitution des ETF récents par leurs indices sous-jacents pour avoir un historique long (le S&amp;P 500 lui-même au lieu de l'Amundi PEA S&amp;P 500 qui n'existe que depuis 2019).</w:t>
      </w:r>
    </w:p>
    <w:p>
      <w:pPr>
        <w:pStyle w:val="ListParagraph"/>
        <w:numPr>
          <w:ilvl w:val="0"/>
          <w:numId w:val="2"/>
        </w:numPr>
        <w:spacing w:after="80" w:line="280"/>
      </w:pPr>
      <w:r>
        <w:rPr>
          <w:rFonts w:ascii="Calibri" w:cs="Calibri" w:eastAsia="Calibri" w:hAnsi="Calibri"/>
          <w:color w:val="1F1F1F"/>
          <w:sz w:val="22"/>
          <w:szCs w:val="22"/>
        </w:rPr>
        <w:t xml:space="preserve">Mesure des drawdowns réels en 2008, 2020, 2022.</w:t>
      </w:r>
    </w:p>
    <w:p>
      <w:pPr>
        <w:pStyle w:val="ListParagraph"/>
        <w:numPr>
          <w:ilvl w:val="0"/>
          <w:numId w:val="2"/>
        </w:numPr>
        <w:spacing w:after="80" w:line="280"/>
      </w:pPr>
      <w:r>
        <w:rPr>
          <w:rFonts w:ascii="Calibri" w:cs="Calibri" w:eastAsia="Calibri" w:hAnsi="Calibri"/>
          <w:color w:val="1F1F1F"/>
          <w:sz w:val="22"/>
          <w:szCs w:val="22"/>
        </w:rPr>
        <w:t xml:space="preserve">Stress-test des paramètres : robustesse à des variations du lookback (3, 6, 9, 12 mois), du seuil de tilt (±2, ±3, ±5 pts), de la bande morte (3, 5, 7 %), des seuils de l'overlay progressif.</w:t>
      </w:r>
    </w:p>
    <w:p>
      <w:pPr>
        <w:pStyle w:val="ListParagraph"/>
        <w:numPr>
          <w:ilvl w:val="0"/>
          <w:numId w:val="2"/>
        </w:numPr>
        <w:spacing w:after="80" w:line="280"/>
      </w:pPr>
      <w:r>
        <w:rPr>
          <w:rFonts w:ascii="Calibri" w:cs="Calibri" w:eastAsia="Calibri" w:hAnsi="Calibri"/>
          <w:color w:val="1F1F1F"/>
          <w:sz w:val="22"/>
          <w:szCs w:val="22"/>
        </w:rPr>
        <w:t xml:space="preserve">Mesure de la fréquence des transitions entre paliers de l'overlay défensif.</w:t>
      </w:r>
    </w:p>
    <w:p>
      <w:pPr>
        <w:pStyle w:val="Heading2"/>
        <w:spacing w:after="140" w:before="280"/>
      </w:pPr>
      <w:r>
        <w:rPr>
          <w:rFonts w:ascii="Calibri" w:cs="Calibri" w:eastAsia="Calibri" w:hAnsi="Calibri"/>
          <w:b/>
          <w:bCs/>
          <w:color w:val="1F4E79"/>
          <w:sz w:val="26"/>
          <w:szCs w:val="26"/>
        </w:rPr>
        <w:t xml:space="preserve">9.2 Phase 1 — DCA simple automatisé (mois 1-3 post-transfert)</w:t>
      </w:r>
    </w:p>
    <w:p>
      <w:pPr>
        <w:spacing w:after="120" w:before="0" w:line="300"/>
      </w:pPr>
      <w:r>
        <w:rPr>
          <w:rFonts w:ascii="Calibri" w:cs="Calibri" w:eastAsia="Calibri" w:hAnsi="Calibri"/>
          <w:color w:val="1F1F1F"/>
          <w:sz w:val="22"/>
          <w:szCs w:val="22"/>
        </w:rPr>
        <w:t xml:space="preserve">Premier déploiement minimaliste. Objectif unique : valider la chaîne d'exécution de bout en bout sur le cas le plus simple possible. Pas de validation de la stratégie à ce stade — uniquement de l'infrastructure technique.</w:t>
      </w:r>
    </w:p>
    <w:p>
      <w:pPr>
        <w:pStyle w:val="ListParagraph"/>
        <w:numPr>
          <w:ilvl w:val="0"/>
          <w:numId w:val="2"/>
        </w:numPr>
        <w:spacing w:after="80" w:line="280"/>
      </w:pPr>
      <w:r>
        <w:rPr>
          <w:rFonts w:ascii="Calibri" w:cs="Calibri" w:eastAsia="Calibri" w:hAnsi="Calibri"/>
          <w:color w:val="1F1F1F"/>
          <w:sz w:val="22"/>
          <w:szCs w:val="22"/>
        </w:rPr>
        <w:t xml:space="preserve">Une fonction Python unique exécutée via cron le 1er ouvré du mois.</w:t>
      </w:r>
    </w:p>
    <w:p>
      <w:pPr>
        <w:pStyle w:val="ListParagraph"/>
        <w:numPr>
          <w:ilvl w:val="0"/>
          <w:numId w:val="2"/>
        </w:numPr>
        <w:spacing w:after="80" w:line="280"/>
      </w:pPr>
      <w:r>
        <w:rPr>
          <w:rFonts w:ascii="Calibri" w:cs="Calibri" w:eastAsia="Calibri" w:hAnsi="Calibri"/>
          <w:color w:val="1F1F1F"/>
          <w:sz w:val="22"/>
          <w:szCs w:val="22"/>
        </w:rPr>
        <w:t xml:space="preserve">Achat mensuel unique de 500 € (DCA actuel jusqu'à fin 2026) ou 1 000 € (à partir de fin 2026), sur la classe désignée par la trajectoire de convergence (section 4.7).</w:t>
      </w:r>
    </w:p>
    <w:p>
      <w:pPr>
        <w:pStyle w:val="ListParagraph"/>
        <w:numPr>
          <w:ilvl w:val="0"/>
          <w:numId w:val="2"/>
        </w:numPr>
        <w:spacing w:after="80" w:line="280"/>
      </w:pPr>
      <w:r>
        <w:rPr>
          <w:rFonts w:ascii="Calibri" w:cs="Calibri" w:eastAsia="Calibri" w:hAnsi="Calibri"/>
          <w:color w:val="1F1F1F"/>
          <w:sz w:val="22"/>
          <w:szCs w:val="22"/>
        </w:rPr>
        <w:t xml:space="preserve">Aucune logique conditionnelle, aucun branchement complexe : uniquement un ordre marché simple sur un seul ETF.</w:t>
      </w:r>
    </w:p>
    <w:p>
      <w:pPr>
        <w:pStyle w:val="ListParagraph"/>
        <w:numPr>
          <w:ilvl w:val="0"/>
          <w:numId w:val="2"/>
        </w:numPr>
        <w:spacing w:after="80" w:line="280"/>
      </w:pPr>
      <w:r>
        <w:rPr>
          <w:rFonts w:ascii="Calibri" w:cs="Calibri" w:eastAsia="Calibri" w:hAnsi="Calibri"/>
          <w:color w:val="1F1F1F"/>
          <w:sz w:val="22"/>
          <w:szCs w:val="22"/>
        </w:rPr>
        <w:t xml:space="preserve">Pas de rotation, pas d'overlay défensif, pas de rebalancement à ce stade.</w:t>
      </w:r>
    </w:p>
    <w:p>
      <w:pPr>
        <w:pStyle w:val="ListParagraph"/>
        <w:numPr>
          <w:ilvl w:val="0"/>
          <w:numId w:val="2"/>
        </w:numPr>
        <w:spacing w:after="80" w:line="280"/>
      </w:pPr>
      <w:r>
        <w:rPr>
          <w:rFonts w:ascii="Calibri" w:cs="Calibri" w:eastAsia="Calibri" w:hAnsi="Calibri"/>
          <w:color w:val="1F1F1F"/>
          <w:sz w:val="22"/>
          <w:szCs w:val="22"/>
        </w:rPr>
        <w:t xml:space="preserve">Validation : 3 cycles mensuels exécutés sans intervention manuelle, état du portefeuille cohérent avec les ordres passés.</w:t>
      </w:r>
    </w:p>
    <w:p>
      <w:pPr>
        <w:pStyle w:val="Heading2"/>
        <w:spacing w:after="140" w:before="280"/>
      </w:pPr>
      <w:r>
        <w:rPr>
          <w:rFonts w:ascii="Calibri" w:cs="Calibri" w:eastAsia="Calibri" w:hAnsi="Calibri"/>
          <w:b/>
          <w:bCs/>
          <w:color w:val="1F4E79"/>
          <w:sz w:val="26"/>
          <w:szCs w:val="26"/>
        </w:rPr>
        <w:t xml:space="preserve">9.3 Phase 2 — Couche tactique momentum (mois 4-9)</w:t>
      </w:r>
    </w:p>
    <w:p>
      <w:pPr>
        <w:spacing w:after="120" w:before="0" w:line="300"/>
      </w:pPr>
      <w:r>
        <w:rPr>
          <w:rFonts w:ascii="Calibri" w:cs="Calibri" w:eastAsia="Calibri" w:hAnsi="Calibri"/>
          <w:color w:val="1F1F1F"/>
          <w:sz w:val="22"/>
          <w:szCs w:val="22"/>
        </w:rPr>
        <w:t xml:space="preserve">Ajout de la rotation sur signal momentum 6 mois et du rebalancement périodique. La trajectoire de convergence reste prioritaire si elle n'est pas terminée.</w:t>
      </w:r>
    </w:p>
    <w:p>
      <w:pPr>
        <w:pStyle w:val="ListParagraph"/>
        <w:numPr>
          <w:ilvl w:val="0"/>
          <w:numId w:val="2"/>
        </w:numPr>
        <w:spacing w:after="80" w:line="280"/>
      </w:pPr>
      <w:r>
        <w:rPr>
          <w:rFonts w:ascii="Calibri" w:cs="Calibri" w:eastAsia="Calibri" w:hAnsi="Calibri"/>
          <w:color w:val="1F1F1F"/>
          <w:sz w:val="22"/>
          <w:szCs w:val="22"/>
        </w:rPr>
        <w:t xml:space="preserve">Calcul mensuel du momentum sur les 5 ETF du pool, attribution des tilts (+3/0/-3).</w:t>
      </w:r>
    </w:p>
    <w:p>
      <w:pPr>
        <w:pStyle w:val="ListParagraph"/>
        <w:numPr>
          <w:ilvl w:val="0"/>
          <w:numId w:val="2"/>
        </w:numPr>
        <w:spacing w:after="80" w:line="280"/>
      </w:pPr>
      <w:r>
        <w:rPr>
          <w:rFonts w:ascii="Calibri" w:cs="Calibri" w:eastAsia="Calibri" w:hAnsi="Calibri"/>
          <w:color w:val="1F1F1F"/>
          <w:sz w:val="22"/>
          <w:szCs w:val="22"/>
        </w:rPr>
        <w:t xml:space="preserve">Génération des ordres de rebalancement sous contrainte de la bande morte de 5 %, du seuil minimal 250 €, et du cap 1 rebalance/mois.</w:t>
      </w:r>
    </w:p>
    <w:p>
      <w:pPr>
        <w:pStyle w:val="ListParagraph"/>
        <w:numPr>
          <w:ilvl w:val="0"/>
          <w:numId w:val="2"/>
        </w:numPr>
        <w:spacing w:after="80" w:line="280"/>
      </w:pPr>
      <w:r>
        <w:rPr>
          <w:rFonts w:ascii="Calibri" w:cs="Calibri" w:eastAsia="Calibri" w:hAnsi="Calibri"/>
          <w:color w:val="1F1F1F"/>
          <w:sz w:val="22"/>
          <w:szCs w:val="22"/>
        </w:rPr>
        <w:t xml:space="preserve">Allocation prioritaire du DCA selon la trajectoire de convergence si elle court encore, puis selon la sous-pondération tactique.</w:t>
      </w:r>
    </w:p>
    <w:p>
      <w:pPr>
        <w:pStyle w:val="ListParagraph"/>
        <w:numPr>
          <w:ilvl w:val="0"/>
          <w:numId w:val="2"/>
        </w:numPr>
        <w:spacing w:after="80" w:line="280"/>
      </w:pPr>
      <w:r>
        <w:rPr>
          <w:rFonts w:ascii="Calibri" w:cs="Calibri" w:eastAsia="Calibri" w:hAnsi="Calibri"/>
          <w:color w:val="1F1F1F"/>
          <w:sz w:val="22"/>
          <w:szCs w:val="22"/>
        </w:rPr>
        <w:t xml:space="preserve">Validation : 6 cycles mensuels avec données et exécutions cohérentes vs simulations.</w:t>
      </w:r>
    </w:p>
    <w:p>
      <w:pPr>
        <w:pStyle w:val="Heading2"/>
        <w:spacing w:after="140" w:before="280"/>
      </w:pPr>
      <w:r>
        <w:rPr>
          <w:rFonts w:ascii="Calibri" w:cs="Calibri" w:eastAsia="Calibri" w:hAnsi="Calibri"/>
          <w:b/>
          <w:bCs/>
          <w:color w:val="1F4E79"/>
          <w:sz w:val="26"/>
          <w:szCs w:val="26"/>
        </w:rPr>
        <w:t xml:space="preserve">9.4 Phase 3 — Overlay défensif progressif (mois 10+)</w:t>
      </w:r>
    </w:p>
    <w:p>
      <w:pPr>
        <w:spacing w:after="120" w:before="0" w:line="300"/>
      </w:pPr>
      <w:r>
        <w:rPr>
          <w:rFonts w:ascii="Calibri" w:cs="Calibri" w:eastAsia="Calibri" w:hAnsi="Calibri"/>
          <w:color w:val="1F1F1F"/>
          <w:sz w:val="22"/>
          <w:szCs w:val="22"/>
        </w:rPr>
        <w:t xml:space="preserve">Ajout de la couche défensive uniquement après que les phases 1 et 2 sont stables et que les backtests ont confirmé le comportement attendu.</w:t>
      </w:r>
    </w:p>
    <w:p>
      <w:pPr>
        <w:pStyle w:val="ListParagraph"/>
        <w:numPr>
          <w:ilvl w:val="0"/>
          <w:numId w:val="2"/>
        </w:numPr>
        <w:spacing w:after="80" w:line="280"/>
      </w:pPr>
      <w:r>
        <w:rPr>
          <w:rFonts w:ascii="Calibri" w:cs="Calibri" w:eastAsia="Calibri" w:hAnsi="Calibri"/>
          <w:color w:val="1F1F1F"/>
          <w:sz w:val="22"/>
          <w:szCs w:val="22"/>
        </w:rPr>
        <w:t xml:space="preserve">Implémentation du calcul CW8 vs MM200 et de la grille à 4 paliers.</w:t>
      </w:r>
    </w:p>
    <w:p>
      <w:pPr>
        <w:pStyle w:val="ListParagraph"/>
        <w:numPr>
          <w:ilvl w:val="0"/>
          <w:numId w:val="2"/>
        </w:numPr>
        <w:spacing w:after="80" w:line="280"/>
      </w:pPr>
      <w:r>
        <w:rPr>
          <w:rFonts w:ascii="Calibri" w:cs="Calibri" w:eastAsia="Calibri" w:hAnsi="Calibri"/>
          <w:color w:val="1F1F1F"/>
          <w:sz w:val="22"/>
          <w:szCs w:val="22"/>
        </w:rPr>
        <w:t xml:space="preserve">Modification du sizing des allocations cibles selon le palier en vigueur.</w:t>
      </w:r>
    </w:p>
    <w:p>
      <w:pPr>
        <w:pStyle w:val="ListParagraph"/>
        <w:numPr>
          <w:ilvl w:val="0"/>
          <w:numId w:val="2"/>
        </w:numPr>
        <w:spacing w:after="80" w:line="280"/>
      </w:pPr>
      <w:r>
        <w:rPr>
          <w:rFonts w:ascii="Calibri" w:cs="Calibri" w:eastAsia="Calibri" w:hAnsi="Calibri"/>
          <w:color w:val="1F1F1F"/>
          <w:sz w:val="22"/>
          <w:szCs w:val="22"/>
        </w:rPr>
        <w:t xml:space="preserve">Test de la transition entre paliers, vérification que le portefeuille suit bien la cible avec respect des contraintes opérationnelles.</w:t>
      </w:r>
    </w:p>
    <w:p>
      <w:pPr>
        <w:pStyle w:val="Heading2"/>
        <w:spacing w:after="140" w:before="280"/>
      </w:pPr>
      <w:r>
        <w:rPr>
          <w:rFonts w:ascii="Calibri" w:cs="Calibri" w:eastAsia="Calibri" w:hAnsi="Calibri"/>
          <w:b/>
          <w:bCs/>
          <w:color w:val="1F4E79"/>
          <w:sz w:val="26"/>
          <w:szCs w:val="26"/>
        </w:rPr>
        <w:t xml:space="preserve">9.5 Architecture technique de l'infrastructure</w:t>
      </w:r>
    </w:p>
    <w:p>
      <w:pPr>
        <w:pStyle w:val="ListParagraph"/>
        <w:numPr>
          <w:ilvl w:val="0"/>
          <w:numId w:val="2"/>
        </w:numPr>
        <w:spacing w:after="80" w:line="280"/>
      </w:pPr>
      <w:r>
        <w:rPr>
          <w:rFonts w:ascii="Calibri" w:cs="Calibri" w:eastAsia="Calibri" w:hAnsi="Calibri"/>
          <w:color w:val="1F1F1F"/>
          <w:sz w:val="22"/>
          <w:szCs w:val="22"/>
        </w:rPr>
        <w:t xml:space="preserve">VPS Linux (3-5 €/mois) avec Xvfb pour gérer le pseudo-display imposé par IB Gateway non-headless.</w:t>
      </w:r>
    </w:p>
    <w:p>
      <w:pPr>
        <w:pStyle w:val="ListParagraph"/>
        <w:numPr>
          <w:ilvl w:val="0"/>
          <w:numId w:val="2"/>
        </w:numPr>
        <w:spacing w:after="80" w:line="280"/>
      </w:pPr>
      <w:r>
        <w:rPr>
          <w:rFonts w:ascii="Calibri" w:cs="Calibri" w:eastAsia="Calibri" w:hAnsi="Calibri"/>
          <w:color w:val="1F1F1F"/>
          <w:sz w:val="22"/>
          <w:szCs w:val="22"/>
        </w:rPr>
        <w:t xml:space="preserve">Activation de l'auto-restart quotidien IBKR pour limiter les ré-authentifications.</w:t>
      </w:r>
    </w:p>
    <w:p>
      <w:pPr>
        <w:pStyle w:val="ListParagraph"/>
        <w:numPr>
          <w:ilvl w:val="0"/>
          <w:numId w:val="2"/>
        </w:numPr>
        <w:spacing w:after="80" w:line="280"/>
      </w:pPr>
      <w:r>
        <w:rPr>
          <w:rFonts w:ascii="Calibri" w:cs="Calibri" w:eastAsia="Calibri" w:hAnsi="Calibri"/>
          <w:color w:val="1F1F1F"/>
          <w:sz w:val="22"/>
          <w:szCs w:val="22"/>
        </w:rPr>
        <w:t xml:space="preserve">Bibliothèque Python : ib_async (fork maintenu de ib_insync).</w:t>
      </w:r>
    </w:p>
    <w:p>
      <w:pPr>
        <w:pStyle w:val="ListParagraph"/>
        <w:numPr>
          <w:ilvl w:val="0"/>
          <w:numId w:val="2"/>
        </w:numPr>
        <w:spacing w:after="80" w:line="280"/>
      </w:pPr>
      <w:r>
        <w:rPr>
          <w:rFonts w:ascii="Calibri" w:cs="Calibri" w:eastAsia="Calibri" w:hAnsi="Calibri"/>
          <w:color w:val="1F1F1F"/>
          <w:sz w:val="22"/>
          <w:szCs w:val="22"/>
        </w:rPr>
        <w:t xml:space="preserve">Modules séparés : récupération de données, calcul des signaux, génération des ordres, exécution avec gestion T+2.</w:t>
      </w:r>
    </w:p>
    <w:p>
      <w:pPr>
        <w:pStyle w:val="ListParagraph"/>
        <w:numPr>
          <w:ilvl w:val="0"/>
          <w:numId w:val="2"/>
        </w:numPr>
        <w:spacing w:after="80" w:line="280"/>
      </w:pPr>
      <w:r>
        <w:rPr>
          <w:rFonts w:ascii="Calibri" w:cs="Calibri" w:eastAsia="Calibri" w:hAnsi="Calibri"/>
          <w:color w:val="1F1F1F"/>
          <w:sz w:val="22"/>
          <w:szCs w:val="22"/>
        </w:rPr>
        <w:t xml:space="preserve">Tests préalables sur compte paper trading IBKR.</w:t>
      </w:r>
    </w:p>
    <w:p>
      <w:pPr>
        <w:pStyle w:val="Heading2"/>
        <w:spacing w:after="140" w:before="280"/>
      </w:pPr>
      <w:r>
        <w:rPr>
          <w:rFonts w:ascii="Calibri" w:cs="Calibri" w:eastAsia="Calibri" w:hAnsi="Calibri"/>
          <w:b/>
          <w:bCs/>
          <w:color w:val="1F4E79"/>
          <w:sz w:val="26"/>
          <w:szCs w:val="26"/>
        </w:rPr>
        <w:t xml:space="preserve">9.6 Kill switch et garde-fous d'exécution</w:t>
      </w:r>
    </w:p>
    <w:p>
      <w:pPr>
        <w:spacing w:after="120" w:before="0" w:line="300"/>
      </w:pPr>
      <w:r>
        <w:rPr>
          <w:rFonts w:ascii="Calibri" w:cs="Calibri" w:eastAsia="Calibri" w:hAnsi="Calibri"/>
          <w:color w:val="1F1F1F"/>
          <w:sz w:val="22"/>
          <w:szCs w:val="22"/>
        </w:rPr>
        <w:t xml:space="preserve">Indispensable pour toute exécution automatisée. Le script s'arrête immédiatement et envoie une alerte humaine (mail, SMS via Twilio) en cas de :</w:t>
      </w:r>
    </w:p>
    <w:p>
      <w:pPr>
        <w:pStyle w:val="ListParagraph"/>
        <w:numPr>
          <w:ilvl w:val="0"/>
          <w:numId w:val="2"/>
        </w:numPr>
        <w:spacing w:after="80" w:line="280"/>
      </w:pPr>
      <w:r>
        <w:rPr>
          <w:rFonts w:ascii="Calibri" w:cs="Calibri" w:eastAsia="Calibri" w:hAnsi="Calibri"/>
          <w:color w:val="1F1F1F"/>
          <w:sz w:val="22"/>
          <w:szCs w:val="22"/>
        </w:rPr>
        <w:t xml:space="preserve">Différence &gt; 1 % entre l'état théorique du portefeuille et l'état réel constaté en début de cycle.</w:t>
      </w:r>
    </w:p>
    <w:p>
      <w:pPr>
        <w:pStyle w:val="ListParagraph"/>
        <w:numPr>
          <w:ilvl w:val="0"/>
          <w:numId w:val="2"/>
        </w:numPr>
        <w:spacing w:after="80" w:line="280"/>
      </w:pPr>
      <w:r>
        <w:rPr>
          <w:rFonts w:ascii="Calibri" w:cs="Calibri" w:eastAsia="Calibri" w:hAnsi="Calibri"/>
          <w:color w:val="1F1F1F"/>
          <w:sz w:val="22"/>
          <w:szCs w:val="22"/>
        </w:rPr>
        <w:t xml:space="preserve">Ordre rejeté ou exécuté partiellement.</w:t>
      </w:r>
    </w:p>
    <w:p>
      <w:pPr>
        <w:pStyle w:val="ListParagraph"/>
        <w:numPr>
          <w:ilvl w:val="0"/>
          <w:numId w:val="2"/>
        </w:numPr>
        <w:spacing w:after="80" w:line="280"/>
      </w:pPr>
      <w:r>
        <w:rPr>
          <w:rFonts w:ascii="Calibri" w:cs="Calibri" w:eastAsia="Calibri" w:hAnsi="Calibri"/>
          <w:color w:val="1F1F1F"/>
          <w:sz w:val="22"/>
          <w:szCs w:val="22"/>
        </w:rPr>
        <w:t xml:space="preserve">Données de marché manquantes pour un ou plusieurs ETF du pool.</w:t>
      </w:r>
    </w:p>
    <w:p>
      <w:pPr>
        <w:pStyle w:val="ListParagraph"/>
        <w:numPr>
          <w:ilvl w:val="0"/>
          <w:numId w:val="2"/>
        </w:numPr>
        <w:spacing w:after="80" w:line="280"/>
      </w:pPr>
      <w:r>
        <w:rPr>
          <w:rFonts w:ascii="Calibri" w:cs="Calibri" w:eastAsia="Calibri" w:hAnsi="Calibri"/>
          <w:color w:val="1F1F1F"/>
          <w:sz w:val="22"/>
          <w:szCs w:val="22"/>
        </w:rPr>
        <w:t xml:space="preserve">Disconnect persistant de l'API IBKR (&gt; 5 minutes).</w:t>
      </w:r>
    </w:p>
    <w:p>
      <w:pPr>
        <w:pStyle w:val="ListParagraph"/>
        <w:numPr>
          <w:ilvl w:val="0"/>
          <w:numId w:val="2"/>
        </w:numPr>
        <w:spacing w:after="80" w:line="280"/>
      </w:pPr>
      <w:r>
        <w:rPr>
          <w:rFonts w:ascii="Calibri" w:cs="Calibri" w:eastAsia="Calibri" w:hAnsi="Calibri"/>
          <w:color w:val="1F1F1F"/>
          <w:sz w:val="22"/>
          <w:szCs w:val="22"/>
        </w:rPr>
        <w:t xml:space="preserve">Anomalie sur le PRU ou la quantité d'une ligne (cohérence comptable).</w:t>
      </w:r>
    </w:p>
    <w:p>
      <w:pPr>
        <w:spacing w:after="120" w:before="0" w:line="300"/>
      </w:pPr>
      <w:r>
        <w:rPr>
          <w:rFonts w:ascii="Calibri" w:cs="Calibri" w:eastAsia="Calibri" w:hAnsi="Calibri"/>
          <w:b/>
          <w:bCs/>
          <w:color w:val="1F1F1F"/>
          <w:sz w:val="22"/>
          <w:szCs w:val="22"/>
        </w:rPr>
        <w:t xml:space="preserve">Principe : </w:t>
      </w:r>
      <w:r>
        <w:rPr>
          <w:rFonts w:ascii="Calibri" w:cs="Calibri" w:eastAsia="Calibri" w:hAnsi="Calibri"/>
          <w:color w:val="1F1F1F"/>
          <w:sz w:val="22"/>
          <w:szCs w:val="22"/>
        </w:rPr>
        <w:t xml:space="preserve">aucun "best effort" en cas d'anomalie. La règle est simple : tout doute déclenche un arrêt et une attente d'intervention humaine. Mieux vaut un cycle manqué qu'une exécution dégradée.</w:t>
      </w:r>
    </w:p>
    <w:p>
      <w:pPr>
        <w:pStyle w:val="Heading2"/>
        <w:spacing w:after="140" w:before="280"/>
      </w:pPr>
      <w:r>
        <w:rPr>
          <w:rFonts w:ascii="Calibri" w:cs="Calibri" w:eastAsia="Calibri" w:hAnsi="Calibri"/>
          <w:b/>
          <w:bCs/>
          <w:color w:val="1F4E79"/>
          <w:sz w:val="26"/>
          <w:szCs w:val="26"/>
        </w:rPr>
        <w:t xml:space="preserve">9.7 Journalisation et piste d'audit</w:t>
      </w:r>
    </w:p>
    <w:p>
      <w:pPr>
        <w:spacing w:after="120" w:before="0" w:line="300"/>
      </w:pPr>
      <w:r>
        <w:rPr>
          <w:rFonts w:ascii="Calibri" w:cs="Calibri" w:eastAsia="Calibri" w:hAnsi="Calibri"/>
          <w:color w:val="1F1F1F"/>
          <w:sz w:val="22"/>
          <w:szCs w:val="22"/>
        </w:rPr>
        <w:t xml:space="preserve">À chaque cycle mensuel, le script produit et archive :</w:t>
      </w:r>
    </w:p>
    <w:p>
      <w:pPr>
        <w:pStyle w:val="ListParagraph"/>
        <w:numPr>
          <w:ilvl w:val="0"/>
          <w:numId w:val="2"/>
        </w:numPr>
        <w:spacing w:after="80" w:line="280"/>
      </w:pPr>
      <w:r>
        <w:rPr>
          <w:rFonts w:ascii="Calibri" w:cs="Calibri" w:eastAsia="Calibri" w:hAnsi="Calibri"/>
          <w:color w:val="1F1F1F"/>
          <w:sz w:val="22"/>
          <w:szCs w:val="22"/>
        </w:rPr>
        <w:t xml:space="preserve">Snapshot CSV de l'état du portefeuille (positions, valorisations, allocations vs cibles).</w:t>
      </w:r>
    </w:p>
    <w:p>
      <w:pPr>
        <w:pStyle w:val="ListParagraph"/>
        <w:numPr>
          <w:ilvl w:val="0"/>
          <w:numId w:val="2"/>
        </w:numPr>
        <w:spacing w:after="80" w:line="280"/>
      </w:pPr>
      <w:r>
        <w:rPr>
          <w:rFonts w:ascii="Calibri" w:cs="Calibri" w:eastAsia="Calibri" w:hAnsi="Calibri"/>
          <w:color w:val="1F1F1F"/>
          <w:sz w:val="22"/>
          <w:szCs w:val="22"/>
        </w:rPr>
        <w:t xml:space="preserve">Log complet des ordres générés et exécutés (horodatage, prix, quantité, frais).</w:t>
      </w:r>
    </w:p>
    <w:p>
      <w:pPr>
        <w:pStyle w:val="ListParagraph"/>
        <w:numPr>
          <w:ilvl w:val="0"/>
          <w:numId w:val="2"/>
        </w:numPr>
        <w:spacing w:after="80" w:line="280"/>
      </w:pPr>
      <w:r>
        <w:rPr>
          <w:rFonts w:ascii="Calibri" w:cs="Calibri" w:eastAsia="Calibri" w:hAnsi="Calibri"/>
          <w:color w:val="1F1F1F"/>
          <w:sz w:val="22"/>
          <w:szCs w:val="22"/>
        </w:rPr>
        <w:t xml:space="preserve">Historique des signaux du cycle (CW8 vs MM200 avec position en %, momentum 6 mois de chaque ETF, palier d'overlay actif).</w:t>
      </w:r>
    </w:p>
    <w:p>
      <w:pPr>
        <w:pStyle w:val="ListParagraph"/>
        <w:numPr>
          <w:ilvl w:val="0"/>
          <w:numId w:val="2"/>
        </w:numPr>
        <w:spacing w:after="80" w:line="280"/>
      </w:pPr>
      <w:r>
        <w:rPr>
          <w:rFonts w:ascii="Calibri" w:cs="Calibri" w:eastAsia="Calibri" w:hAnsi="Calibri"/>
          <w:color w:val="1F1F1F"/>
          <w:sz w:val="22"/>
          <w:szCs w:val="22"/>
        </w:rPr>
        <w:t xml:space="preserve">Stockage en local (versionné Git) et synchronisé sur cloud (Backblaze B2 ou équivalent).</w:t>
      </w:r>
    </w:p>
    <w:p>
      <w:pPr>
        <w:spacing w:after="120" w:before="0" w:line="300"/>
      </w:pPr>
      <w:r>
        <w:rPr>
          <w:rFonts w:ascii="Calibri" w:cs="Calibri" w:eastAsia="Calibri" w:hAnsi="Calibri"/>
          <w:color w:val="1F1F1F"/>
          <w:sz w:val="22"/>
          <w:szCs w:val="22"/>
        </w:rPr>
        <w:t xml:space="preserve">Bénéfices : audit fiscal facilité, debug en cas d'anomalie, historique disponible pour analyse rétrospective et révisions futures de la stratégie.</w:t>
      </w:r>
    </w:p>
    <w:p>
      <w:pPr>
        <w:pStyle w:val="Heading2"/>
        <w:spacing w:after="140" w:before="280"/>
      </w:pPr>
      <w:r>
        <w:rPr>
          <w:rFonts w:ascii="Calibri" w:cs="Calibri" w:eastAsia="Calibri" w:hAnsi="Calibri"/>
          <w:b/>
          <w:bCs/>
          <w:color w:val="1F4E79"/>
          <w:sz w:val="26"/>
          <w:szCs w:val="26"/>
        </w:rPr>
        <w:t xml:space="preserve">9.8 Gestion d'erreurs API</w:t>
      </w:r>
    </w:p>
    <w:p>
      <w:pPr>
        <w:pStyle w:val="ListParagraph"/>
        <w:numPr>
          <w:ilvl w:val="0"/>
          <w:numId w:val="2"/>
        </w:numPr>
        <w:spacing w:after="80" w:line="280"/>
      </w:pPr>
      <w:r>
        <w:rPr>
          <w:rFonts w:ascii="Calibri" w:cs="Calibri" w:eastAsia="Calibri" w:hAnsi="Calibri"/>
          <w:color w:val="1F1F1F"/>
          <w:sz w:val="22"/>
          <w:szCs w:val="22"/>
        </w:rPr>
        <w:t xml:space="preserve">Retry exponentiel sur les erreurs transitoires (max 3 tentatives, intervalle doublant à chaque essai).</w:t>
      </w:r>
    </w:p>
    <w:p>
      <w:pPr>
        <w:pStyle w:val="ListParagraph"/>
        <w:numPr>
          <w:ilvl w:val="0"/>
          <w:numId w:val="2"/>
        </w:numPr>
        <w:spacing w:after="80" w:line="280"/>
      </w:pPr>
      <w:r>
        <w:rPr>
          <w:rFonts w:ascii="Calibri" w:cs="Calibri" w:eastAsia="Calibri" w:hAnsi="Calibri"/>
          <w:color w:val="1F1F1F"/>
          <w:sz w:val="22"/>
          <w:szCs w:val="22"/>
        </w:rPr>
        <w:t xml:space="preserve">Gestion explicite des cas marchés fermés / jours fériés Euronext (utilisation du calendrier officiel).</w:t>
      </w:r>
    </w:p>
    <w:p>
      <w:pPr>
        <w:pStyle w:val="ListParagraph"/>
        <w:numPr>
          <w:ilvl w:val="0"/>
          <w:numId w:val="2"/>
        </w:numPr>
        <w:spacing w:after="80" w:line="280"/>
      </w:pPr>
      <w:r>
        <w:rPr>
          <w:rFonts w:ascii="Calibri" w:cs="Calibri" w:eastAsia="Calibri" w:hAnsi="Calibri"/>
          <w:color w:val="1F1F1F"/>
          <w:sz w:val="22"/>
          <w:szCs w:val="22"/>
        </w:rPr>
        <w:t xml:space="preserve">Détection des disconnects IB Gateway et reconnexion automatique avec timeout.</w:t>
      </w:r>
    </w:p>
    <w:p>
      <w:pPr>
        <w:pStyle w:val="ListParagraph"/>
        <w:numPr>
          <w:ilvl w:val="0"/>
          <w:numId w:val="2"/>
        </w:numPr>
        <w:spacing w:after="80" w:line="280"/>
      </w:pPr>
      <w:r>
        <w:rPr>
          <w:rFonts w:ascii="Calibri" w:cs="Calibri" w:eastAsia="Calibri" w:hAnsi="Calibri"/>
          <w:color w:val="1F1F1F"/>
          <w:sz w:val="22"/>
          <w:szCs w:val="22"/>
        </w:rPr>
        <w:t xml:space="preserve">Synchronisation systématique du portefeuille réel vs attendu en début de chaque cycle.</w:t>
      </w:r>
    </w:p>
    <w:p>
      <w:pPr>
        <w:pStyle w:val="ListParagraph"/>
        <w:numPr>
          <w:ilvl w:val="0"/>
          <w:numId w:val="2"/>
        </w:numPr>
        <w:spacing w:after="80" w:line="280"/>
      </w:pPr>
      <w:r>
        <w:rPr>
          <w:rFonts w:ascii="Calibri" w:cs="Calibri" w:eastAsia="Calibri" w:hAnsi="Calibri"/>
          <w:color w:val="1F1F1F"/>
          <w:sz w:val="22"/>
          <w:szCs w:val="22"/>
        </w:rPr>
        <w:t xml:space="preserve">Logging structuré (JSON) de toutes les interactions API pour traçabilité.</w:t>
      </w:r>
    </w:p>
    <w:p>
      <w:pPr>
        <w:pStyle w:val="Heading2"/>
        <w:spacing w:after="140" w:before="280"/>
      </w:pPr>
      <w:r>
        <w:rPr>
          <w:rFonts w:ascii="Calibri" w:cs="Calibri" w:eastAsia="Calibri" w:hAnsi="Calibri"/>
          <w:b/>
          <w:bCs/>
          <w:color w:val="1F4E79"/>
          <w:sz w:val="26"/>
          <w:szCs w:val="26"/>
        </w:rPr>
        <w:t xml:space="preserve">9.9 Plan de rollback</w:t>
      </w:r>
    </w:p>
    <w:p>
      <w:pPr>
        <w:spacing w:after="120" w:before="0" w:line="300"/>
      </w:pPr>
      <w:r>
        <w:rPr>
          <w:rFonts w:ascii="Calibri" w:cs="Calibri" w:eastAsia="Calibri" w:hAnsi="Calibri"/>
          <w:color w:val="1F1F1F"/>
          <w:sz w:val="22"/>
          <w:szCs w:val="22"/>
        </w:rPr>
        <w:t xml:space="preserve">Scénarios de défaillance plateforme et plans de continuité associés :</w:t>
      </w:r>
    </w:p>
    <w:p>
      <w:pPr>
        <w:pStyle w:val="ListParagraph"/>
        <w:numPr>
          <w:ilvl w:val="0"/>
          <w:numId w:val="2"/>
        </w:numPr>
        <w:spacing w:after="80" w:line="280"/>
      </w:pPr>
      <w:r>
        <w:rPr>
          <w:rFonts w:ascii="Calibri" w:cs="Calibri" w:eastAsia="Calibri" w:hAnsi="Calibri"/>
          <w:b/>
          <w:bCs/>
          <w:color w:val="1F1F1F"/>
          <w:sz w:val="22"/>
          <w:szCs w:val="22"/>
        </w:rPr>
        <w:t xml:space="preserve">IBKR cesse de proposer le PEA français : </w:t>
      </w:r>
      <w:r>
        <w:rPr>
          <w:rFonts w:ascii="Calibri" w:cs="Calibri" w:eastAsia="Calibri" w:hAnsi="Calibri"/>
          <w:color w:val="1F1F1F"/>
          <w:sz w:val="22"/>
          <w:szCs w:val="22"/>
        </w:rPr>
        <w:t xml:space="preserve">transfert vers Saxo Banque (qui dispose aussi d'une API REST OpenAPI mature et propose le PEA). Délai de bascule estimé à 3 mois (transfert PEA standard).</w:t>
      </w:r>
    </w:p>
    <w:p>
      <w:pPr>
        <w:pStyle w:val="ListParagraph"/>
        <w:numPr>
          <w:ilvl w:val="0"/>
          <w:numId w:val="2"/>
        </w:numPr>
        <w:spacing w:after="80" w:line="280"/>
      </w:pPr>
      <w:r>
        <w:rPr>
          <w:rFonts w:ascii="Calibri" w:cs="Calibri" w:eastAsia="Calibri" w:hAnsi="Calibri"/>
          <w:b/>
          <w:bCs/>
          <w:color w:val="1F1F1F"/>
          <w:sz w:val="22"/>
          <w:szCs w:val="22"/>
        </w:rPr>
        <w:t xml:space="preserve">Modification rupture de la TWS API : </w:t>
      </w:r>
      <w:r>
        <w:rPr>
          <w:rFonts w:ascii="Calibri" w:cs="Calibri" w:eastAsia="Calibri" w:hAnsi="Calibri"/>
          <w:color w:val="1F1F1F"/>
          <w:sz w:val="22"/>
          <w:szCs w:val="22"/>
        </w:rPr>
        <w:t xml:space="preserve">bascule sur l'API Web REST IBKR (alternative supportée). Effort de réécriture estimé à 2 semaines.</w:t>
      </w:r>
    </w:p>
    <w:p>
      <w:pPr>
        <w:pStyle w:val="ListParagraph"/>
        <w:numPr>
          <w:ilvl w:val="0"/>
          <w:numId w:val="2"/>
        </w:numPr>
        <w:spacing w:after="80" w:line="280"/>
      </w:pPr>
      <w:r>
        <w:rPr>
          <w:rFonts w:ascii="Calibri" w:cs="Calibri" w:eastAsia="Calibri" w:hAnsi="Calibri"/>
          <w:b/>
          <w:bCs/>
          <w:color w:val="1F1F1F"/>
          <w:sz w:val="22"/>
          <w:szCs w:val="22"/>
        </w:rPr>
        <w:t xml:space="preserve">Incident persistant côté infrastructure (VPS, IB Gateway) : </w:t>
      </w:r>
      <w:r>
        <w:rPr>
          <w:rFonts w:ascii="Calibri" w:cs="Calibri" w:eastAsia="Calibri" w:hAnsi="Calibri"/>
          <w:color w:val="1F1F1F"/>
          <w:sz w:val="22"/>
          <w:szCs w:val="22"/>
        </w:rPr>
        <w:t xml:space="preserve">exécution manuelle pendant la période d'incident. Tous les paramètres (allocation cible, signaux du mois) sont calculables manuellement à partir des CSV de la phase précédente.</w:t>
      </w:r>
    </w:p>
    <w:p>
      <w:pPr>
        <w:pStyle w:val="Heading2"/>
        <w:spacing w:after="140" w:before="280"/>
      </w:pPr>
      <w:r>
        <w:rPr>
          <w:rFonts w:ascii="Calibri" w:cs="Calibri" w:eastAsia="Calibri" w:hAnsi="Calibri"/>
          <w:b/>
          <w:bCs/>
          <w:color w:val="1F4E79"/>
          <w:sz w:val="26"/>
          <w:szCs w:val="26"/>
        </w:rPr>
        <w:t xml:space="preserve">9.10 Gouvernance et évolution de la stratégie</w:t>
      </w:r>
    </w:p>
    <w:p>
      <w:pPr>
        <w:pStyle w:val="Heading3"/>
        <w:spacing w:after="100" w:before="220"/>
      </w:pPr>
      <w:r>
        <w:rPr>
          <w:rFonts w:ascii="Calibri" w:cs="Calibri" w:eastAsia="Calibri" w:hAnsi="Calibri"/>
          <w:b/>
          <w:bCs/>
          <w:color w:val="2E75B6"/>
          <w:sz w:val="23"/>
          <w:szCs w:val="23"/>
        </w:rPr>
        <w:t xml:space="preserve">Cadrage philosophique de la stratégie</w:t>
      </w:r>
    </w:p>
    <w:p>
      <w:pPr>
        <w:spacing w:after="120" w:before="0" w:line="300"/>
      </w:pPr>
      <w:r>
        <w:rPr>
          <w:rFonts w:ascii="Calibri" w:cs="Calibri" w:eastAsia="Calibri" w:hAnsi="Calibri"/>
          <w:color w:val="1F1F1F"/>
          <w:sz w:val="22"/>
          <w:szCs w:val="22"/>
        </w:rPr>
        <w:t xml:space="preserve">La stratégie est explicitement conçue comme une </w:t>
      </w:r>
      <w:r>
        <w:rPr>
          <w:rFonts w:ascii="Calibri" w:cs="Calibri" w:eastAsia="Calibri" w:hAnsi="Calibri"/>
          <w:b/>
          <w:bCs/>
          <w:color w:val="1F1F1F"/>
          <w:sz w:val="22"/>
          <w:szCs w:val="22"/>
        </w:rPr>
        <w:t xml:space="preserve">optimisation comportementale</w:t>
      </w:r>
      <w:r>
        <w:rPr>
          <w:rFonts w:ascii="Calibri" w:cs="Calibri" w:eastAsia="Calibri" w:hAnsi="Calibri"/>
          <w:color w:val="1F1F1F"/>
          <w:sz w:val="22"/>
          <w:szCs w:val="22"/>
        </w:rPr>
        <w:t xml:space="preserve">, pas comme une machine à surperformer le marché. Sa raison d'être est de réduire les drawdowns et la volatilité afin de maximiser la probabilité de tenir 20 ans, et non de produire un rendement supérieur à un buy-and-hold passif. Cette distinction est fondamentale : sur le rendement terminal pur, un DCA simple sur ETF World peut très probablement surperformer la stratégie ici décrite. Le bénéfice attendu est ailleurs : dans la qualité d'expérience d'investissement, la robustesse psychologique, et la tenue de la discipline sur le long terme.</w:t>
      </w:r>
    </w:p>
    <w:p>
      <w:pPr>
        <w:spacing w:after="240"/>
      </w:pPr>
    </w:p>
    <w:p>
      <w:pPr>
        <w:pStyle w:val="Heading3"/>
        <w:spacing w:after="100" w:before="220"/>
      </w:pPr>
      <w:r>
        <w:rPr>
          <w:rFonts w:ascii="Calibri" w:cs="Calibri" w:eastAsia="Calibri" w:hAnsi="Calibri"/>
          <w:b/>
          <w:bCs/>
          <w:color w:val="2E75B6"/>
          <w:sz w:val="23"/>
          <w:szCs w:val="23"/>
        </w:rPr>
        <w:t xml:space="preserve">Règle d'or anti-complexification</w:t>
      </w:r>
    </w:p>
    <w:p>
      <w:pPr>
        <w:spacing w:after="120" w:before="0" w:line="300"/>
      </w:pPr>
      <w:r>
        <w:rPr>
          <w:rFonts w:ascii="Calibri" w:cs="Calibri" w:eastAsia="Calibri" w:hAnsi="Calibri"/>
          <w:color w:val="C00000"/>
          <w:sz w:val="22"/>
          <w:szCs w:val="22"/>
        </w:rPr>
        <w:t xml:space="preserve">Tout ajout futur à la stratégie ou à l'infrastructure doit, soit réduire la complexité effective du système, soit améliorer significativement sa robustesse. </w:t>
      </w:r>
      <w:r>
        <w:rPr>
          <w:rFonts w:ascii="Calibri" w:cs="Calibri" w:eastAsia="Calibri" w:hAnsi="Calibri"/>
          <w:color w:val="1F1F1F"/>
          <w:sz w:val="22"/>
          <w:szCs w:val="22"/>
        </w:rPr>
        <w:t xml:space="preserve">Aucun ajout ne se justifie par la simple curiosité technique, le suivi de tendance (« il faudrait peut-être ajouter un signal RSI », « un filtre macro », « un modèle d'IA de régime ») ou l'optimisation marginale. La sophistication progressive est le principal mode d'échec des stratégies systématiques personnelles.</w:t>
      </w:r>
    </w:p>
    <w:p>
      <w:pPr>
        <w:spacing w:after="240"/>
      </w:pPr>
    </w:p>
    <w:p>
      <w:pPr>
        <w:pStyle w:val="Heading3"/>
        <w:spacing w:after="100" w:before="220"/>
      </w:pPr>
      <w:r>
        <w:rPr>
          <w:rFonts w:ascii="Calibri" w:cs="Calibri" w:eastAsia="Calibri" w:hAnsi="Calibri"/>
          <w:b/>
          <w:bCs/>
          <w:color w:val="2E75B6"/>
          <w:sz w:val="23"/>
          <w:szCs w:val="23"/>
        </w:rPr>
        <w:t xml:space="preserve">Règle de gouvernance des modifications</w:t>
      </w:r>
    </w:p>
    <w:p>
      <w:pPr>
        <w:spacing w:after="120" w:before="0" w:line="300"/>
      </w:pPr>
      <w:r>
        <w:rPr>
          <w:rFonts w:ascii="Calibri" w:cs="Calibri" w:eastAsia="Calibri" w:hAnsi="Calibri"/>
          <w:color w:val="1F1F1F"/>
          <w:sz w:val="22"/>
          <w:szCs w:val="22"/>
        </w:rPr>
        <w:t xml:space="preserve">Aucun changement structurel à la stratégie n'est autorisé en dehors du cadre suivant :</w:t>
      </w:r>
    </w:p>
    <w:p>
      <w:pPr>
        <w:pStyle w:val="ListParagraph"/>
        <w:numPr>
          <w:ilvl w:val="0"/>
          <w:numId w:val="2"/>
        </w:numPr>
        <w:spacing w:after="80" w:line="280"/>
      </w:pPr>
      <w:r>
        <w:rPr>
          <w:rFonts w:ascii="Calibri" w:cs="Calibri" w:eastAsia="Calibri" w:hAnsi="Calibri"/>
          <w:b/>
          <w:bCs/>
          <w:color w:val="1F1F1F"/>
          <w:sz w:val="22"/>
          <w:szCs w:val="22"/>
        </w:rPr>
        <w:t xml:space="preserve">Délai minimum d'observation : </w:t>
      </w:r>
      <w:r>
        <w:rPr>
          <w:rFonts w:ascii="Calibri" w:cs="Calibri" w:eastAsia="Calibri" w:hAnsi="Calibri"/>
          <w:color w:val="1F1F1F"/>
          <w:sz w:val="22"/>
          <w:szCs w:val="22"/>
        </w:rPr>
        <w:t xml:space="preserve">24 mois de données de production réelle accumulées avant toute modification structurelle. Aucune dérogation.</w:t>
      </w:r>
    </w:p>
    <w:p>
      <w:pPr>
        <w:pStyle w:val="ListParagraph"/>
        <w:numPr>
          <w:ilvl w:val="0"/>
          <w:numId w:val="2"/>
        </w:numPr>
        <w:spacing w:after="80" w:line="280"/>
      </w:pPr>
      <w:r>
        <w:rPr>
          <w:rFonts w:ascii="Calibri" w:cs="Calibri" w:eastAsia="Calibri" w:hAnsi="Calibri"/>
          <w:b/>
          <w:bCs/>
          <w:color w:val="1F1F1F"/>
          <w:sz w:val="22"/>
          <w:szCs w:val="22"/>
        </w:rPr>
        <w:t xml:space="preserve">Aucun changement basé sur un événement isolé : </w:t>
      </w:r>
      <w:r>
        <w:rPr>
          <w:rFonts w:ascii="Calibri" w:cs="Calibri" w:eastAsia="Calibri" w:hAnsi="Calibri"/>
          <w:color w:val="1F1F1F"/>
          <w:sz w:val="22"/>
          <w:szCs w:val="22"/>
        </w:rPr>
        <w:t xml:space="preserve">ni une seule crise, ni une seule période de sous-performance, ni un seul backtest, ni une intuition discrétionnaire ne suffit à motiver une modification.</w:t>
      </w:r>
    </w:p>
    <w:p>
      <w:pPr>
        <w:pStyle w:val="ListParagraph"/>
        <w:numPr>
          <w:ilvl w:val="0"/>
          <w:numId w:val="2"/>
        </w:numPr>
        <w:spacing w:after="80" w:line="280"/>
      </w:pPr>
      <w:r>
        <w:rPr>
          <w:rFonts w:ascii="Calibri" w:cs="Calibri" w:eastAsia="Calibri" w:hAnsi="Calibri"/>
          <w:b/>
          <w:bCs/>
          <w:color w:val="1F1F1F"/>
          <w:sz w:val="22"/>
          <w:szCs w:val="22"/>
        </w:rPr>
        <w:t xml:space="preserve">Hypothèse falsifiable obligatoire : </w:t>
      </w:r>
      <w:r>
        <w:rPr>
          <w:rFonts w:ascii="Calibri" w:cs="Calibri" w:eastAsia="Calibri" w:hAnsi="Calibri"/>
          <w:color w:val="1F1F1F"/>
          <w:sz w:val="22"/>
          <w:szCs w:val="22"/>
        </w:rPr>
        <w:t xml:space="preserve">toute modification proposée doit s'accompagner d'une hypothèse précise et testable ("je m'attends à observer X dans les conditions Y"), pas d'une intuition générique.</w:t>
      </w:r>
    </w:p>
    <w:p>
      <w:pPr>
        <w:pStyle w:val="ListParagraph"/>
        <w:numPr>
          <w:ilvl w:val="0"/>
          <w:numId w:val="2"/>
        </w:numPr>
        <w:spacing w:after="80" w:line="280"/>
      </w:pPr>
      <w:r>
        <w:rPr>
          <w:rFonts w:ascii="Calibri" w:cs="Calibri" w:eastAsia="Calibri" w:hAnsi="Calibri"/>
          <w:b/>
          <w:bCs/>
          <w:color w:val="1F1F1F"/>
          <w:sz w:val="22"/>
          <w:szCs w:val="22"/>
        </w:rPr>
        <w:t xml:space="preserve">Test hors échantillon obligatoire : </w:t>
      </w:r>
      <w:r>
        <w:rPr>
          <w:rFonts w:ascii="Calibri" w:cs="Calibri" w:eastAsia="Calibri" w:hAnsi="Calibri"/>
          <w:color w:val="1F1F1F"/>
          <w:sz w:val="22"/>
          <w:szCs w:val="22"/>
        </w:rPr>
        <w:t xml:space="preserve">validation sur des données ou des régimes non utilisés pour formuler la modification.</w:t>
      </w:r>
    </w:p>
    <w:p>
      <w:pPr>
        <w:pStyle w:val="ListParagraph"/>
        <w:numPr>
          <w:ilvl w:val="0"/>
          <w:numId w:val="2"/>
        </w:numPr>
        <w:spacing w:after="80" w:line="280"/>
      </w:pPr>
      <w:r>
        <w:rPr>
          <w:rFonts w:ascii="Calibri" w:cs="Calibri" w:eastAsia="Calibri" w:hAnsi="Calibri"/>
          <w:b/>
          <w:bCs/>
          <w:color w:val="1F1F1F"/>
          <w:sz w:val="22"/>
          <w:szCs w:val="22"/>
        </w:rPr>
        <w:t xml:space="preserve">Critère d'amélioration nette : </w:t>
      </w:r>
      <w:r>
        <w:rPr>
          <w:rFonts w:ascii="Calibri" w:cs="Calibri" w:eastAsia="Calibri" w:hAnsi="Calibri"/>
          <w:color w:val="1F1F1F"/>
          <w:sz w:val="22"/>
          <w:szCs w:val="22"/>
        </w:rPr>
        <w:t xml:space="preserve">la modification doit réduire le risque ou la complexité. Une amélioration de rendement seul ne suffit pas à la justifier.</w:t>
      </w:r>
    </w:p>
    <w:p>
      <w:pPr>
        <w:pStyle w:val="ListParagraph"/>
        <w:numPr>
          <w:ilvl w:val="0"/>
          <w:numId w:val="2"/>
        </w:numPr>
        <w:spacing w:after="80" w:line="280"/>
      </w:pPr>
      <w:r>
        <w:rPr>
          <w:rFonts w:ascii="Calibri" w:cs="Calibri" w:eastAsia="Calibri" w:hAnsi="Calibri"/>
          <w:b/>
          <w:bCs/>
          <w:color w:val="1F1F1F"/>
          <w:sz w:val="22"/>
          <w:szCs w:val="22"/>
        </w:rPr>
        <w:t xml:space="preserve">Documentation : </w:t>
      </w:r>
      <w:r>
        <w:rPr>
          <w:rFonts w:ascii="Calibri" w:cs="Calibri" w:eastAsia="Calibri" w:hAnsi="Calibri"/>
          <w:color w:val="1F1F1F"/>
          <w:sz w:val="22"/>
          <w:szCs w:val="22"/>
        </w:rPr>
        <w:t xml:space="preserve">toute modification accompagnée d'un changelog daté, mentionnant l'hypothèse, le test, le résultat, et la décision finale.</w:t>
      </w:r>
    </w:p>
    <w:p>
      <w:pPr>
        <w:spacing w:after="240"/>
      </w:pPr>
    </w:p>
    <w:p>
      <w:pPr>
        <w:pStyle w:val="Heading3"/>
        <w:spacing w:after="100" w:before="220"/>
      </w:pPr>
      <w:r>
        <w:rPr>
          <w:rFonts w:ascii="Calibri" w:cs="Calibri" w:eastAsia="Calibri" w:hAnsi="Calibri"/>
          <w:b/>
          <w:bCs/>
          <w:color w:val="2E75B6"/>
          <w:sz w:val="23"/>
          <w:szCs w:val="23"/>
        </w:rPr>
        <w:t xml:space="preserve">Critère d'abandon de la stratégie</w:t>
      </w:r>
    </w:p>
    <w:p>
      <w:pPr>
        <w:spacing w:after="120" w:before="0" w:line="300"/>
      </w:pPr>
      <w:r>
        <w:rPr>
          <w:rFonts w:ascii="Calibri" w:cs="Calibri" w:eastAsia="Calibri" w:hAnsi="Calibri"/>
          <w:b/>
          <w:bCs/>
          <w:color w:val="C00000"/>
          <w:sz w:val="22"/>
          <w:szCs w:val="22"/>
        </w:rPr>
        <w:t xml:space="preserve">Garde-fou ultime contre l'attachement intellectuel au système : </w:t>
      </w:r>
      <w:r>
        <w:rPr>
          <w:rFonts w:ascii="Calibri" w:cs="Calibri" w:eastAsia="Calibri" w:hAnsi="Calibri"/>
          <w:color w:val="1F1F1F"/>
          <w:sz w:val="22"/>
          <w:szCs w:val="22"/>
        </w:rPr>
        <w:t xml:space="preserve">si après backtest rigoureux préalable ou après 5 ans de production réelle, la stratégie ne démontre pas un avantage net sur un DCA pur sur ETF World en termes de drawdown ajusté du rendement (Sharpe ratio, Sortino, ou drawdown maximal à rendement comparable), elle est purement et simplement </w:t>
      </w:r>
      <w:r>
        <w:rPr>
          <w:rFonts w:ascii="Calibri" w:cs="Calibri" w:eastAsia="Calibri" w:hAnsi="Calibri"/>
          <w:b/>
          <w:bCs/>
          <w:color w:val="1F1F1F"/>
          <w:sz w:val="22"/>
          <w:szCs w:val="22"/>
        </w:rPr>
        <w:t xml:space="preserve">abandonnée</w:t>
      </w:r>
      <w:r>
        <w:rPr>
          <w:rFonts w:ascii="Calibri" w:cs="Calibri" w:eastAsia="Calibri" w:hAnsi="Calibri"/>
          <w:color w:val="1F1F1F"/>
          <w:sz w:val="22"/>
          <w:szCs w:val="22"/>
        </w:rPr>
        <w:t xml:space="preserve"> au profit d'un DCA World passif. Aucune tentative de reparamétrage, d'ajout de signal, ou de "sauver" la stratégie n'est autorisée à ce stade.</w:t>
      </w:r>
    </w:p>
    <w:p>
      <w:pPr>
        <w:spacing w:after="200"/>
      </w:pPr>
    </w:p>
    <w:p>
      <w:pPr>
        <w:spacing w:after="120" w:before="0" w:line="300"/>
      </w:pPr>
      <w:r>
        <w:rPr>
          <w:rFonts w:ascii="Calibri" w:cs="Calibri" w:eastAsia="Calibri" w:hAnsi="Calibri"/>
          <w:color w:val="1F1F1F"/>
          <w:sz w:val="22"/>
          <w:szCs w:val="22"/>
        </w:rPr>
        <w:t xml:space="preserve">Cette règle est conçue comme une protection délibérée contre le biais d'engagement : plus on a investi de temps et d'effort intellectuel dans un système, plus on devient incapable de le voir échouer objectivement. Le critère d'abandon doit être défini maintenant, à froid, avant toute donnée réelle, précisément parce qu'il sera psychologiquement très difficile à appliquer plus tard.</w:t>
      </w:r>
    </w:p>
    <w:p>
      <w:pPr>
        <w:spacing w:after="240"/>
      </w:pPr>
    </w:p>
    <w:p>
      <w:pPr>
        <w:pStyle w:val="Heading3"/>
        <w:spacing w:after="100" w:before="220"/>
      </w:pPr>
      <w:r>
        <w:rPr>
          <w:rFonts w:ascii="Calibri" w:cs="Calibri" w:eastAsia="Calibri" w:hAnsi="Calibri"/>
          <w:b/>
          <w:bCs/>
          <w:color w:val="2E75B6"/>
          <w:sz w:val="23"/>
          <w:szCs w:val="23"/>
        </w:rPr>
        <w:t xml:space="preserve">Évolutions envisagées (sous réserve des règles ci-dessus)</w:t>
      </w:r>
    </w:p>
    <w:p>
      <w:pPr>
        <w:pStyle w:val="ListParagraph"/>
        <w:numPr>
          <w:ilvl w:val="0"/>
          <w:numId w:val="2"/>
        </w:numPr>
        <w:spacing w:after="80" w:line="280"/>
      </w:pPr>
      <w:r>
        <w:rPr>
          <w:rFonts w:ascii="Calibri" w:cs="Calibri" w:eastAsia="Calibri" w:hAnsi="Calibri"/>
          <w:b/>
          <w:bCs/>
          <w:color w:val="1F1F1F"/>
          <w:sz w:val="22"/>
          <w:szCs w:val="22"/>
        </w:rPr>
        <w:t xml:space="preserve">À 2 ans : </w:t>
      </w:r>
      <w:r>
        <w:rPr>
          <w:rFonts w:ascii="Calibri" w:cs="Calibri" w:eastAsia="Calibri" w:hAnsi="Calibri"/>
          <w:color w:val="1F1F1F"/>
          <w:sz w:val="22"/>
          <w:szCs w:val="22"/>
        </w:rPr>
        <w:t xml:space="preserve">réévaluer le passage de l'overlay défensif global (option B actuelle) à un overlay par ETF (option A) si les backtests réels montrent des cas où la granularité aurait apporté de la valeur.</w:t>
      </w:r>
    </w:p>
    <w:p>
      <w:pPr>
        <w:pStyle w:val="ListParagraph"/>
        <w:numPr>
          <w:ilvl w:val="0"/>
          <w:numId w:val="2"/>
        </w:numPr>
        <w:spacing w:after="80" w:line="280"/>
      </w:pPr>
      <w:r>
        <w:rPr>
          <w:rFonts w:ascii="Calibri" w:cs="Calibri" w:eastAsia="Calibri" w:hAnsi="Calibri"/>
          <w:b/>
          <w:bCs/>
          <w:color w:val="1F1F1F"/>
          <w:sz w:val="22"/>
          <w:szCs w:val="22"/>
        </w:rPr>
        <w:t xml:space="preserve">À 5-10 ans : </w:t>
      </w:r>
      <w:r>
        <w:rPr>
          <w:rFonts w:ascii="Calibri" w:cs="Calibri" w:eastAsia="Calibri" w:hAnsi="Calibri"/>
          <w:color w:val="1F1F1F"/>
          <w:sz w:val="22"/>
          <w:szCs w:val="22"/>
        </w:rPr>
        <w:t xml:space="preserve">envisager l'ajout d'un CTO en complément du PEA pour exposer du small cap monde (effet size sur géographies non couvertes), une fois le patrimoine global mature (&gt;50 k€ en placements financiers totaux).</w:t>
      </w:r>
    </w:p>
    <w:p>
      <w:pPr>
        <w:pStyle w:val="ListParagraph"/>
        <w:numPr>
          <w:ilvl w:val="0"/>
          <w:numId w:val="2"/>
        </w:numPr>
        <w:spacing w:after="80" w:line="280"/>
      </w:pPr>
      <w:r>
        <w:rPr>
          <w:rFonts w:ascii="Calibri" w:cs="Calibri" w:eastAsia="Calibri" w:hAnsi="Calibri"/>
          <w:b/>
          <w:bCs/>
          <w:color w:val="1F1F1F"/>
          <w:sz w:val="22"/>
          <w:szCs w:val="22"/>
        </w:rPr>
        <w:t xml:space="preserve">Au plafonnement du PEA (vers année 13) : </w:t>
      </w:r>
      <w:r>
        <w:rPr>
          <w:rFonts w:ascii="Calibri" w:cs="Calibri" w:eastAsia="Calibri" w:hAnsi="Calibri"/>
          <w:color w:val="1F1F1F"/>
          <w:sz w:val="22"/>
          <w:szCs w:val="22"/>
        </w:rPr>
        <w:t xml:space="preserve">redéfinition de la stratégie d'arbitrage entre versement forcé en CTO et capitalisation pure dans le PEA.</w:t>
      </w:r>
    </w:p>
    <w:p>
      <w:r>
        <w:br w:type="page"/>
      </w:r>
    </w:p>
    <w:p>
      <w:pPr>
        <w:pStyle w:val="Heading1"/>
        <w:spacing w:after="180" w:before="360"/>
      </w:pPr>
      <w:r>
        <w:rPr>
          <w:rFonts w:ascii="Calibri" w:cs="Calibri" w:eastAsia="Calibri" w:hAnsi="Calibri"/>
          <w:b/>
          <w:bCs/>
          <w:color w:val="1F4E79"/>
          <w:sz w:val="32"/>
          <w:szCs w:val="32"/>
        </w:rPr>
        <w:t xml:space="preserve">10. Annexes</w:t>
      </w:r>
    </w:p>
    <w:p>
      <w:pPr>
        <w:pStyle w:val="Heading2"/>
        <w:spacing w:after="140" w:before="280"/>
      </w:pPr>
      <w:r>
        <w:rPr>
          <w:rFonts w:ascii="Calibri" w:cs="Calibri" w:eastAsia="Calibri" w:hAnsi="Calibri"/>
          <w:b/>
          <w:bCs/>
          <w:color w:val="1F4E79"/>
          <w:sz w:val="26"/>
          <w:szCs w:val="26"/>
        </w:rPr>
        <w:t xml:space="preserve">10.1 Liste des ETF du pool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526"/>
      </w:tblGrid>
      <w:tr>
        <w:trPr>
          <w:tblHeader/>
        </w:trPr>
        <w:tc>
          <w:tcPr>
            <w:tcW w:type="dxa" w:w="3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Nom</w:t>
            </w:r>
          </w:p>
        </w:tc>
        <w:tc>
          <w:tcPr>
            <w:tcW w:type="dxa" w:w="1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ISIN</w:t>
            </w:r>
          </w:p>
        </w:tc>
        <w:tc>
          <w:tcPr>
            <w:tcW w:type="dxa" w:w="1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Émetteur</w:t>
            </w:r>
          </w:p>
        </w:tc>
        <w:tc>
          <w:tcPr>
            <w:tcW w:type="dxa" w:w="1526"/>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TER</w:t>
            </w:r>
          </w:p>
        </w:tc>
      </w:tr>
      <w:t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S&amp;P 500 UCITS ETF Acc</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FR0013412285</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w:t>
            </w:r>
          </w:p>
        </w:tc>
        <w:tc>
          <w:tcPr>
            <w:tcW w:type="dxa" w:w="15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0,15 %</w:t>
            </w:r>
          </w:p>
        </w:tc>
      </w:tr>
      <w:tr>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Nasdaq-100 UCITS ETF Acc</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FR0011871128</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0,30 %</w:t>
            </w:r>
          </w:p>
        </w:tc>
      </w:tr>
      <w:t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BNPP Easy Stoxx Europe 600 UCITS ETF EC</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FR0011550185</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BNP Paribas AM</w:t>
            </w:r>
          </w:p>
        </w:tc>
        <w:tc>
          <w:tcPr>
            <w:tcW w:type="dxa" w:w="15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0,18 %</w:t>
            </w:r>
          </w:p>
        </w:tc>
      </w:tr>
      <w:tr>
        <w:tc>
          <w:tcPr>
            <w:tcW w:type="dxa" w:w="3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Europe Small Cap UCITS ETF</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à confirmer</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w:t>
            </w:r>
          </w:p>
        </w:tc>
        <w:tc>
          <w:tcPr>
            <w:tcW w:type="dxa" w:w="1526"/>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~0,30 %</w:t>
            </w:r>
          </w:p>
        </w:tc>
      </w:tr>
      <w:t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 PEA MSCI Emerging ESG UCITS ETF Acc</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FR0013412020</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Amundi</w:t>
            </w:r>
          </w:p>
        </w:tc>
        <w:tc>
          <w:tcPr>
            <w:tcW w:type="dxa" w:w="15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rFonts w:ascii="Calibri" w:cs="Calibri" w:eastAsia="Calibri" w:hAnsi="Calibri"/>
                <w:color w:val="1F1F1F"/>
                <w:sz w:val="21"/>
                <w:szCs w:val="21"/>
              </w:rPr>
              <w:t xml:space="preserve">0,40 %</w:t>
            </w:r>
          </w:p>
        </w:tc>
      </w:tr>
    </w:tbl>
    <w:p>
      <w:pPr>
        <w:spacing w:after="200"/>
      </w:pPr>
    </w:p>
    <w:p>
      <w:pPr>
        <w:spacing w:after="120" w:before="0" w:line="300"/>
      </w:pPr>
      <w:r>
        <w:rPr>
          <w:rFonts w:ascii="Calibri" w:cs="Calibri" w:eastAsia="Calibri" w:hAnsi="Calibri"/>
          <w:color w:val="1F1F1F"/>
          <w:sz w:val="22"/>
          <w:szCs w:val="22"/>
        </w:rPr>
        <w:t xml:space="preserve">TER indicatifs, à vérifier au moment de l'exécution. L'ETF Amundi PEA Europe Small Cap doit être confirmé en présence et en ISIN exact lors de la vérification du catalogue IBKR.</w:t>
      </w:r>
    </w:p>
    <w:p>
      <w:pPr>
        <w:pStyle w:val="Heading2"/>
        <w:spacing w:after="140" w:before="280"/>
      </w:pPr>
      <w:r>
        <w:rPr>
          <w:rFonts w:ascii="Calibri" w:cs="Calibri" w:eastAsia="Calibri" w:hAnsi="Calibri"/>
          <w:b/>
          <w:bCs/>
          <w:color w:val="1F4E79"/>
          <w:sz w:val="26"/>
          <w:szCs w:val="26"/>
        </w:rPr>
        <w:t xml:space="preserve">10.2 Références</w:t>
      </w:r>
    </w:p>
    <w:p>
      <w:pPr>
        <w:pStyle w:val="ListParagraph"/>
        <w:numPr>
          <w:ilvl w:val="0"/>
          <w:numId w:val="2"/>
        </w:numPr>
        <w:spacing w:after="80" w:line="280"/>
      </w:pPr>
      <w:r>
        <w:rPr>
          <w:rFonts w:ascii="Calibri" w:cs="Calibri" w:eastAsia="Calibri" w:hAnsi="Calibri"/>
          <w:color w:val="1F1F1F"/>
          <w:sz w:val="22"/>
          <w:szCs w:val="22"/>
        </w:rPr>
        <w:t xml:space="preserve">Faber, M. T. (2007). A Quantitative Approach to Tactical Asset Allocation. — Origine de la règle MM200 utilisée en couche défensive.</w:t>
      </w:r>
    </w:p>
    <w:p>
      <w:pPr>
        <w:pStyle w:val="ListParagraph"/>
        <w:numPr>
          <w:ilvl w:val="0"/>
          <w:numId w:val="2"/>
        </w:numPr>
        <w:spacing w:after="80" w:line="280"/>
      </w:pPr>
      <w:r>
        <w:rPr>
          <w:rFonts w:ascii="Calibri" w:cs="Calibri" w:eastAsia="Calibri" w:hAnsi="Calibri"/>
          <w:color w:val="1F1F1F"/>
          <w:sz w:val="22"/>
          <w:szCs w:val="22"/>
        </w:rPr>
        <w:t xml:space="preserve">Antonacci, G. (2014). Dual Momentum Investing. — Inspiration pour la couche tactique momentum.</w:t>
      </w:r>
    </w:p>
    <w:p>
      <w:pPr>
        <w:pStyle w:val="ListParagraph"/>
        <w:numPr>
          <w:ilvl w:val="0"/>
          <w:numId w:val="2"/>
        </w:numPr>
        <w:spacing w:after="80" w:line="280"/>
      </w:pPr>
      <w:r>
        <w:rPr>
          <w:rFonts w:ascii="Calibri" w:cs="Calibri" w:eastAsia="Calibri" w:hAnsi="Calibri"/>
          <w:color w:val="1F1F1F"/>
          <w:sz w:val="22"/>
          <w:szCs w:val="22"/>
        </w:rPr>
        <w:t xml:space="preserve">Fama, E. F., &amp; French, K. R. — Travaux fondateurs sur le facteur size, justifiant la position small cap Europe.</w:t>
      </w:r>
    </w:p>
    <w:p>
      <w:pPr>
        <w:pStyle w:val="ListParagraph"/>
        <w:numPr>
          <w:ilvl w:val="0"/>
          <w:numId w:val="2"/>
        </w:numPr>
        <w:spacing w:after="80" w:line="280"/>
      </w:pPr>
      <w:r>
        <w:rPr>
          <w:rFonts w:ascii="Calibri" w:cs="Calibri" w:eastAsia="Calibri" w:hAnsi="Calibri"/>
          <w:color w:val="1F1F1F"/>
          <w:sz w:val="22"/>
          <w:szCs w:val="22"/>
        </w:rPr>
        <w:t xml:space="preserve">Documentation officielle Interactive Brokers : https://www.interactivebrokers.com/campus/ibkr-api-page/twsapi-doc/</w:t>
      </w:r>
    </w:p>
    <w:p>
      <w:pPr>
        <w:pStyle w:val="ListParagraph"/>
        <w:numPr>
          <w:ilvl w:val="0"/>
          <w:numId w:val="2"/>
        </w:numPr>
        <w:spacing w:after="80" w:line="280"/>
      </w:pPr>
      <w:r>
        <w:rPr>
          <w:rFonts w:ascii="Calibri" w:cs="Calibri" w:eastAsia="Calibri" w:hAnsi="Calibri"/>
          <w:color w:val="1F1F1F"/>
          <w:sz w:val="22"/>
          <w:szCs w:val="22"/>
        </w:rPr>
        <w:t xml:space="preserve">Documentation Fortuneo : https://www.fortuneo.fr/faq/comment-transferer-un-pea-pea-pme-ou-un-compte-titres-ordinaire-chez-fortuneo</w:t>
      </w:r>
    </w:p>
    <w:p>
      <w:pPr>
        <w:pStyle w:val="Heading2"/>
        <w:spacing w:after="140" w:before="280"/>
      </w:pPr>
      <w:r>
        <w:rPr>
          <w:rFonts w:ascii="Calibri" w:cs="Calibri" w:eastAsia="Calibri" w:hAnsi="Calibri"/>
          <w:b/>
          <w:bCs/>
          <w:color w:val="1F4E79"/>
          <w:sz w:val="26"/>
          <w:szCs w:val="26"/>
        </w:rPr>
        <w:t xml:space="preserve">10.3 Glossaire</w:t>
      </w:r>
    </w:p>
    <w:p>
      <w:pPr>
        <w:pStyle w:val="ListParagraph"/>
        <w:numPr>
          <w:ilvl w:val="0"/>
          <w:numId w:val="2"/>
        </w:numPr>
        <w:spacing w:after="80" w:line="280"/>
      </w:pPr>
      <w:r>
        <w:rPr>
          <w:rFonts w:ascii="Calibri" w:cs="Calibri" w:eastAsia="Calibri" w:hAnsi="Calibri"/>
          <w:b/>
          <w:bCs/>
          <w:color w:val="1F1F1F"/>
          <w:sz w:val="22"/>
          <w:szCs w:val="22"/>
        </w:rPr>
        <w:t xml:space="preserve">DCA (Dollar Cost Averaging) : </w:t>
      </w:r>
      <w:r>
        <w:rPr>
          <w:rFonts w:ascii="Calibri" w:cs="Calibri" w:eastAsia="Calibri" w:hAnsi="Calibri"/>
          <w:color w:val="1F1F1F"/>
          <w:sz w:val="22"/>
          <w:szCs w:val="22"/>
        </w:rPr>
        <w:t xml:space="preserve">investissement régulier de montants fixes, lissant le prix d'entrée.</w:t>
      </w:r>
    </w:p>
    <w:p>
      <w:pPr>
        <w:pStyle w:val="ListParagraph"/>
        <w:numPr>
          <w:ilvl w:val="0"/>
          <w:numId w:val="2"/>
        </w:numPr>
        <w:spacing w:after="80" w:line="280"/>
      </w:pPr>
      <w:r>
        <w:rPr>
          <w:rFonts w:ascii="Calibri" w:cs="Calibri" w:eastAsia="Calibri" w:hAnsi="Calibri"/>
          <w:b/>
          <w:bCs/>
          <w:color w:val="1F1F1F"/>
          <w:sz w:val="22"/>
          <w:szCs w:val="22"/>
        </w:rPr>
        <w:t xml:space="preserve">Drawdown : </w:t>
      </w:r>
      <w:r>
        <w:rPr>
          <w:rFonts w:ascii="Calibri" w:cs="Calibri" w:eastAsia="Calibri" w:hAnsi="Calibri"/>
          <w:color w:val="1F1F1F"/>
          <w:sz w:val="22"/>
          <w:szCs w:val="22"/>
        </w:rPr>
        <w:t xml:space="preserve">repli maximal observé entre un sommet et un creux suivant, exprimé en pourcentage.</w:t>
      </w:r>
    </w:p>
    <w:p>
      <w:pPr>
        <w:pStyle w:val="ListParagraph"/>
        <w:numPr>
          <w:ilvl w:val="0"/>
          <w:numId w:val="2"/>
        </w:numPr>
        <w:spacing w:after="80" w:line="280"/>
      </w:pPr>
      <w:r>
        <w:rPr>
          <w:rFonts w:ascii="Calibri" w:cs="Calibri" w:eastAsia="Calibri" w:hAnsi="Calibri"/>
          <w:b/>
          <w:bCs/>
          <w:color w:val="1F1F1F"/>
          <w:sz w:val="22"/>
          <w:szCs w:val="22"/>
        </w:rPr>
        <w:t xml:space="preserve">MM200 : </w:t>
      </w:r>
      <w:r>
        <w:rPr>
          <w:rFonts w:ascii="Calibri" w:cs="Calibri" w:eastAsia="Calibri" w:hAnsi="Calibri"/>
          <w:color w:val="1F1F1F"/>
          <w:sz w:val="22"/>
          <w:szCs w:val="22"/>
        </w:rPr>
        <w:t xml:space="preserve">moyenne mobile sur 200 jours, indicateur classique de tendance long terme.</w:t>
      </w:r>
    </w:p>
    <w:p>
      <w:pPr>
        <w:pStyle w:val="ListParagraph"/>
        <w:numPr>
          <w:ilvl w:val="0"/>
          <w:numId w:val="2"/>
        </w:numPr>
        <w:spacing w:after="80" w:line="280"/>
      </w:pPr>
      <w:r>
        <w:rPr>
          <w:rFonts w:ascii="Calibri" w:cs="Calibri" w:eastAsia="Calibri" w:hAnsi="Calibri"/>
          <w:b/>
          <w:bCs/>
          <w:color w:val="1F1F1F"/>
          <w:sz w:val="22"/>
          <w:szCs w:val="22"/>
        </w:rPr>
        <w:t xml:space="preserve">Momentum : </w:t>
      </w:r>
      <w:r>
        <w:rPr>
          <w:rFonts w:ascii="Calibri" w:cs="Calibri" w:eastAsia="Calibri" w:hAnsi="Calibri"/>
          <w:color w:val="1F1F1F"/>
          <w:sz w:val="22"/>
          <w:szCs w:val="22"/>
        </w:rPr>
        <w:t xml:space="preserve">tendance d'un actif performant à continuer à surperformer sur un horizon court à moyen terme.</w:t>
      </w:r>
    </w:p>
    <w:p>
      <w:pPr>
        <w:pStyle w:val="ListParagraph"/>
        <w:numPr>
          <w:ilvl w:val="0"/>
          <w:numId w:val="2"/>
        </w:numPr>
        <w:spacing w:after="80" w:line="280"/>
      </w:pPr>
      <w:r>
        <w:rPr>
          <w:rFonts w:ascii="Calibri" w:cs="Calibri" w:eastAsia="Calibri" w:hAnsi="Calibri"/>
          <w:b/>
          <w:bCs/>
          <w:color w:val="1F1F1F"/>
          <w:sz w:val="22"/>
          <w:szCs w:val="22"/>
        </w:rPr>
        <w:t xml:space="preserve">Overlay défensif : </w:t>
      </w:r>
      <w:r>
        <w:rPr>
          <w:rFonts w:ascii="Calibri" w:cs="Calibri" w:eastAsia="Calibri" w:hAnsi="Calibri"/>
          <w:color w:val="1F1F1F"/>
          <w:sz w:val="22"/>
          <w:szCs w:val="22"/>
        </w:rPr>
        <w:t xml:space="preserve">couche de protection ajoutée au-dessus d'une stratégie de base, qui peut désactiver l'exposition au risque sur signal.</w:t>
      </w:r>
    </w:p>
    <w:p>
      <w:pPr>
        <w:pStyle w:val="ListParagraph"/>
        <w:numPr>
          <w:ilvl w:val="0"/>
          <w:numId w:val="2"/>
        </w:numPr>
        <w:spacing w:after="80" w:line="280"/>
      </w:pPr>
      <w:r>
        <w:rPr>
          <w:rFonts w:ascii="Calibri" w:cs="Calibri" w:eastAsia="Calibri" w:hAnsi="Calibri"/>
          <w:b/>
          <w:bCs/>
          <w:color w:val="1F1F1F"/>
          <w:sz w:val="22"/>
          <w:szCs w:val="22"/>
        </w:rPr>
        <w:t xml:space="preserve">T+2 : </w:t>
      </w:r>
      <w:r>
        <w:rPr>
          <w:rFonts w:ascii="Calibri" w:cs="Calibri" w:eastAsia="Calibri" w:hAnsi="Calibri"/>
          <w:color w:val="1F1F1F"/>
          <w:sz w:val="22"/>
          <w:szCs w:val="22"/>
        </w:rPr>
        <w:t xml:space="preserve">settlement à 2 jours ouvrés, contrainte de fait sur le PEA en compte cash strict.</w:t>
      </w:r>
    </w:p>
    <w:p>
      <w:pPr>
        <w:pStyle w:val="ListParagraph"/>
        <w:numPr>
          <w:ilvl w:val="0"/>
          <w:numId w:val="2"/>
        </w:numPr>
        <w:spacing w:after="80" w:line="280"/>
      </w:pPr>
      <w:r>
        <w:rPr>
          <w:rFonts w:ascii="Calibri" w:cs="Calibri" w:eastAsia="Calibri" w:hAnsi="Calibri"/>
          <w:b/>
          <w:bCs/>
          <w:color w:val="1F1F1F"/>
          <w:sz w:val="22"/>
          <w:szCs w:val="22"/>
        </w:rPr>
        <w:t xml:space="preserve">Tiered (IBKR) : </w:t>
      </w:r>
      <w:r>
        <w:rPr>
          <w:rFonts w:ascii="Calibri" w:cs="Calibri" w:eastAsia="Calibri" w:hAnsi="Calibri"/>
          <w:color w:val="1F1F1F"/>
          <w:sz w:val="22"/>
          <w:szCs w:val="22"/>
        </w:rPr>
        <w:t xml:space="preserve">tarification dégressive proportionnelle, opposée au tarif Fixed plus simple mais plus cher pour les petits ordres.</w:t>
      </w:r>
    </w:p>
    <w:p>
      <w:pPr>
        <w:pStyle w:val="ListParagraph"/>
        <w:numPr>
          <w:ilvl w:val="0"/>
          <w:numId w:val="2"/>
        </w:numPr>
        <w:spacing w:after="80" w:line="280"/>
      </w:pPr>
      <w:r>
        <w:rPr>
          <w:rFonts w:ascii="Calibri" w:cs="Calibri" w:eastAsia="Calibri" w:hAnsi="Calibri"/>
          <w:b/>
          <w:bCs/>
          <w:color w:val="1F1F1F"/>
          <w:sz w:val="22"/>
          <w:szCs w:val="22"/>
        </w:rPr>
        <w:t xml:space="preserve">Whipsaw : </w:t>
      </w:r>
      <w:r>
        <w:rPr>
          <w:rFonts w:ascii="Calibri" w:cs="Calibri" w:eastAsia="Calibri" w:hAnsi="Calibri"/>
          <w:color w:val="1F1F1F"/>
          <w:sz w:val="22"/>
          <w:szCs w:val="22"/>
        </w:rPr>
        <w:t xml:space="preserve">faux signal qui déclenche une sortie suivie d'un ré-entrée à perte, typique des marchés latéraux.</w:t>
      </w:r>
    </w:p>
    <w:p>
      <w:pPr>
        <w:spacing w:before="600"/>
      </w:pPr>
    </w:p>
    <w:p>
      <w:pPr>
        <w:spacing w:after="120" w:before="0" w:line="300"/>
        <w:jc w:val="center"/>
      </w:pPr>
      <w:r>
        <w:rPr>
          <w:rFonts w:ascii="Calibri" w:cs="Calibri" w:eastAsia="Calibri" w:hAnsi="Calibri"/>
          <w:i/>
          <w:iCs/>
          <w:color w:val="595959"/>
          <w:sz w:val="22"/>
          <w:szCs w:val="22"/>
        </w:rPr>
        <w:t xml:space="preserve">Document de travail à mettre à jour au fil de l'exécution. Version :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Migration PEA Fortuneo → IBKR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PEA Fortuneo vers IBKR France</dc:title>
  <dc:creator>Migration PEA</dc:creator>
  <cp:lastModifiedBy>Un-named</cp:lastModifiedBy>
  <cp:revision>1</cp:revision>
  <dcterms:created xsi:type="dcterms:W3CDTF">2026-05-09T11:07:44.795Z</dcterms:created>
  <dcterms:modified xsi:type="dcterms:W3CDTF">2026-05-09T11:07:44.814Z</dcterms:modified>
</cp:coreProperties>
</file>

<file path=docProps/custom.xml><?xml version="1.0" encoding="utf-8"?>
<Properties xmlns="http://schemas.openxmlformats.org/officeDocument/2006/custom-properties" xmlns:vt="http://schemas.openxmlformats.org/officeDocument/2006/docPropsVTypes"/>
</file>