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17D96" w14:textId="77777777" w:rsidR="001036CC" w:rsidRDefault="00136070">
      <w:pPr>
        <w:pStyle w:val="Title"/>
        <w:jc w:val="center"/>
      </w:pPr>
      <w:r>
        <w:t>China’s Medical Innovations: New Technologies, Treatments, and Global Implications</w:t>
      </w:r>
    </w:p>
    <w:p w14:paraId="200B94A6" w14:textId="77777777" w:rsidR="001036CC" w:rsidRDefault="00136070">
      <w:pPr>
        <w:jc w:val="center"/>
        <w:rPr>
          <w:rFonts w:hint="eastAsia"/>
        </w:rPr>
      </w:pPr>
      <w:r>
        <w:rPr>
          <w:i/>
          <w:color w:val="5A5A5A"/>
          <w:sz w:val="22"/>
        </w:rPr>
        <w:t>A review of selected developments in medical devices, medicines, cell therapy, and integrative healthcare</w:t>
      </w:r>
    </w:p>
    <w:p w14:paraId="77525DC6" w14:textId="77777777" w:rsidR="001036CC" w:rsidRDefault="00136070">
      <w:pPr>
        <w:rPr>
          <w:rFonts w:hint="eastAsia"/>
        </w:rPr>
      </w:pPr>
      <w:r>
        <w:t xml:space="preserve">China’s medical research and healthcare technology sector has </w:t>
      </w:r>
      <w:r>
        <w:t>expanded rapidly, producing new devices, medicines, and treatment approaches. Some developments are designed to address unmet clinical needs; others aim to make established technologies more accessible or adapt them to the needs of particular patient group</w:t>
      </w:r>
      <w:r>
        <w:t>s. The significance of these advances is best assessed product by product, using regulatory decisions, published clinical evidence, and real-world experience rather than broad claims that one country leads every field.</w:t>
      </w:r>
    </w:p>
    <w:p w14:paraId="2DE45AFC" w14:textId="77777777" w:rsidR="001036CC" w:rsidRDefault="00136070">
      <w:pPr>
        <w:pStyle w:val="Heading1"/>
      </w:pPr>
      <w:r>
        <w:t>A growing pipeline of medical devices</w:t>
      </w:r>
    </w:p>
    <w:p w14:paraId="2C83384F" w14:textId="77777777" w:rsidR="001036CC" w:rsidRDefault="00136070">
      <w:pPr>
        <w:rPr>
          <w:rFonts w:hint="eastAsia"/>
        </w:rPr>
      </w:pPr>
      <w:r>
        <w:t>Medical devices are one visible area of innovation. They range from diagnostic imaging systems and implantable devices to surgical tools and technologies used in rehabilitation. China’s National Medical Products Administration (NMPA) reported that it appr</w:t>
      </w:r>
      <w:r>
        <w:t>oved 76 innovative medical-device products in 2025, a 17% increase over 2024. Across the period from 2014 through 2025, the NMPA reported 391 approved innovative devices, including 336 domestic products. These figures indicate a substantial and growing dom</w:t>
      </w:r>
      <w:r>
        <w:t>estic pipeline, although approval totals alone do not show how widely a device is used or whether it performs better than alternatives.</w:t>
      </w:r>
    </w:p>
    <w:p w14:paraId="41140278" w14:textId="77777777" w:rsidR="001036CC" w:rsidRDefault="00136070">
      <w:pPr>
        <w:pStyle w:val="Heading2"/>
      </w:pPr>
      <w:r>
        <w:t>Brain–computer interfaces</w:t>
      </w:r>
    </w:p>
    <w:p w14:paraId="37AF9248" w14:textId="77777777" w:rsidR="001036CC" w:rsidRDefault="00136070">
      <w:pPr>
        <w:rPr>
          <w:rFonts w:hint="eastAsia"/>
        </w:rPr>
      </w:pPr>
      <w:r>
        <w:t>Brain–computer interface (BCI) research seeks to translate signals associated with brain activ</w:t>
      </w:r>
      <w:r>
        <w:t>ity into commands for external devices. In rehabilitation, the long-term goal is to help some people with severe motor impairments operate assistive technologies or regain selected functions. Invasive systems require surgery and careful clinical assessment</w:t>
      </w:r>
      <w:r>
        <w:t xml:space="preserve">; their potential benefits, risks, and eligible uses depend on the specific device and the evidence available. Because this is a fast-moving field, claims about a “world first” or a device being approved for routine clinical use should always identify the </w:t>
      </w:r>
      <w:r>
        <w:t>product, regulator, date, and precise approved indication.</w:t>
      </w:r>
    </w:p>
    <w:p w14:paraId="658BA214" w14:textId="77777777" w:rsidR="001036CC" w:rsidRDefault="00136070">
      <w:pPr>
        <w:pStyle w:val="Heading2"/>
      </w:pPr>
      <w:r>
        <w:t>Cardiac devices and advanced imaging</w:t>
      </w:r>
    </w:p>
    <w:p w14:paraId="38D5D5DF" w14:textId="77777777" w:rsidR="001036CC" w:rsidRDefault="00136070">
      <w:pPr>
        <w:rPr>
          <w:rFonts w:hint="eastAsia"/>
        </w:rPr>
      </w:pPr>
      <w:r>
        <w:t>China-based teams and companies are also developing cardiac devices, including ventricular assist systems and minimally invasive tools for treating structural h</w:t>
      </w:r>
      <w:r>
        <w:t>eart conditions. Advanced imaging is another important area, with domestic manufacturers working on CT, MRI, ultrasound, and other diagnostic technologies. These fields matter because devices must combine technical performance with reliability, clinician t</w:t>
      </w:r>
      <w:r>
        <w:t>raining, patient safety, and long-term follow-up. Comparisons such as “smaller,” “faster,” or “lower radiation” are meaningful only when supported by clearly defined specifications or comparative clinical data.</w:t>
      </w:r>
    </w:p>
    <w:p w14:paraId="7E7AA878" w14:textId="77777777" w:rsidR="001036CC" w:rsidRDefault="00136070">
      <w:pPr>
        <w:rPr>
          <w:rFonts w:hint="eastAsia"/>
        </w:rPr>
      </w:pPr>
      <w:r>
        <w:t>A further consideration is regulatory status.</w:t>
      </w:r>
      <w:r>
        <w:t xml:space="preserve"> A device may be in laboratory development, undergoing clinical trials, authorized for sale in one country, or approved in several jurisdictions. These stages are not interchangeable. For example, the US Food and Drug Administration’s Breakthrough Devices </w:t>
      </w:r>
      <w:r>
        <w:t>Program is intended to expedite the development and review of certain devices; designation itself is not the same as marketing approval.</w:t>
      </w:r>
    </w:p>
    <w:p w14:paraId="429E0957" w14:textId="77777777" w:rsidR="001036CC" w:rsidRDefault="00136070">
      <w:pPr>
        <w:pStyle w:val="Heading1"/>
      </w:pPr>
      <w:r>
        <w:lastRenderedPageBreak/>
        <w:t>Innovative medicines: metabolic disease and cancer</w:t>
      </w:r>
    </w:p>
    <w:p w14:paraId="43D93149" w14:textId="77777777" w:rsidR="001036CC" w:rsidRDefault="00136070">
      <w:pPr>
        <w:pStyle w:val="Heading2"/>
      </w:pPr>
      <w:r>
        <w:t>Mazdutide and obesity research</w:t>
      </w:r>
    </w:p>
    <w:p w14:paraId="7E449FD2" w14:textId="77777777" w:rsidR="001036CC" w:rsidRDefault="00136070">
      <w:pPr>
        <w:rPr>
          <w:rFonts w:hint="eastAsia"/>
        </w:rPr>
      </w:pPr>
      <w:r>
        <w:t>Mazdutide is a dual agonist that acts</w:t>
      </w:r>
      <w:r>
        <w:t xml:space="preserve"> on the glucagon-like peptide-1 (GLP-1) receptor and the glucagon receptor. A Phase 3, placebo-controlled study in Chinese adults with overweight or obesity was published in The New England Journal of Medicine in 2025. In that study, participants receiving</w:t>
      </w:r>
      <w:r>
        <w:t xml:space="preserve"> mazdutide had greater reductions in body weight than participants receiving placebo over the study period. The findings add to research into medicines that target metabolic pathways, but trial results should be interpreted in light of the study population</w:t>
      </w:r>
      <w:r>
        <w:t>, duration, adverse events, and the product’s approved indication in the relevant jurisdiction.</w:t>
      </w:r>
    </w:p>
    <w:p w14:paraId="29B4477B" w14:textId="77777777" w:rsidR="001036CC" w:rsidRDefault="00136070">
      <w:pPr>
        <w:pStyle w:val="Heading2"/>
      </w:pPr>
      <w:r>
        <w:t>Zanubrutinib and targeted cancer treatment</w:t>
      </w:r>
    </w:p>
    <w:p w14:paraId="04270DD5" w14:textId="77777777" w:rsidR="001036CC" w:rsidRDefault="00136070">
      <w:pPr>
        <w:rPr>
          <w:rFonts w:hint="eastAsia"/>
        </w:rPr>
      </w:pPr>
      <w:r>
        <w:t>Zanubrutinib, marketed as Brukinsa, is a Bruton’s tyrosine kinase (BTK) inhibitor developed by BeiGene, a company fou</w:t>
      </w:r>
      <w:r>
        <w:t>nded in China and now operating internationally. It is used for certain blood cancers. The US FDA has approved zanubrutinib for several indications, including chronic lymphocytic leukaemia/small lymphocytic lymphoma and, in combination with obinutuzumab, c</w:t>
      </w:r>
      <w:r>
        <w:t>ertain cases of relapsed or refractory follicular lymphoma. These approvals show how a medicine developed by a China-founded biotechnology company can become part of treatment in international markets. They do not mean it is appropriate for every patient o</w:t>
      </w:r>
      <w:r>
        <w:t>r every type of lymphoma; use depends on the diagnosis, prior treatment, regulatory label, and an oncologist’s assessment.</w:t>
      </w:r>
    </w:p>
    <w:p w14:paraId="694A572E" w14:textId="77777777" w:rsidR="001036CC" w:rsidRDefault="00136070">
      <w:pPr>
        <w:rPr>
          <w:rFonts w:hint="eastAsia"/>
        </w:rPr>
      </w:pPr>
      <w:r>
        <w:t>More broadly, the growth of Chinese biopharmaceutical research is reflected in new drug candidates, clinical trials, and partnerships</w:t>
      </w:r>
      <w:r>
        <w:t xml:space="preserve"> with international companies. The most informative measures of progress are not the number of announcements alone, but the quality of trial design, the reproducibility of results, safety monitoring, and whether a treatment improves outcomes that matter to</w:t>
      </w:r>
      <w:r>
        <w:t xml:space="preserve"> patients.</w:t>
      </w:r>
    </w:p>
    <w:p w14:paraId="63FF5F64" w14:textId="77777777" w:rsidR="001036CC" w:rsidRDefault="00136070">
      <w:pPr>
        <w:pStyle w:val="Heading1"/>
      </w:pPr>
      <w:r>
        <w:t>CAR-T cell therapy: a notable milestone in solid tumours</w:t>
      </w:r>
    </w:p>
    <w:p w14:paraId="56FB7DCE" w14:textId="77777777" w:rsidR="001036CC" w:rsidRDefault="00136070">
      <w:pPr>
        <w:rPr>
          <w:rFonts w:hint="eastAsia"/>
        </w:rPr>
      </w:pPr>
      <w:r>
        <w:t>Chimeric antigen receptor T-cell (CAR-T) therapy is a form of cellular immunotherapy. In a common approach, a patient’s T cells are collected, genetically modified so that they can recogni</w:t>
      </w:r>
      <w:r>
        <w:t>ze a target on cancer cells, expanded in a specialized facility, and infused back into the patient. Patients generally need preparative treatment and close monitoring. Important risks can include cytokine release syndrome and immune effector cell-associate</w:t>
      </w:r>
      <w:r>
        <w:t>d neurotoxicity syndrome, which require specialist care.</w:t>
      </w:r>
    </w:p>
    <w:p w14:paraId="0916390E" w14:textId="77777777" w:rsidR="001036CC" w:rsidRDefault="00136070">
      <w:pPr>
        <w:rPr>
          <w:rFonts w:hint="eastAsia"/>
        </w:rPr>
      </w:pPr>
      <w:r>
        <w:t>For many years, approved CAR-T therapies were used primarily for selected blood cancers. On June 22, 2026, China’s NMPA approved satricabtagene autoleucel (satri-cel), a CAR-T therapy targeting Claud</w:t>
      </w:r>
      <w:r>
        <w:t>in 18.2, for a defined group of patients with advanced gastric or gastro-oesophageal junction adenocarcinoma. The indication is limited to patients whose tumours meet specified biomarker and disease criteria and whose cancer has progressed after at least t</w:t>
      </w:r>
      <w:r>
        <w:t>wo prior lines of treatment. The approval was reported as the first global approval of a CAR-T product for a solid tumour.</w:t>
      </w:r>
    </w:p>
    <w:p w14:paraId="3497932C" w14:textId="77777777" w:rsidR="001036CC" w:rsidRDefault="00136070">
      <w:pPr>
        <w:rPr>
          <w:rFonts w:hint="eastAsia"/>
        </w:rPr>
      </w:pPr>
      <w:r>
        <w:t>This is an important regulatory milestone, but it should not be interpreted as a general cure for stomach cancer or as proof that CAR</w:t>
      </w:r>
      <w:r>
        <w:t>-T therapy is effective for all solid tumours. The treatment is intended for a specific patient group, and further research is needed to address the wider challenges of using engineered immune cells against solid cancers.</w:t>
      </w:r>
    </w:p>
    <w:p w14:paraId="35F5C498" w14:textId="77777777" w:rsidR="001036CC" w:rsidRDefault="00136070">
      <w:pPr>
        <w:pStyle w:val="Heading1"/>
      </w:pPr>
      <w:r>
        <w:t>Surgical techniques and clinical e</w:t>
      </w:r>
      <w:r>
        <w:t>xpertise</w:t>
      </w:r>
    </w:p>
    <w:p w14:paraId="3083CB3E" w14:textId="77777777" w:rsidR="001036CC" w:rsidRDefault="00136070">
      <w:pPr>
        <w:rPr>
          <w:rFonts w:hint="eastAsia"/>
        </w:rPr>
      </w:pPr>
      <w:r>
        <w:t xml:space="preserve">Medical progress also depends on how clinicians use devices and organize care. Chinese hospitals treat large numbers of patients with conditions such as stroke, cancer, cardiovascular disease, and aortic disease. High </w:t>
      </w:r>
      <w:r>
        <w:lastRenderedPageBreak/>
        <w:t xml:space="preserve">clinical volumes can provide </w:t>
      </w:r>
      <w:r>
        <w:t>opportunities to develop expertise and conduct research, but volume alone does not establish that a technique is superior. Claims about shorter operations, improved survival, fewer complications, or international adoption should be based on peer-reviewed s</w:t>
      </w:r>
      <w:r>
        <w:t>tudies or transparent clinical registries that explain the patient group and comparison being made.</w:t>
      </w:r>
    </w:p>
    <w:p w14:paraId="4B18E310" w14:textId="77777777" w:rsidR="001036CC" w:rsidRDefault="00136070">
      <w:pPr>
        <w:rPr>
          <w:rFonts w:hint="eastAsia"/>
        </w:rPr>
      </w:pPr>
      <w:r>
        <w:t>Examples of areas in which Chinese teams are active include minimally invasive cardiac interventions, endovascular treatment of aortic disease, cancer radio</w:t>
      </w:r>
      <w:r>
        <w:t>therapy, and organ transplantation. Their contribution should be assessed through published outcomes, independent evaluation, and whether findings can be reproduced in other hospitals and health systems.</w:t>
      </w:r>
    </w:p>
    <w:p w14:paraId="14CBB8FA" w14:textId="77777777" w:rsidR="001036CC" w:rsidRDefault="00136070">
      <w:pPr>
        <w:pStyle w:val="Heading1"/>
      </w:pPr>
      <w:r>
        <w:t>Traditional Chinese medicine and integrative healthc</w:t>
      </w:r>
      <w:r>
        <w:t>are</w:t>
      </w:r>
    </w:p>
    <w:p w14:paraId="66841254" w14:textId="77777777" w:rsidR="001036CC" w:rsidRDefault="00136070">
      <w:pPr>
        <w:rPr>
          <w:rFonts w:hint="eastAsia"/>
        </w:rPr>
      </w:pPr>
      <w:r>
        <w:t>Traditional Chinese medicine (TCM) includes practices such as acupuncture, herbal formulations, and external therapies. These practices have a long history and remain important to many patients in China and elsewhere. Research is also being conducted o</w:t>
      </w:r>
      <w:r>
        <w:t xml:space="preserve">n herbal products, natural compounds, and approaches that combine traditional practices with modern clinical care. However, the evidence base varies considerably by treatment and condition. A traditional use, a plausible mechanism, or a small study is not </w:t>
      </w:r>
      <w:r>
        <w:t>by itself proof of safety or effectiveness. Specific interventions should be evaluated using appropriate clinical evidence, quality control, and attention to possible interactions with medicines.</w:t>
      </w:r>
    </w:p>
    <w:p w14:paraId="73C0139A" w14:textId="77777777" w:rsidR="001036CC" w:rsidRDefault="00136070">
      <w:pPr>
        <w:rPr>
          <w:rFonts w:hint="eastAsia"/>
        </w:rPr>
      </w:pPr>
      <w:r>
        <w:t>For international readers, the most constructive approach is</w:t>
      </w:r>
      <w:r>
        <w:t xml:space="preserve"> neither to dismiss TCM as a whole nor to assume that all traditional treatments are effective. Each intervention should be considered on its own evidence, risks, and role within a patient’s overall care.</w:t>
      </w:r>
    </w:p>
    <w:p w14:paraId="2ABCFB26" w14:textId="77777777" w:rsidR="001036CC" w:rsidRDefault="00136070">
      <w:pPr>
        <w:pStyle w:val="Heading1"/>
      </w:pPr>
      <w:r>
        <w:t>How these innovations may affect global healthcare</w:t>
      </w:r>
    </w:p>
    <w:p w14:paraId="2EFBB28E" w14:textId="77777777" w:rsidR="001036CC" w:rsidRDefault="00136070">
      <w:pPr>
        <w:rPr>
          <w:rFonts w:hint="eastAsia"/>
        </w:rPr>
      </w:pPr>
      <w:r>
        <w:t>China’s medical innovation can influence global healthcare in several ways. First, additional suppliers may broaden access to diagnostic and therapeutic equipment. Second, competition can encourage manufacturers to improve performance, service, and afforda</w:t>
      </w:r>
      <w:r>
        <w:t>bility. Third, international clinical trials and regulatory submissions can bring new treatment options to patients outside the country where a product originated. Finally, collaboration between researchers, hospitals, manufacturers, and regulators can hel</w:t>
      </w:r>
      <w:r>
        <w:t>p clinical knowledge move across borders.</w:t>
      </w:r>
    </w:p>
    <w:p w14:paraId="08FDAB96" w14:textId="77777777" w:rsidR="001036CC" w:rsidRDefault="00136070">
      <w:pPr>
        <w:rPr>
          <w:rFonts w:hint="eastAsia"/>
        </w:rPr>
      </w:pPr>
      <w:r>
        <w:t>These benefits are not automatic. Access depends on regulatory authorization, pricing, reimbursement, supply chains, training, maintenance, and the ability of local health systems to deliver treatment safely. Expor</w:t>
      </w:r>
      <w:r>
        <w:t>t figures or a product’s presence in a country do not, on their own, establish how many patients have benefited or whether health outcomes have improved.</w:t>
      </w:r>
    </w:p>
    <w:p w14:paraId="06AC3D3D" w14:textId="77777777" w:rsidR="001036CC" w:rsidRDefault="00136070">
      <w:pPr>
        <w:pStyle w:val="Heading1"/>
      </w:pPr>
      <w:r>
        <w:t>Challenges and a balanced outlook</w:t>
      </w:r>
    </w:p>
    <w:p w14:paraId="18B5F2ED" w14:textId="77777777" w:rsidR="001036CC" w:rsidRDefault="00136070">
      <w:pPr>
        <w:rPr>
          <w:rFonts w:hint="eastAsia"/>
        </w:rPr>
      </w:pPr>
      <w:r>
        <w:t>Important challenges remain. Some advanced technologies are still at</w:t>
      </w:r>
      <w:r>
        <w:t xml:space="preserve"> an early stage of clinical development, and the number of patients studied may be limited. Long-term safety and effectiveness can take years to establish. Manufacturers may also depend on international suppliers for certain components or materials. In add</w:t>
      </w:r>
      <w:r>
        <w:t>ition, a regulatory approval in one jurisdiction does not guarantee approval elsewhere, and the cost of advanced treatments may restrict access.</w:t>
      </w:r>
    </w:p>
    <w:p w14:paraId="1735368E" w14:textId="77777777" w:rsidR="001036CC" w:rsidRDefault="00136070">
      <w:pPr>
        <w:rPr>
          <w:rFonts w:hint="eastAsia"/>
        </w:rPr>
      </w:pPr>
      <w:r>
        <w:t>A credible assessment of China’s medical sector should therefore recognize genuine achievements without assumin</w:t>
      </w:r>
      <w:r>
        <w:t>g that every new product is a breakthrough. The strongest evidence comes from transparent regulatory decisions, well-designed clinical studies, independent replication, post-market safety data, and measurable benefits for patients.</w:t>
      </w:r>
    </w:p>
    <w:p w14:paraId="6F7AB1DC" w14:textId="77777777" w:rsidR="001036CC" w:rsidRDefault="00136070">
      <w:pPr>
        <w:pStyle w:val="Heading1"/>
      </w:pPr>
      <w:r>
        <w:lastRenderedPageBreak/>
        <w:t>Conclusion</w:t>
      </w:r>
    </w:p>
    <w:p w14:paraId="510641AD" w14:textId="77777777" w:rsidR="001036CC" w:rsidRDefault="00136070">
      <w:pPr>
        <w:rPr>
          <w:rFonts w:hint="eastAsia"/>
        </w:rPr>
      </w:pPr>
      <w:r>
        <w:t>China is an i</w:t>
      </w:r>
      <w:r>
        <w:t>ncreasingly important participant in medical-device development, biotechnology, and clinical research. Recent NMPA figures show growth in the approval of innovative medical devices, while medicines such as mazdutide and zanubrutinib illustrate different wa</w:t>
      </w:r>
      <w:r>
        <w:t>ys that research associated with China has contributed to modern treatment. The 2026 approval of satri-cel for a narrowly defined group of patients with advanced gastric cancer is a notable milestone for CAR-T therapy in solid tumours.</w:t>
      </w:r>
    </w:p>
    <w:p w14:paraId="78127451" w14:textId="77777777" w:rsidR="001036CC" w:rsidRDefault="00136070">
      <w:pPr>
        <w:rPr>
          <w:rFonts w:hint="eastAsia"/>
        </w:rPr>
      </w:pPr>
      <w:r>
        <w:t>The lasting importan</w:t>
      </w:r>
      <w:r>
        <w:t>ce of these developments will depend on evidence: whether treatments are safe, whether they improve meaningful outcomes, whether other health systems can reproduce the results, and whether patients can access them. Measured in this way, China’s medical inn</w:t>
      </w:r>
      <w:r>
        <w:t>ovations deserve careful attention—not because every claim of global leadership should be accepted, but because their real achievements and limitations both matter to the future of healthcare.</w:t>
      </w:r>
    </w:p>
    <w:p w14:paraId="77054BE5" w14:textId="77777777" w:rsidR="001036CC" w:rsidRDefault="00136070">
      <w:pPr>
        <w:pStyle w:val="Heading1"/>
      </w:pPr>
      <w:r>
        <w:t>References</w:t>
      </w:r>
    </w:p>
    <w:p w14:paraId="213D95CA" w14:textId="77777777" w:rsidR="001036CC" w:rsidRDefault="00136070">
      <w:pPr>
        <w:ind w:left="288" w:hanging="288"/>
        <w:rPr>
          <w:rFonts w:hint="eastAsia"/>
        </w:rPr>
      </w:pPr>
      <w:r>
        <w:t xml:space="preserve">1. National Medical Products Administration (NMPA). </w:t>
      </w:r>
      <w:r>
        <w:t>“2025</w:t>
      </w:r>
      <w:r>
        <w:t>年度医疗器械注册工作报告</w:t>
      </w:r>
      <w:r>
        <w:t xml:space="preserve">” [2025 Medical Device Registration Work Report], published 24 February 2026. </w:t>
      </w:r>
      <w:r>
        <w:rPr>
          <w:color w:val="0563C1"/>
          <w:u w:val="single"/>
        </w:rPr>
        <w:t>https://www.nmpa.gov.cn/xxgk/fgwj/gzwj/gzwjylqx/20260224172356196.html</w:t>
      </w:r>
    </w:p>
    <w:p w14:paraId="52A83B20" w14:textId="77777777" w:rsidR="001036CC" w:rsidRDefault="00136070">
      <w:pPr>
        <w:ind w:left="288" w:hanging="288"/>
        <w:rPr>
          <w:rFonts w:hint="eastAsia"/>
        </w:rPr>
      </w:pPr>
      <w:r>
        <w:t xml:space="preserve">2. Ji L, et al. “Once-Weekly Mazdutide in Chinese Adults with Obesity or Overweight.” The </w:t>
      </w:r>
      <w:r>
        <w:t xml:space="preserve">New England Journal of Medicine. 2025;392:2215–2225. </w:t>
      </w:r>
      <w:r>
        <w:rPr>
          <w:color w:val="0563C1"/>
          <w:u w:val="single"/>
        </w:rPr>
        <w:t>https://www.nejm.org/doi/10.1056/NEJMoa2411528</w:t>
      </w:r>
    </w:p>
    <w:p w14:paraId="1AF1252D" w14:textId="77777777" w:rsidR="001036CC" w:rsidRDefault="00136070">
      <w:pPr>
        <w:ind w:left="288" w:hanging="288"/>
        <w:rPr>
          <w:rFonts w:hint="eastAsia"/>
        </w:rPr>
      </w:pPr>
      <w:r>
        <w:t xml:space="preserve">3. US Food and Drug Administration. “FDA approves zanubrutinib for chronic lymphocytic leukemia or small lymphocytic lymphoma.” 19 January 2023. </w:t>
      </w:r>
      <w:r>
        <w:rPr>
          <w:color w:val="0563C1"/>
          <w:u w:val="single"/>
        </w:rPr>
        <w:t>https://www</w:t>
      </w:r>
      <w:r>
        <w:rPr>
          <w:color w:val="0563C1"/>
          <w:u w:val="single"/>
        </w:rPr>
        <w:t>.fda.gov/drugs/resources-information-approved-drugs/fda-approves-zanubrutinib-chronic-lymphocytic-leukemia-or-small-lymphocytic-lymphoma</w:t>
      </w:r>
    </w:p>
    <w:p w14:paraId="302BEE10" w14:textId="77777777" w:rsidR="001036CC" w:rsidRDefault="00136070">
      <w:pPr>
        <w:ind w:left="288" w:hanging="288"/>
        <w:rPr>
          <w:rFonts w:hint="eastAsia"/>
        </w:rPr>
      </w:pPr>
      <w:r>
        <w:t>4. US Food and Drug Administration. “FDA grants accelerated approval to zanubrutinib for relapsed or refractory follicu</w:t>
      </w:r>
      <w:r>
        <w:t xml:space="preserve">lar lymphoma.” 7 March 2024. </w:t>
      </w:r>
      <w:r>
        <w:rPr>
          <w:color w:val="0563C1"/>
          <w:u w:val="single"/>
        </w:rPr>
        <w:t>https://www.fda.gov/drugs/resources-information-approved-drugs/fda-grants-accelerated-approval-zanubrutinib-relapsed-or-refractory-follicular-lymphoma</w:t>
      </w:r>
    </w:p>
    <w:p w14:paraId="2058B6ED" w14:textId="77777777" w:rsidR="001036CC" w:rsidRDefault="00136070">
      <w:pPr>
        <w:ind w:left="288" w:hanging="288"/>
        <w:rPr>
          <w:rFonts w:hint="eastAsia"/>
        </w:rPr>
      </w:pPr>
      <w:r>
        <w:t>5. Pudong Government / Shanghai. “Pudong company’s world-first solid tumor C</w:t>
      </w:r>
      <w:r>
        <w:t xml:space="preserve">AR-T therapy approved in China.” Updated 24 June 2026. </w:t>
      </w:r>
      <w:r>
        <w:rPr>
          <w:color w:val="0563C1"/>
          <w:u w:val="single"/>
        </w:rPr>
        <w:t>https://english.pudong.gov.cn/2026-06/24/c_1192878.htm</w:t>
      </w:r>
    </w:p>
    <w:p w14:paraId="066E7725" w14:textId="77777777" w:rsidR="001036CC" w:rsidRDefault="00136070">
      <w:pPr>
        <w:ind w:left="288" w:hanging="288"/>
        <w:rPr>
          <w:rFonts w:hint="eastAsia"/>
        </w:rPr>
      </w:pPr>
      <w:r>
        <w:t xml:space="preserve">6. US Food and Drug Administration. “Breakthrough Devices Program.” </w:t>
      </w:r>
      <w:r>
        <w:rPr>
          <w:color w:val="0563C1"/>
          <w:u w:val="single"/>
        </w:rPr>
        <w:t>https://www.fda.gov/medical-devices/how-study-and-market-your-device/breakthro</w:t>
      </w:r>
      <w:r>
        <w:rPr>
          <w:color w:val="0563C1"/>
          <w:u w:val="single"/>
        </w:rPr>
        <w:t>ugh-devices-program</w:t>
      </w:r>
    </w:p>
    <w:p w14:paraId="56DD8023" w14:textId="77777777" w:rsidR="001036CC" w:rsidRDefault="00136070">
      <w:pPr>
        <w:pStyle w:val="Heading1"/>
      </w:pPr>
      <w:r>
        <w:t>Editorial note</w:t>
      </w:r>
    </w:p>
    <w:p w14:paraId="0A899350" w14:textId="77777777" w:rsidR="001036CC" w:rsidRDefault="00136070">
      <w:pPr>
        <w:rPr>
          <w:rFonts w:hint="eastAsia"/>
        </w:rPr>
      </w:pPr>
      <w:r>
        <w:t xml:space="preserve">This article is for general information and is not medical advice. Regulatory status and approved indications can change. Readers should consult qualified healthcare professionals for individual medical </w:t>
      </w:r>
      <w:r>
        <w:t>decisions. Claims about individual products are limited to the cited sources; the article does not rank countries or products across all medical fields.</w:t>
      </w:r>
    </w:p>
    <w:sectPr w:rsidR="001036CC"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DD190" w14:textId="77777777" w:rsidR="00136070" w:rsidRDefault="00136070">
      <w:pPr>
        <w:spacing w:after="0" w:line="240" w:lineRule="auto"/>
        <w:rPr>
          <w:rFonts w:hint="eastAsia"/>
        </w:rPr>
      </w:pPr>
      <w:r>
        <w:separator/>
      </w:r>
    </w:p>
  </w:endnote>
  <w:endnote w:type="continuationSeparator" w:id="0">
    <w:p w14:paraId="6FDE0ADF" w14:textId="77777777" w:rsidR="00136070" w:rsidRDefault="001360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238BC" w14:textId="77777777" w:rsidR="001036CC" w:rsidRDefault="00136070">
    <w:pPr>
      <w:pStyle w:val="Footer"/>
      <w:jc w:val="center"/>
      <w:rPr>
        <w:rFonts w:hint="eastAsia"/>
      </w:rPr>
    </w:pPr>
    <w:r>
      <w:t xml:space="preserve">China’s Medical Innovations  •  </w:t>
    </w:r>
    <w:r>
      <w:fldChar w:fldCharType="begin"/>
    </w:r>
    <w:r>
      <w:instrText>PAGE</w:instrText>
    </w:r>
    <w:r>
      <w:rPr>
        <w:rFonts w:hint="eastAsia"/>
      </w:rPr>
      <w:fldChar w:fldCharType="separate"/>
    </w:r>
    <w:r w:rsidR="0024224C">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18B15" w14:textId="77777777" w:rsidR="00136070" w:rsidRDefault="00136070">
      <w:pPr>
        <w:spacing w:after="0" w:line="240" w:lineRule="auto"/>
        <w:rPr>
          <w:rFonts w:hint="eastAsia"/>
        </w:rPr>
      </w:pPr>
      <w:r>
        <w:separator/>
      </w:r>
    </w:p>
  </w:footnote>
  <w:footnote w:type="continuationSeparator" w:id="0">
    <w:p w14:paraId="407F279C" w14:textId="77777777" w:rsidR="00136070" w:rsidRDefault="0013607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6CC"/>
    <w:rsid w:val="00136070"/>
    <w:rsid w:val="0015074B"/>
    <w:rsid w:val="0024224C"/>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E05C9"/>
  <w14:defaultImageDpi w14:val="300"/>
  <w15:docId w15:val="{7E868CF1-4C7B-40B4-B259-57037153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3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3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3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Jennifer yu</cp:lastModifiedBy>
  <cp:revision>2</cp:revision>
  <dcterms:created xsi:type="dcterms:W3CDTF">2026-10-18T18:51:00Z</dcterms:created>
  <dcterms:modified xsi:type="dcterms:W3CDTF">2026-10-18T18:51:00Z</dcterms:modified>
  <cp:category/>
</cp:coreProperties>
</file>