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965A8">
      <w:pPr>
        <w:jc w:val="center"/>
        <w:rPr>
          <w:rFonts w:ascii="Times New Roman" w:hAnsi="Times New Roman" w:cs="宋体"/>
          <w:b/>
          <w:bCs/>
          <w:spacing w:val="-2"/>
          <w:sz w:val="38"/>
        </w:rPr>
      </w:pPr>
      <w:bookmarkStart w:id="1" w:name="_GoBack"/>
      <w:bookmarkEnd w:id="1"/>
      <w:r>
        <w:rPr>
          <w:rFonts w:ascii="Times New Roman" w:hAnsi="Times New Roman" w:eastAsia="Times New Roman"/>
          <w:b/>
          <w:bCs/>
          <w:sz w:val="38"/>
        </w:rPr>
        <w:t>202</w:t>
      </w:r>
      <w:r>
        <w:rPr>
          <w:rFonts w:hint="eastAsia" w:ascii="Times New Roman" w:hAnsi="Times New Roman" w:eastAsia="宋体"/>
          <w:b/>
          <w:bCs/>
          <w:sz w:val="38"/>
          <w:lang w:val="en-US" w:eastAsia="zh-CN"/>
        </w:rPr>
        <w:t>6</w:t>
      </w:r>
      <w:r>
        <w:rPr>
          <w:rFonts w:ascii="Times New Roman" w:hAnsi="Times New Roman" w:eastAsia="Times New Roman"/>
          <w:b/>
          <w:bCs/>
          <w:spacing w:val="-24"/>
          <w:sz w:val="38"/>
        </w:rPr>
        <w:t xml:space="preserve"> </w:t>
      </w:r>
      <w:r>
        <w:rPr>
          <w:rFonts w:hint="eastAsia" w:ascii="Times New Roman" w:hAnsi="Times New Roman" w:cs="宋体"/>
          <w:b/>
          <w:bCs/>
          <w:sz w:val="38"/>
        </w:rPr>
        <w:t>年全国</w:t>
      </w:r>
      <w:r>
        <w:rPr>
          <w:rFonts w:ascii="Times New Roman" w:hAnsi="Times New Roman" w:eastAsia="Noto Sans CJK HK" w:cs="Calibri"/>
          <w:b/>
          <w:bCs/>
          <w:sz w:val="38"/>
        </w:rPr>
        <w:t>“</w:t>
      </w:r>
      <w:r>
        <w:rPr>
          <w:rFonts w:hint="eastAsia" w:ascii="Times New Roman" w:hAnsi="Times New Roman" w:cs="宋体"/>
          <w:b/>
          <w:bCs/>
          <w:sz w:val="38"/>
        </w:rPr>
        <w:t>田家炳杯</w:t>
      </w:r>
      <w:r>
        <w:rPr>
          <w:rFonts w:ascii="Times New Roman" w:hAnsi="Times New Roman" w:eastAsia="Noto Sans CJK HK" w:cs="Calibri"/>
          <w:b/>
          <w:bCs/>
          <w:sz w:val="38"/>
        </w:rPr>
        <w:t>”</w:t>
      </w:r>
      <w:r>
        <w:rPr>
          <w:rFonts w:hint="eastAsia" w:ascii="Times New Roman" w:hAnsi="Times New Roman" w:cs="宋体"/>
          <w:b/>
          <w:bCs/>
          <w:sz w:val="38"/>
        </w:rPr>
        <w:t>全日制教育硕士专业学位研究生</w:t>
      </w:r>
      <w:r>
        <w:rPr>
          <w:rFonts w:hint="eastAsia" w:ascii="Times New Roman" w:hAnsi="Times New Roman" w:cs="宋体"/>
          <w:b/>
          <w:bCs/>
          <w:spacing w:val="-2"/>
          <w:sz w:val="38"/>
        </w:rPr>
        <w:t>现代教育技术专业教学技能大赛初赛评分标准</w:t>
      </w:r>
    </w:p>
    <w:p w14:paraId="28FD9ED9">
      <w:pPr>
        <w:jc w:val="center"/>
        <w:rPr>
          <w:rFonts w:ascii="Times New Roman" w:hAnsi="Times New Roman" w:eastAsia="仿宋_GB2312"/>
          <w:sz w:val="24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276"/>
        <w:gridCol w:w="5953"/>
      </w:tblGrid>
      <w:tr w14:paraId="0E046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7" w:type="dxa"/>
            <w:gridSpan w:val="2"/>
            <w:vAlign w:val="center"/>
          </w:tcPr>
          <w:p w14:paraId="24C3A2E1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kern w:val="0"/>
                <w:sz w:val="24"/>
                <w:szCs w:val="20"/>
              </w:rPr>
              <w:t>评价内容</w:t>
            </w:r>
          </w:p>
        </w:tc>
        <w:tc>
          <w:tcPr>
            <w:tcW w:w="5953" w:type="dxa"/>
          </w:tcPr>
          <w:p w14:paraId="004C667D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kern w:val="0"/>
                <w:sz w:val="24"/>
                <w:szCs w:val="20"/>
              </w:rPr>
              <w:t>评价标准</w:t>
            </w:r>
          </w:p>
        </w:tc>
      </w:tr>
      <w:tr w14:paraId="5B0D0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271" w:type="dxa"/>
            <w:vMerge w:val="restart"/>
            <w:vAlign w:val="center"/>
          </w:tcPr>
          <w:p w14:paraId="59F92783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kern w:val="0"/>
                <w:sz w:val="24"/>
                <w:szCs w:val="20"/>
              </w:rPr>
              <w:t>教学设计</w:t>
            </w:r>
          </w:p>
          <w:p w14:paraId="466DB612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kern w:val="0"/>
                <w:sz w:val="24"/>
                <w:szCs w:val="20"/>
              </w:rPr>
              <w:t>（</w:t>
            </w:r>
            <w:r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  <w:t>30</w:t>
            </w:r>
            <w:r>
              <w:rPr>
                <w:rFonts w:hint="eastAsia" w:ascii="Times New Roman" w:hAnsi="Times New Roman" w:eastAsia="仿宋_GB2312"/>
                <w:b/>
                <w:bCs/>
                <w:kern w:val="0"/>
                <w:sz w:val="24"/>
                <w:szCs w:val="20"/>
              </w:rPr>
              <w:t>分）</w:t>
            </w:r>
          </w:p>
        </w:tc>
        <w:tc>
          <w:tcPr>
            <w:tcW w:w="1276" w:type="dxa"/>
            <w:vMerge w:val="restart"/>
            <w:vAlign w:val="center"/>
          </w:tcPr>
          <w:p w14:paraId="79EEA8A7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设计理念</w:t>
            </w:r>
          </w:p>
          <w:p w14:paraId="53C8FFE2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（</w:t>
            </w:r>
            <w:r>
              <w:rPr>
                <w:rFonts w:ascii="Times New Roman" w:hAnsi="Times New Roman" w:eastAsia="仿宋_GB2312"/>
                <w:kern w:val="0"/>
                <w:sz w:val="24"/>
                <w:szCs w:val="20"/>
              </w:rPr>
              <w:t>3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分）</w:t>
            </w:r>
          </w:p>
        </w:tc>
        <w:tc>
          <w:tcPr>
            <w:tcW w:w="5953" w:type="dxa"/>
          </w:tcPr>
          <w:p w14:paraId="610D6C9F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强调立德树人根本任务。</w:t>
            </w:r>
          </w:p>
        </w:tc>
      </w:tr>
      <w:tr w14:paraId="4495D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271" w:type="dxa"/>
            <w:vMerge w:val="continue"/>
            <w:vAlign w:val="center"/>
          </w:tcPr>
          <w:p w14:paraId="1D2D7F4C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5793A28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46B90F89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注重在问题解决过程中提升信息素养，培养具备信息素养的公民。</w:t>
            </w:r>
          </w:p>
        </w:tc>
      </w:tr>
      <w:tr w14:paraId="5AFF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1271" w:type="dxa"/>
            <w:vMerge w:val="continue"/>
            <w:vAlign w:val="center"/>
          </w:tcPr>
          <w:p w14:paraId="425DBE1A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152D5EC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01E5767C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体现最新课程标准和理念的要求。</w:t>
            </w:r>
          </w:p>
        </w:tc>
      </w:tr>
      <w:tr w14:paraId="0238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0A44AB0C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07629938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目标解析</w:t>
            </w:r>
          </w:p>
          <w:p w14:paraId="6C9CB31C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bookmarkStart w:id="0" w:name="OLE_LINK8"/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（</w:t>
            </w:r>
            <w:r>
              <w:rPr>
                <w:rFonts w:ascii="Times New Roman" w:hAnsi="Times New Roman" w:eastAsia="仿宋_GB2312"/>
                <w:kern w:val="0"/>
                <w:sz w:val="24"/>
                <w:szCs w:val="20"/>
              </w:rPr>
              <w:t>3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分）</w:t>
            </w:r>
            <w:bookmarkEnd w:id="0"/>
          </w:p>
        </w:tc>
        <w:tc>
          <w:tcPr>
            <w:tcW w:w="5953" w:type="dxa"/>
          </w:tcPr>
          <w:p w14:paraId="52903B19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依据信息技术（信息科技）学科核心素养确定目标。</w:t>
            </w:r>
          </w:p>
        </w:tc>
      </w:tr>
      <w:tr w14:paraId="2827B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3A66BC7A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25962ED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0A34D6F9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目标设置准确，表述清晰，可测性强。</w:t>
            </w:r>
          </w:p>
        </w:tc>
      </w:tr>
      <w:tr w14:paraId="3BD6B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1781686C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5A8FBA12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56E21F47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目标表述符合学科的特点和学生实际情况。</w:t>
            </w:r>
          </w:p>
        </w:tc>
      </w:tr>
      <w:tr w14:paraId="39F7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3877FAB9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6DDA5DED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内容分析</w:t>
            </w:r>
          </w:p>
          <w:p w14:paraId="6D523B51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（</w:t>
            </w:r>
            <w:r>
              <w:rPr>
                <w:rFonts w:ascii="Times New Roman" w:hAnsi="Times New Roman" w:eastAsia="仿宋_GB2312"/>
                <w:kern w:val="0"/>
                <w:sz w:val="24"/>
                <w:szCs w:val="20"/>
              </w:rPr>
              <w:t>3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分）</w:t>
            </w:r>
          </w:p>
        </w:tc>
        <w:tc>
          <w:tcPr>
            <w:tcW w:w="5953" w:type="dxa"/>
          </w:tcPr>
          <w:p w14:paraId="06BA73C3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准确把握教材体系，准确分析教学内容与前后知识点的关系，作用、地位描述准确。</w:t>
            </w:r>
          </w:p>
        </w:tc>
      </w:tr>
      <w:tr w14:paraId="2841F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6E61FF33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40883719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44B67F64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准确描述内容的特点，重难点分析清楚。</w:t>
            </w:r>
          </w:p>
        </w:tc>
      </w:tr>
      <w:tr w14:paraId="673D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061A9722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524A7A7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学情分析</w:t>
            </w:r>
          </w:p>
          <w:p w14:paraId="2A408344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（</w:t>
            </w:r>
            <w:r>
              <w:rPr>
                <w:rFonts w:ascii="Times New Roman" w:hAnsi="Times New Roman" w:eastAsia="仿宋_GB2312"/>
                <w:kern w:val="0"/>
                <w:sz w:val="24"/>
                <w:szCs w:val="20"/>
              </w:rPr>
              <w:t>3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分）</w:t>
            </w:r>
          </w:p>
        </w:tc>
        <w:tc>
          <w:tcPr>
            <w:tcW w:w="5953" w:type="dxa"/>
          </w:tcPr>
          <w:p w14:paraId="07F89A21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准确分析学习者认知特点整体发展水平和知识基础。</w:t>
            </w:r>
          </w:p>
        </w:tc>
      </w:tr>
      <w:tr w14:paraId="6D19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3FC90ED6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1F4AF73E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19FBD4A6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准确描述学习者的学习习惯和能力。</w:t>
            </w:r>
          </w:p>
        </w:tc>
      </w:tr>
      <w:tr w14:paraId="4839B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0E8C6F88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3C9F7392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过程设计</w:t>
            </w:r>
          </w:p>
          <w:p w14:paraId="4C218699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（15分）</w:t>
            </w:r>
          </w:p>
        </w:tc>
        <w:tc>
          <w:tcPr>
            <w:tcW w:w="5953" w:type="dxa"/>
          </w:tcPr>
          <w:p w14:paraId="3D357E43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教学主线描述清晰，教学内容处理符合大纲要求，具有较强的系统性和前沿性。</w:t>
            </w:r>
          </w:p>
        </w:tc>
      </w:tr>
      <w:tr w14:paraId="649FD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688749C4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2925DEA3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2CDAE56A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教学重点突出，点面结合，深浅适度。</w:t>
            </w:r>
          </w:p>
        </w:tc>
      </w:tr>
      <w:tr w14:paraId="7EE5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621FD204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79C8D830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291AA97E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教学环节完整，过程流畅，结构清晰。</w:t>
            </w:r>
          </w:p>
        </w:tc>
      </w:tr>
      <w:tr w14:paraId="66EBC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33D3DEBB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62147549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45E46B0E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教学方法使用恰当，注重学生自主性发挥，注重反馈和评价。</w:t>
            </w:r>
          </w:p>
        </w:tc>
      </w:tr>
      <w:tr w14:paraId="6E90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7DB39BDB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Merge w:val="continue"/>
            <w:vAlign w:val="center"/>
          </w:tcPr>
          <w:p w14:paraId="6E6F1A2A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</w:p>
        </w:tc>
        <w:tc>
          <w:tcPr>
            <w:tcW w:w="5953" w:type="dxa"/>
          </w:tcPr>
          <w:p w14:paraId="374BB5F8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课堂时间分配合理，各环节衔接自然。</w:t>
            </w:r>
          </w:p>
        </w:tc>
      </w:tr>
      <w:tr w14:paraId="050C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vMerge w:val="continue"/>
            <w:vAlign w:val="center"/>
          </w:tcPr>
          <w:p w14:paraId="40B7EF54">
            <w:pPr>
              <w:jc w:val="center"/>
              <w:rPr>
                <w:rFonts w:ascii="Times New Roman" w:hAnsi="Times New Roman" w:eastAsia="仿宋_GB2312"/>
                <w:b/>
                <w:bCs/>
                <w:kern w:val="0"/>
                <w:sz w:val="24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6B6534AB">
            <w:pPr>
              <w:jc w:val="center"/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文档规范（</w:t>
            </w:r>
            <w:r>
              <w:rPr>
                <w:rFonts w:ascii="Times New Roman" w:hAnsi="Times New Roman" w:eastAsia="仿宋_GB2312"/>
                <w:kern w:val="0"/>
                <w:sz w:val="24"/>
                <w:szCs w:val="20"/>
              </w:rPr>
              <w:t>3</w:t>
            </w: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分）</w:t>
            </w:r>
          </w:p>
        </w:tc>
        <w:tc>
          <w:tcPr>
            <w:tcW w:w="5953" w:type="dxa"/>
          </w:tcPr>
          <w:p w14:paraId="24A26515">
            <w:pPr>
              <w:rPr>
                <w:rFonts w:ascii="Times New Roman" w:hAnsi="Times New Roman" w:eastAsia="仿宋_GB2312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_GB2312"/>
                <w:kern w:val="0"/>
                <w:sz w:val="24"/>
                <w:szCs w:val="20"/>
              </w:rPr>
              <w:t>教学设计方案文档结构完整，布局合理，图文并茂，格式美观。</w:t>
            </w:r>
          </w:p>
        </w:tc>
      </w:tr>
    </w:tbl>
    <w:p w14:paraId="7D0F4B8F">
      <w:pPr>
        <w:jc w:val="center"/>
        <w:rPr>
          <w:rFonts w:hint="eastAsia"/>
        </w:rPr>
      </w:pPr>
    </w:p>
    <w:sectPr>
      <w:pgSz w:w="11906" w:h="16838"/>
      <w:pgMar w:top="1440" w:right="1797" w:bottom="1440" w:left="1797" w:header="851" w:footer="992" w:gutter="0"/>
      <w:cols w:space="425" w:num="1"/>
      <w:docGrid w:type="linesAndChars" w:linePitch="310" w:charSpace="-43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89"/>
  <w:drawingGridVerticalSpacing w:val="202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3B1"/>
    <w:rsid w:val="00042F78"/>
    <w:rsid w:val="000C20D2"/>
    <w:rsid w:val="001343B1"/>
    <w:rsid w:val="003233A0"/>
    <w:rsid w:val="00342040"/>
    <w:rsid w:val="00485470"/>
    <w:rsid w:val="004E61D1"/>
    <w:rsid w:val="00560089"/>
    <w:rsid w:val="006A2355"/>
    <w:rsid w:val="007B08AA"/>
    <w:rsid w:val="007D2ECF"/>
    <w:rsid w:val="009C6AB6"/>
    <w:rsid w:val="00A21000"/>
    <w:rsid w:val="00A455DC"/>
    <w:rsid w:val="00AC3A4A"/>
    <w:rsid w:val="00BC3760"/>
    <w:rsid w:val="00BC46E0"/>
    <w:rsid w:val="00BF4083"/>
    <w:rsid w:val="00DC4C44"/>
    <w:rsid w:val="00DE6B46"/>
    <w:rsid w:val="00F31613"/>
    <w:rsid w:val="163B4169"/>
    <w:rsid w:val="18DC3FBE"/>
    <w:rsid w:val="2B870D91"/>
    <w:rsid w:val="37B96266"/>
    <w:rsid w:val="41E11736"/>
    <w:rsid w:val="61387FFE"/>
    <w:rsid w:val="7BA61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1858</Words>
  <Characters>1943</Characters>
  <Lines>114</Lines>
  <Paragraphs>89</Paragraphs>
  <TotalTime>28</TotalTime>
  <ScaleCrop>false</ScaleCrop>
  <LinksUpToDate>false</LinksUpToDate>
  <CharactersWithSpaces>2030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2025-05-17T10:24:00Z</dcterms:created>
  <dc:creator>宗美 贺</dc:creator>
  <cp:lastModifiedBy>ct</cp:lastModifiedBy>
  <dcterms:modified xsi:type="dcterms:W3CDTF">2026-06-11T12:34:45Z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eyJoZGlkIjoiZmIyODYyMDJmYWVjYzEzNjExZTNkZjZjOGUxYjIyNDkiLCJ1c2VySWQiOiIxNjMyOTgyOTI3In0=</vt:lpwstr>
  </property>
  <property fmtid="{D5CDD505-2E9C-101B-9397-08002B2CF9AE}" pid="3" name="KSOProductBuildVer">
    <vt:lpwstr>2052-12.1.0.23542</vt:lpwstr>
  </property>
  <property fmtid="{D5CDD505-2E9C-101B-9397-08002B2CF9AE}" pid="4" name="ICV">
    <vt:lpwstr>73EE2DA5541A472BB3204B1E6C8A5CFA_13</vt:lpwstr>
  </property>
</Properties>
</file>