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2"/>
        <w:spacing w:before="4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4"/>
        </w:rPr>
        <w:t>附件</w:t>
      </w:r>
      <w:r>
        <w:rPr>
          <w:rFonts w:ascii="SimSun" w:hAnsi="SimSun" w:eastAsia="SimSun" w:cs="SimSun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4"/>
        </w:rPr>
        <w:t>1</w:t>
      </w:r>
      <w:r>
        <w:rPr>
          <w:rFonts w:ascii="SimSun" w:hAnsi="SimSun" w:eastAsia="SimSun" w:cs="SimSun"/>
          <w:sz w:val="24"/>
          <w:szCs w:val="24"/>
          <w:b/>
          <w:bCs/>
          <w:spacing w:val="-14"/>
        </w:rPr>
        <w:t>：</w:t>
      </w:r>
    </w:p>
    <w:p>
      <w:pPr>
        <w:ind w:left="2958"/>
        <w:spacing w:before="147" w:line="228" w:lineRule="auto"/>
        <w:outlineLvl w:val="0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8"/>
        </w:rPr>
        <w:t>初赛评分参考标准</w:t>
      </w:r>
    </w:p>
    <w:p>
      <w:pPr>
        <w:spacing w:before="9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64"/>
        <w:gridCol w:w="1708"/>
        <w:gridCol w:w="5754"/>
      </w:tblGrid>
      <w:tr>
        <w:trPr>
          <w:trHeight w:val="760" w:hRule="atLeast"/>
        </w:trPr>
        <w:tc>
          <w:tcPr>
            <w:tcW w:w="1064" w:type="dxa"/>
            <w:vAlign w:val="top"/>
          </w:tcPr>
          <w:p>
            <w:pPr>
              <w:ind w:left="137"/>
              <w:spacing w:before="27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</w:rPr>
              <w:t>比赛环节</w:t>
            </w:r>
          </w:p>
        </w:tc>
        <w:tc>
          <w:tcPr>
            <w:tcW w:w="1708" w:type="dxa"/>
            <w:vAlign w:val="top"/>
          </w:tcPr>
          <w:p>
            <w:pPr>
              <w:ind w:left="437"/>
              <w:spacing w:before="27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评价内容</w:t>
            </w:r>
          </w:p>
        </w:tc>
        <w:tc>
          <w:tcPr>
            <w:tcW w:w="5754" w:type="dxa"/>
            <w:vAlign w:val="top"/>
          </w:tcPr>
          <w:p>
            <w:pPr>
              <w:ind w:left="2458"/>
              <w:spacing w:before="27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6"/>
              </w:rPr>
              <w:t>评价标准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ind w:left="119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教学设计</w:t>
            </w:r>
          </w:p>
        </w:tc>
        <w:tc>
          <w:tcPr>
            <w:tcW w:w="1708" w:type="dxa"/>
            <w:vAlign w:val="top"/>
            <w:vMerge w:val="restart"/>
            <w:tcBorders>
              <w:bottom w:val="nil"/>
            </w:tcBorders>
          </w:tcPr>
          <w:p>
            <w:pPr>
              <w:ind w:left="421" w:right="427" w:firstLine="19"/>
              <w:spacing w:before="60" w:line="26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设计理念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（10</w:t>
            </w:r>
            <w:r>
              <w:rPr>
                <w:rFonts w:ascii="SimSun" w:hAnsi="SimSun" w:eastAsia="SimSun" w:cs="SimSun"/>
                <w:sz w:val="20"/>
                <w:szCs w:val="2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分）</w:t>
            </w:r>
          </w:p>
        </w:tc>
        <w:tc>
          <w:tcPr>
            <w:tcW w:w="5754" w:type="dxa"/>
            <w:vAlign w:val="top"/>
          </w:tcPr>
          <w:p>
            <w:pPr>
              <w:ind w:left="127"/>
              <w:spacing w:before="51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1.体现立德树人根本任务。</w:t>
            </w:r>
          </w:p>
        </w:tc>
      </w:tr>
      <w:tr>
        <w:trPr>
          <w:trHeight w:val="323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4"/>
              <w:spacing w:before="51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2.重视开展“素养为本</w:t>
            </w:r>
            <w:r>
              <w:rPr>
                <w:rFonts w:ascii="SimSun" w:hAnsi="SimSun" w:eastAsia="SimSun" w:cs="SimSun"/>
                <w:sz w:val="20"/>
                <w:szCs w:val="20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”的教学。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69" w:lineRule="auto"/>
              <w:rPr/>
            </w:pPr>
            <w:r/>
          </w:p>
          <w:p>
            <w:pPr>
              <w:ind w:left="126"/>
              <w:spacing w:before="6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教材与学情分析</w:t>
            </w:r>
          </w:p>
          <w:p>
            <w:pPr>
              <w:ind w:left="421"/>
              <w:spacing w:before="6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（20</w:t>
            </w:r>
            <w:r>
              <w:rPr>
                <w:rFonts w:ascii="SimSun" w:hAnsi="SimSun" w:eastAsia="SimSun" w:cs="SimSun"/>
                <w:sz w:val="20"/>
                <w:szCs w:val="20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分）</w:t>
            </w:r>
          </w:p>
        </w:tc>
        <w:tc>
          <w:tcPr>
            <w:tcW w:w="5754" w:type="dxa"/>
            <w:vAlign w:val="top"/>
          </w:tcPr>
          <w:p>
            <w:pPr>
              <w:ind w:left="116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3.把握教材体系体例，体现对教材的整体关照。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1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4.准确理解教材内容和结构，明确教学重难点。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right="13"/>
              <w:spacing w:before="54" w:line="228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5.准确研判学习起点和困难，注意与学生已有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知识经验衔接。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4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6.立足学生自主发展，体现语文学科核心素养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培养要求。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2" w:lineRule="auto"/>
              <w:rPr/>
            </w:pPr>
            <w:r/>
          </w:p>
          <w:p>
            <w:pPr>
              <w:ind w:left="421" w:right="427" w:firstLine="18"/>
              <w:spacing w:before="65" w:line="29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教学目标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（20</w:t>
            </w:r>
            <w:r>
              <w:rPr>
                <w:rFonts w:ascii="SimSun" w:hAnsi="SimSun" w:eastAsia="SimSun" w:cs="SimSun"/>
                <w:sz w:val="20"/>
                <w:szCs w:val="2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分）</w:t>
            </w:r>
          </w:p>
        </w:tc>
        <w:tc>
          <w:tcPr>
            <w:tcW w:w="5754" w:type="dxa"/>
            <w:vAlign w:val="top"/>
          </w:tcPr>
          <w:p>
            <w:pPr>
              <w:ind w:left="117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7.落实语文课程标准中相关学习要求。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3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8.根据教材内容、学生实际情况确定适宜的教学目标。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3"/>
              <w:spacing w:before="5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9.教学目标之间具有内在联系，聚焦教学重难点。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27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10.教学目标表述明确、具体、恰当。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ind w:left="421" w:right="427" w:firstLine="18"/>
              <w:spacing w:before="65" w:line="29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教学过程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（40</w:t>
            </w:r>
            <w:r>
              <w:rPr>
                <w:rFonts w:ascii="SimSun" w:hAnsi="SimSun" w:eastAsia="SimSun" w:cs="SimSun"/>
                <w:sz w:val="20"/>
                <w:szCs w:val="2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分）</w:t>
            </w:r>
          </w:p>
        </w:tc>
        <w:tc>
          <w:tcPr>
            <w:tcW w:w="5754" w:type="dxa"/>
            <w:vAlign w:val="top"/>
          </w:tcPr>
          <w:p>
            <w:pPr>
              <w:ind w:left="127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11.体现语文学科教学特点，学科知识理解准确。</w:t>
            </w:r>
          </w:p>
        </w:tc>
      </w:tr>
      <w:tr>
        <w:trPr>
          <w:trHeight w:val="628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21" w:right="292" w:firstLine="6"/>
              <w:spacing w:before="52" w:line="26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12.呈现富有关联的系列学习任务，体现学生认知和能力进</w:t>
            </w:r>
            <w:r>
              <w:rPr>
                <w:rFonts w:ascii="SimSun" w:hAnsi="SimSun" w:eastAsia="SimSun" w:cs="SimSun"/>
                <w:sz w:val="20"/>
                <w:szCs w:val="20"/>
                <w:spacing w:val="-5"/>
              </w:rPr>
              <w:t>阶。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27"/>
              <w:spacing w:before="5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13.创设真实且富有价值的问题情境，激发学习兴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趣。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27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14.教学内容整合和组织恰当，整体脉络清晰。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27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15.教学方法设计与教学目标、教学内容相匹配。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27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16.课堂容量适当，时间分配合理，各教学环节衔接自然。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27"/>
              <w:spacing w:before="55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17.教学评价方案合理，呼应教学目标，体现教学评一致性。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restart"/>
            <w:tcBorders>
              <w:bottom w:val="nil"/>
            </w:tcBorders>
          </w:tcPr>
          <w:p>
            <w:pPr>
              <w:ind w:left="421" w:right="427" w:firstLine="18"/>
              <w:spacing w:before="59" w:line="26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教学创新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（10</w:t>
            </w:r>
            <w:r>
              <w:rPr>
                <w:rFonts w:ascii="SimSun" w:hAnsi="SimSun" w:eastAsia="SimSun" w:cs="SimSun"/>
                <w:sz w:val="20"/>
                <w:szCs w:val="2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分）</w:t>
            </w:r>
          </w:p>
        </w:tc>
        <w:tc>
          <w:tcPr>
            <w:tcW w:w="5754" w:type="dxa"/>
            <w:vAlign w:val="top"/>
          </w:tcPr>
          <w:p>
            <w:pPr>
              <w:ind w:right="15"/>
              <w:spacing w:before="54" w:line="226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18.学习任务、学习情境、板书、学习评价等设计具有创新性。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27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19.学习资源的选择与运用具有创新性。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ind w:left="119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教学视频</w:t>
            </w:r>
          </w:p>
        </w:tc>
        <w:tc>
          <w:tcPr>
            <w:tcW w:w="1708" w:type="dxa"/>
            <w:vAlign w:val="top"/>
            <w:vMerge w:val="restart"/>
            <w:tcBorders>
              <w:bottom w:val="nil"/>
            </w:tcBorders>
          </w:tcPr>
          <w:p>
            <w:pPr>
              <w:ind w:left="421" w:right="427" w:firstLine="18"/>
              <w:spacing w:before="218" w:line="29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教师素养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（30</w:t>
            </w:r>
            <w:r>
              <w:rPr>
                <w:rFonts w:ascii="SimSun" w:hAnsi="SimSun" w:eastAsia="SimSun" w:cs="SimSun"/>
                <w:sz w:val="20"/>
                <w:szCs w:val="2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分）</w:t>
            </w:r>
          </w:p>
        </w:tc>
        <w:tc>
          <w:tcPr>
            <w:tcW w:w="5754" w:type="dxa"/>
            <w:vAlign w:val="top"/>
          </w:tcPr>
          <w:p>
            <w:pPr>
              <w:ind w:left="114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20.使用普通话教学，语言清晰易懂，生动流畅，语调适宜。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4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21.教态大方，肢体语言恰当，有亲和力与感染力。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4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22.板书和课件设计科学、美观。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1" w:lineRule="auto"/>
              <w:rPr/>
            </w:pPr>
            <w:r/>
          </w:p>
          <w:p>
            <w:pPr>
              <w:pStyle w:val="TableText"/>
              <w:spacing w:line="261" w:lineRule="auto"/>
              <w:rPr/>
            </w:pPr>
            <w:r/>
          </w:p>
          <w:p>
            <w:pPr>
              <w:pStyle w:val="TableText"/>
              <w:spacing w:line="261" w:lineRule="auto"/>
              <w:rPr/>
            </w:pPr>
            <w:r/>
          </w:p>
          <w:p>
            <w:pPr>
              <w:ind w:left="421" w:right="427" w:firstLine="18"/>
              <w:spacing w:before="65" w:line="29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教学过程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（50</w:t>
            </w:r>
            <w:r>
              <w:rPr>
                <w:rFonts w:ascii="SimSun" w:hAnsi="SimSun" w:eastAsia="SimSun" w:cs="SimSun"/>
                <w:sz w:val="20"/>
                <w:szCs w:val="2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分）</w:t>
            </w:r>
          </w:p>
        </w:tc>
        <w:tc>
          <w:tcPr>
            <w:tcW w:w="5754" w:type="dxa"/>
            <w:vAlign w:val="top"/>
          </w:tcPr>
          <w:p>
            <w:pPr>
              <w:ind w:left="114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23.内容准确，无科学性错误。</w:t>
            </w:r>
          </w:p>
        </w:tc>
      </w:tr>
      <w:tr>
        <w:trPr>
          <w:trHeight w:val="628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4" w:right="107"/>
              <w:spacing w:before="54" w:line="26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24.围绕核心问题引导学生开展积极的语言实践活动，重视学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生高阶思维培养。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4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25.注重情境创设和学习活动组织，体现语文学科特点。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4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26.教学环节相对完整、过程流畅、结构清晰。</w:t>
            </w:r>
          </w:p>
        </w:tc>
      </w:tr>
      <w:tr>
        <w:trPr>
          <w:trHeight w:val="317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4"/>
              <w:spacing w:before="5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27.注重评价反馈，完成设定的教学目标。</w:t>
            </w:r>
          </w:p>
        </w:tc>
      </w:tr>
      <w:tr>
        <w:trPr>
          <w:trHeight w:val="628" w:hRule="atLeast"/>
        </w:trPr>
        <w:tc>
          <w:tcPr>
            <w:tcW w:w="1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restart"/>
            <w:tcBorders>
              <w:bottom w:val="nil"/>
            </w:tcBorders>
          </w:tcPr>
          <w:p>
            <w:pPr>
              <w:ind w:left="421" w:right="427" w:firstLine="18"/>
              <w:spacing w:before="221" w:line="29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教学特色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（20</w:t>
            </w:r>
            <w:r>
              <w:rPr>
                <w:rFonts w:ascii="SimSun" w:hAnsi="SimSun" w:eastAsia="SimSun" w:cs="SimSun"/>
                <w:sz w:val="20"/>
                <w:szCs w:val="2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分）</w:t>
            </w:r>
          </w:p>
        </w:tc>
        <w:tc>
          <w:tcPr>
            <w:tcW w:w="5754" w:type="dxa"/>
            <w:vAlign w:val="top"/>
          </w:tcPr>
          <w:p>
            <w:pPr>
              <w:ind w:left="128" w:right="110" w:hanging="14"/>
              <w:spacing w:before="56" w:line="25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28.内容创新：教学内容组织、学习情境创设富有新意，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融入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的教学素材新颖独特等。</w:t>
            </w:r>
          </w:p>
        </w:tc>
      </w:tr>
      <w:tr>
        <w:trPr>
          <w:trHeight w:val="333" w:hRule="atLeast"/>
        </w:trPr>
        <w:tc>
          <w:tcPr>
            <w:tcW w:w="106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754" w:type="dxa"/>
            <w:vAlign w:val="top"/>
          </w:tcPr>
          <w:p>
            <w:pPr>
              <w:ind w:left="114"/>
              <w:spacing w:before="57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29.手段创新：学习评价、现代信息技术运用等富有创意。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"/>
      <w:pgSz w:w="11906" w:h="16839"/>
      <w:pgMar w:top="1429" w:right="1609" w:bottom="1352" w:left="1765" w:header="0" w:footer="118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2026-06-10T17:29:35Z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2026-07-10T21:36:01</vt:filetime>
  </property>
</Properties>
</file>