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70B77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1657F9D7">
            <w:pPr>
              <w:rPr>
                <w:rFonts w:eastAsia="宋体" w:cs="Times New Roman"/>
                <w:color w:val="000000"/>
                <w:kern w:val="0"/>
                <w:sz w:val="20"/>
                <w:szCs w:val="20"/>
              </w:rPr>
            </w:pPr>
            <w:bookmarkStart w:id="103" w:name="_GoBack"/>
            <w:bookmarkEnd w:id="103"/>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3FF8839E">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7B23E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023C72C7">
            <w:pPr>
              <w:ind w:firstLine="480"/>
              <w:rPr>
                <w:rFonts w:eastAsia="宋体" w:cs="Times New Roman"/>
                <w:b/>
                <w:color w:val="000000"/>
                <w:kern w:val="0"/>
                <w:sz w:val="20"/>
                <w:szCs w:val="20"/>
              </w:rPr>
            </w:pPr>
          </w:p>
        </w:tc>
        <w:tc>
          <w:tcPr>
            <w:tcW w:w="7144" w:type="dxa"/>
            <w:vAlign w:val="center"/>
          </w:tcPr>
          <w:p w14:paraId="6AB360DD">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北辰之光</w:t>
            </w:r>
          </w:p>
        </w:tc>
      </w:tr>
    </w:tbl>
    <w:p w14:paraId="08F196B5">
      <w:pPr>
        <w:jc w:val="center"/>
        <w:rPr>
          <w:rFonts w:eastAsia="宋体"/>
          <w:color w:val="000000"/>
          <w:sz w:val="24"/>
        </w:rPr>
      </w:pPr>
    </w:p>
    <w:p w14:paraId="64496B1B">
      <w:pPr>
        <w:jc w:val="center"/>
        <w:rPr>
          <w:rFonts w:eastAsia="宋体"/>
          <w:b/>
          <w:color w:val="000000"/>
          <w:sz w:val="24"/>
        </w:rPr>
      </w:pPr>
    </w:p>
    <w:p w14:paraId="7426BB43">
      <w:pPr>
        <w:jc w:val="center"/>
        <w:rPr>
          <w:rFonts w:eastAsia="宋体"/>
          <w:b/>
          <w:color w:val="000000"/>
          <w:sz w:val="24"/>
        </w:rPr>
      </w:pPr>
    </w:p>
    <w:p w14:paraId="65094C62">
      <w:pPr>
        <w:jc w:val="center"/>
        <w:rPr>
          <w:rFonts w:eastAsia="宋体"/>
          <w:b/>
          <w:color w:val="000000"/>
          <w:sz w:val="24"/>
        </w:rPr>
      </w:pPr>
    </w:p>
    <w:p w14:paraId="681184C0">
      <w:pPr>
        <w:jc w:val="center"/>
        <w:rPr>
          <w:rFonts w:eastAsia="宋体"/>
          <w:b/>
          <w:color w:val="000000"/>
          <w:sz w:val="24"/>
        </w:rPr>
      </w:pPr>
    </w:p>
    <w:p w14:paraId="27F322D2">
      <w:pPr>
        <w:jc w:val="center"/>
        <w:rPr>
          <w:rFonts w:eastAsia="宋体"/>
          <w:b/>
          <w:color w:val="000000"/>
          <w:sz w:val="24"/>
        </w:rPr>
      </w:pPr>
      <w:r>
        <w:drawing>
          <wp:inline distT="0" distB="0" distL="114300" distR="114300">
            <wp:extent cx="2159635" cy="760095"/>
            <wp:effectExtent l="0" t="0" r="12065"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
                    <a:stretch>
                      <a:fillRect/>
                    </a:stretch>
                  </pic:blipFill>
                  <pic:spPr>
                    <a:xfrm>
                      <a:off x="0" y="0"/>
                      <a:ext cx="2159635" cy="760095"/>
                    </a:xfrm>
                    <a:prstGeom prst="rect">
                      <a:avLst/>
                    </a:prstGeom>
                    <a:noFill/>
                    <a:ln>
                      <a:noFill/>
                    </a:ln>
                  </pic:spPr>
                </pic:pic>
              </a:graphicData>
            </a:graphic>
          </wp:inline>
        </w:drawing>
      </w:r>
    </w:p>
    <w:p w14:paraId="6A7212BB">
      <w:pPr>
        <w:jc w:val="center"/>
        <w:rPr>
          <w:rFonts w:eastAsia="宋体"/>
          <w:b/>
          <w:color w:val="000000"/>
          <w:sz w:val="24"/>
        </w:rPr>
      </w:pPr>
    </w:p>
    <w:p w14:paraId="3D92D4B0">
      <w:pPr>
        <w:jc w:val="center"/>
        <w:rPr>
          <w:rFonts w:eastAsia="宋体"/>
          <w:b/>
          <w:color w:val="000000"/>
          <w:sz w:val="24"/>
        </w:rPr>
      </w:pPr>
    </w:p>
    <w:p w14:paraId="60A7EB6E">
      <w:pPr>
        <w:jc w:val="center"/>
        <w:rPr>
          <w:rFonts w:eastAsia="宋体"/>
          <w:b/>
          <w:color w:val="000000"/>
          <w:sz w:val="24"/>
        </w:rPr>
      </w:pPr>
    </w:p>
    <w:p w14:paraId="28393DAB">
      <w:pPr>
        <w:jc w:val="center"/>
        <w:rPr>
          <w:rFonts w:eastAsia="宋体"/>
          <w:b/>
          <w:color w:val="000000"/>
          <w:sz w:val="24"/>
        </w:rPr>
      </w:pPr>
    </w:p>
    <w:p w14:paraId="6EEF959D">
      <w:pPr>
        <w:jc w:val="center"/>
        <w:rPr>
          <w:rFonts w:eastAsia="宋体"/>
          <w:b/>
          <w:color w:val="000000"/>
          <w:sz w:val="24"/>
        </w:rPr>
      </w:pPr>
    </w:p>
    <w:p w14:paraId="40CBF5B1">
      <w:pPr>
        <w:jc w:val="center"/>
        <w:rPr>
          <w:rFonts w:eastAsia="宋体"/>
          <w:b/>
          <w:color w:val="000000"/>
          <w:sz w:val="44"/>
          <w:szCs w:val="44"/>
        </w:rPr>
      </w:pPr>
      <w:r>
        <w:rPr>
          <w:rFonts w:hint="default" w:ascii="Times New Roman" w:hAnsi="Times New Roman" w:eastAsia="黑体" w:cs="Times New Roman"/>
          <w:b/>
          <w:color w:val="000000"/>
          <w:sz w:val="44"/>
          <w:szCs w:val="44"/>
          <w:lang w:val="en-US" w:eastAsia="zh-CN"/>
        </w:rPr>
        <w:t>EVOSMASH 视觉感知</w:t>
      </w:r>
      <w:r>
        <w:rPr>
          <w:rFonts w:hint="eastAsia" w:eastAsia="黑体" w:cs="Times New Roman"/>
          <w:b/>
          <w:color w:val="000000"/>
          <w:sz w:val="44"/>
          <w:szCs w:val="44"/>
          <w:lang w:val="en-US" w:eastAsia="zh-CN"/>
        </w:rPr>
        <w:t>羽毛球</w:t>
      </w:r>
      <w:r>
        <w:rPr>
          <w:rFonts w:hint="default" w:ascii="Times New Roman" w:hAnsi="Times New Roman" w:eastAsia="黑体" w:cs="Times New Roman"/>
          <w:b/>
          <w:color w:val="000000"/>
          <w:sz w:val="44"/>
          <w:szCs w:val="44"/>
          <w:lang w:val="en-US" w:eastAsia="zh-CN"/>
        </w:rPr>
        <w:t>教练系统</w:t>
      </w:r>
    </w:p>
    <w:p w14:paraId="6D3A373A">
      <w:pPr>
        <w:spacing w:line="300" w:lineRule="auto"/>
        <w:jc w:val="center"/>
        <w:rPr>
          <w:b/>
          <w:sz w:val="24"/>
        </w:rPr>
      </w:pPr>
      <w:r>
        <w:rPr>
          <w:rFonts w:hint="eastAsia"/>
          <w:b/>
          <w:sz w:val="24"/>
        </w:rPr>
        <w:t xml:space="preserve">EVOSMASH Visual Perception </w:t>
      </w:r>
      <w:r>
        <w:rPr>
          <w:rFonts w:hint="eastAsia"/>
          <w:b/>
          <w:sz w:val="24"/>
          <w:lang w:val="en-US" w:eastAsia="zh-CN"/>
        </w:rPr>
        <w:t>Badminton</w:t>
      </w:r>
      <w:r>
        <w:rPr>
          <w:rFonts w:hint="eastAsia"/>
          <w:b/>
          <w:sz w:val="24"/>
        </w:rPr>
        <w:t xml:space="preserve"> Coaching System</w:t>
      </w:r>
    </w:p>
    <w:p w14:paraId="65EF6357">
      <w:pPr>
        <w:spacing w:line="300" w:lineRule="auto"/>
        <w:jc w:val="center"/>
        <w:rPr>
          <w:b/>
        </w:rPr>
      </w:pPr>
    </w:p>
    <w:p w14:paraId="268A6D5F">
      <w:pPr>
        <w:spacing w:line="300" w:lineRule="auto"/>
        <w:jc w:val="center"/>
        <w:rPr>
          <w:b/>
        </w:rPr>
      </w:pPr>
    </w:p>
    <w:p w14:paraId="034B592B">
      <w:pPr>
        <w:jc w:val="center"/>
        <w:rPr>
          <w:rFonts w:hint="eastAsia" w:ascii="黑体" w:hAnsi="黑体" w:eastAsia="黑体"/>
          <w:b/>
          <w:color w:val="000000"/>
          <w:sz w:val="36"/>
          <w:szCs w:val="36"/>
        </w:rPr>
      </w:pPr>
      <w:r>
        <w:rPr>
          <w:rFonts w:hint="eastAsia" w:ascii="黑体" w:hAnsi="黑体" w:eastAsia="黑体"/>
          <w:b/>
          <w:color w:val="000000"/>
          <w:sz w:val="36"/>
          <w:szCs w:val="36"/>
        </w:rPr>
        <w:t>项目测试文档</w:t>
      </w:r>
    </w:p>
    <w:p w14:paraId="4513955E">
      <w:pPr>
        <w:spacing w:line="300" w:lineRule="auto"/>
        <w:jc w:val="center"/>
        <w:rPr>
          <w:b/>
          <w:sz w:val="24"/>
        </w:rPr>
      </w:pPr>
      <w:r>
        <w:rPr>
          <w:rFonts w:hint="eastAsia"/>
          <w:b/>
          <w:sz w:val="24"/>
        </w:rPr>
        <w:t>Version:</w:t>
      </w:r>
      <w:r>
        <w:rPr>
          <w:b/>
          <w:sz w:val="24"/>
        </w:rPr>
        <w:t xml:space="preserve"> </w:t>
      </w:r>
      <w:r>
        <w:rPr>
          <w:rFonts w:hint="eastAsia"/>
          <w:b/>
          <w:sz w:val="24"/>
          <w:lang w:val="en-US" w:eastAsia="zh-CN"/>
        </w:rPr>
        <w:t>3.0</w:t>
      </w:r>
    </w:p>
    <w:p w14:paraId="103CA4FE">
      <w:pPr>
        <w:jc w:val="center"/>
        <w:rPr>
          <w:rFonts w:eastAsia="宋体"/>
          <w:color w:val="000000"/>
        </w:rPr>
      </w:pPr>
    </w:p>
    <w:p w14:paraId="408811C7">
      <w:pPr>
        <w:jc w:val="center"/>
        <w:rPr>
          <w:rFonts w:eastAsia="宋体"/>
          <w:color w:val="000000"/>
        </w:rPr>
      </w:pPr>
    </w:p>
    <w:p w14:paraId="5183F893">
      <w:pPr>
        <w:jc w:val="both"/>
        <w:rPr>
          <w:rFonts w:eastAsia="宋体"/>
          <w:color w:val="000000"/>
        </w:rPr>
      </w:pPr>
    </w:p>
    <w:p w14:paraId="1FC272FB">
      <w:pPr>
        <w:spacing w:line="300" w:lineRule="auto"/>
        <w:jc w:val="center"/>
        <w:rPr>
          <w:color w:val="000000"/>
          <w:sz w:val="24"/>
        </w:rPr>
      </w:pPr>
      <w:r>
        <w:rPr>
          <w:rStyle w:val="64"/>
          <w:rFonts w:asciiTheme="minorHAnsi" w:hAnsiTheme="minorHAnsi"/>
        </w:rPr>
        <w:drawing>
          <wp:inline distT="0" distB="0" distL="114300" distR="114300">
            <wp:extent cx="402590" cy="384175"/>
            <wp:effectExtent l="0" t="0" r="16510" b="15875"/>
            <wp:docPr id="14" name="图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
                    <pic:cNvPicPr>
                      <a:picLocks noChangeAspect="1"/>
                    </pic:cNvPicPr>
                  </pic:nvPicPr>
                  <pic:blipFill>
                    <a:blip r:embed="rId10"/>
                    <a:stretch>
                      <a:fillRect/>
                    </a:stretch>
                  </pic:blipFill>
                  <pic:spPr>
                    <a:xfrm>
                      <a:off x="0" y="0"/>
                      <a:ext cx="402590" cy="384175"/>
                    </a:xfrm>
                    <a:prstGeom prst="rect">
                      <a:avLst/>
                    </a:prstGeom>
                  </pic:spPr>
                </pic:pic>
              </a:graphicData>
            </a:graphic>
          </wp:inline>
        </w:drawing>
      </w:r>
    </w:p>
    <w:p w14:paraId="275445ED">
      <w:pPr>
        <w:spacing w:line="300" w:lineRule="auto"/>
        <w:jc w:val="center"/>
        <w:rPr>
          <w:b/>
          <w:sz w:val="24"/>
        </w:rPr>
      </w:pPr>
    </w:p>
    <w:p w14:paraId="21EE259A">
      <w:pPr>
        <w:spacing w:line="300" w:lineRule="auto"/>
        <w:jc w:val="center"/>
        <w:rPr>
          <w:b/>
          <w:sz w:val="24"/>
        </w:rPr>
      </w:pPr>
    </w:p>
    <w:p w14:paraId="00CEAD8B">
      <w:pPr>
        <w:spacing w:line="300" w:lineRule="auto"/>
        <w:jc w:val="center"/>
        <w:rPr>
          <w:b/>
          <w:sz w:val="24"/>
        </w:rPr>
      </w:pPr>
      <w:r>
        <w:rPr>
          <w:rFonts w:hint="eastAsia"/>
          <w:b/>
          <w:sz w:val="24"/>
          <w:lang w:val="en-US" w:eastAsia="zh-CN"/>
        </w:rPr>
        <w:t>北辰之光</w:t>
      </w:r>
    </w:p>
    <w:p w14:paraId="45E91D01">
      <w:pPr>
        <w:spacing w:line="300" w:lineRule="auto"/>
        <w:jc w:val="center"/>
        <w:rPr>
          <w:b/>
          <w:sz w:val="24"/>
        </w:rPr>
      </w:pPr>
    </w:p>
    <w:p w14:paraId="44CA1ED0">
      <w:pPr>
        <w:spacing w:line="300" w:lineRule="auto"/>
        <w:jc w:val="center"/>
        <w:rPr>
          <w:b/>
          <w:sz w:val="24"/>
        </w:rPr>
      </w:pPr>
    </w:p>
    <w:p w14:paraId="5903919E">
      <w:pPr>
        <w:spacing w:line="300" w:lineRule="auto"/>
        <w:jc w:val="center"/>
        <w:rPr>
          <w:b/>
          <w:sz w:val="24"/>
        </w:rPr>
      </w:pPr>
    </w:p>
    <w:p w14:paraId="7B8DF67D">
      <w:pPr>
        <w:jc w:val="center"/>
        <w:rPr>
          <w:rFonts w:eastAsia="宋体"/>
          <w:color w:val="000000"/>
        </w:rPr>
      </w:pPr>
    </w:p>
    <w:p w14:paraId="063A4B2C">
      <w:pPr>
        <w:jc w:val="center"/>
        <w:rPr>
          <w:rFonts w:eastAsia="宋体"/>
          <w:b/>
          <w:color w:val="000000"/>
          <w:sz w:val="24"/>
        </w:rPr>
      </w:pPr>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04</w:t>
      </w:r>
      <w:r>
        <w:rPr>
          <w:rFonts w:hint="eastAsia" w:eastAsia="宋体"/>
          <w:b/>
          <w:color w:val="000000"/>
          <w:sz w:val="24"/>
        </w:rPr>
        <w:t>-</w:t>
      </w:r>
      <w:r>
        <w:rPr>
          <w:rFonts w:hint="eastAsia" w:eastAsia="宋体"/>
          <w:b/>
          <w:color w:val="000000"/>
          <w:sz w:val="24"/>
          <w:lang w:val="en-US" w:eastAsia="zh-CN"/>
        </w:rPr>
        <w:t>10</w:t>
      </w:r>
    </w:p>
    <w:p w14:paraId="5F4FCDBA">
      <w:pPr>
        <w:spacing w:line="300" w:lineRule="auto"/>
        <w:jc w:val="center"/>
        <w:rPr>
          <w:b/>
          <w:sz w:val="24"/>
        </w:rPr>
      </w:pPr>
    </w:p>
    <w:p w14:paraId="4D3B50BB">
      <w:pPr>
        <w:spacing w:line="300" w:lineRule="auto"/>
        <w:jc w:val="center"/>
        <w:rPr>
          <w:b/>
          <w:sz w:val="24"/>
        </w:rPr>
      </w:pPr>
      <w:r>
        <w:rPr>
          <w:b/>
          <w:sz w:val="24"/>
        </w:rPr>
        <w:t>All Rights Reserved</w:t>
      </w:r>
    </w:p>
    <w:p w14:paraId="4217839D">
      <w:pPr>
        <w:spacing w:line="300" w:lineRule="auto"/>
        <w:jc w:val="center"/>
        <w:rPr>
          <w:b/>
          <w:sz w:val="24"/>
        </w:rPr>
        <w:sectPr>
          <w:headerReference r:id="rId3" w:type="default"/>
          <w:footerReference r:id="rId4" w:type="default"/>
          <w:pgSz w:w="11906" w:h="16838"/>
          <w:pgMar w:top="1440" w:right="1797" w:bottom="1440" w:left="1797" w:header="851" w:footer="992" w:gutter="0"/>
          <w:pgNumType w:fmt="upperRoman" w:start="1"/>
          <w:cols w:space="425" w:num="1"/>
          <w:titlePg/>
          <w:docGrid w:type="lines" w:linePitch="312" w:charSpace="0"/>
        </w:sectPr>
      </w:pPr>
    </w:p>
    <w:p w14:paraId="26167636">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p>
    <w:p w14:paraId="06091F75">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rPr>
          <w:color w:val="000000"/>
        </w:rPr>
        <w:fldChar w:fldCharType="begin"/>
      </w:r>
      <w:r>
        <w:instrText xml:space="preserve"> HYPERLINK \l _Toc2225 </w:instrText>
      </w:r>
      <w:r>
        <w:fldChar w:fldCharType="separate"/>
      </w:r>
      <w:r>
        <w:rPr>
          <w:rFonts w:hint="default" w:ascii="Times New Roman" w:hAnsi="Times New Roman" w:cs="Times New Roman"/>
        </w:rPr>
        <w:t xml:space="preserve">1 </w:t>
      </w:r>
      <w:r>
        <w:t>测试</w:t>
      </w:r>
      <w:r>
        <w:rPr>
          <w:rFonts w:hint="eastAsia"/>
        </w:rPr>
        <w:t>计划</w:t>
      </w:r>
      <w:r>
        <w:tab/>
      </w:r>
      <w:r>
        <w:fldChar w:fldCharType="begin"/>
      </w:r>
      <w:r>
        <w:instrText xml:space="preserve"> PAGEREF _Toc2225 \h </w:instrText>
      </w:r>
      <w:r>
        <w:fldChar w:fldCharType="separate"/>
      </w:r>
      <w:r>
        <w:t>2</w:t>
      </w:r>
      <w:r>
        <w:fldChar w:fldCharType="end"/>
      </w:r>
      <w:r>
        <w:rPr>
          <w:color w:val="000000"/>
        </w:rPr>
        <w:fldChar w:fldCharType="end"/>
      </w:r>
    </w:p>
    <w:p w14:paraId="7AA9931E">
      <w:pPr>
        <w:pStyle w:val="32"/>
        <w:tabs>
          <w:tab w:val="right" w:leader="dot" w:pos="8312"/>
        </w:tabs>
      </w:pPr>
      <w:r>
        <w:rPr>
          <w:color w:val="000000"/>
        </w:rPr>
        <w:fldChar w:fldCharType="begin"/>
      </w:r>
      <w:r>
        <w:instrText xml:space="preserve"> HYPERLINK \l _Toc30293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测试策略与目标</w:t>
      </w:r>
      <w:r>
        <w:tab/>
      </w:r>
      <w:r>
        <w:fldChar w:fldCharType="begin"/>
      </w:r>
      <w:r>
        <w:instrText xml:space="preserve"> PAGEREF _Toc30293 \h </w:instrText>
      </w:r>
      <w:r>
        <w:fldChar w:fldCharType="separate"/>
      </w:r>
      <w:r>
        <w:t>2</w:t>
      </w:r>
      <w:r>
        <w:fldChar w:fldCharType="end"/>
      </w:r>
      <w:r>
        <w:rPr>
          <w:color w:val="000000"/>
        </w:rPr>
        <w:fldChar w:fldCharType="end"/>
      </w:r>
    </w:p>
    <w:p w14:paraId="5E8573FA">
      <w:pPr>
        <w:pStyle w:val="32"/>
        <w:tabs>
          <w:tab w:val="right" w:leader="dot" w:pos="8312"/>
        </w:tabs>
      </w:pPr>
      <w:r>
        <w:rPr>
          <w:color w:val="000000"/>
        </w:rPr>
        <w:fldChar w:fldCharType="begin"/>
      </w:r>
      <w:r>
        <w:instrText xml:space="preserve"> HYPERLINK \l _Toc28899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测试范围</w:t>
      </w:r>
      <w:r>
        <w:tab/>
      </w:r>
      <w:r>
        <w:fldChar w:fldCharType="begin"/>
      </w:r>
      <w:r>
        <w:instrText xml:space="preserve"> PAGEREF _Toc28899 \h </w:instrText>
      </w:r>
      <w:r>
        <w:fldChar w:fldCharType="separate"/>
      </w:r>
      <w:r>
        <w:t>2</w:t>
      </w:r>
      <w:r>
        <w:fldChar w:fldCharType="end"/>
      </w:r>
      <w:r>
        <w:rPr>
          <w:color w:val="000000"/>
        </w:rPr>
        <w:fldChar w:fldCharType="end"/>
      </w:r>
    </w:p>
    <w:p w14:paraId="5A0DA04A">
      <w:pPr>
        <w:pStyle w:val="32"/>
        <w:tabs>
          <w:tab w:val="right" w:leader="dot" w:pos="8312"/>
        </w:tabs>
      </w:pPr>
      <w:r>
        <w:rPr>
          <w:color w:val="000000"/>
        </w:rPr>
        <w:fldChar w:fldCharType="begin"/>
      </w:r>
      <w:r>
        <w:instrText xml:space="preserve"> HYPERLINK \l _Toc18616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测试环境</w:t>
      </w:r>
      <w:r>
        <w:tab/>
      </w:r>
      <w:r>
        <w:fldChar w:fldCharType="begin"/>
      </w:r>
      <w:r>
        <w:instrText xml:space="preserve"> PAGEREF _Toc18616 \h </w:instrText>
      </w:r>
      <w:r>
        <w:fldChar w:fldCharType="separate"/>
      </w:r>
      <w:r>
        <w:t>2</w:t>
      </w:r>
      <w:r>
        <w:fldChar w:fldCharType="end"/>
      </w:r>
      <w:r>
        <w:rPr>
          <w:color w:val="000000"/>
        </w:rPr>
        <w:fldChar w:fldCharType="end"/>
      </w:r>
    </w:p>
    <w:p w14:paraId="6AB91365">
      <w:pPr>
        <w:pStyle w:val="28"/>
        <w:tabs>
          <w:tab w:val="right" w:leader="dot" w:pos="8312"/>
        </w:tabs>
      </w:pPr>
      <w:r>
        <w:rPr>
          <w:color w:val="000000"/>
        </w:rPr>
        <w:fldChar w:fldCharType="begin"/>
      </w:r>
      <w:r>
        <w:instrText xml:space="preserve"> HYPERLINK \l _Toc29938 </w:instrText>
      </w:r>
      <w:r>
        <w:fldChar w:fldCharType="separate"/>
      </w:r>
      <w:r>
        <w:rPr>
          <w:rFonts w:hint="default" w:ascii="Times New Roman" w:hAnsi="Times New Roman" w:cs="Times New Roman"/>
        </w:rPr>
        <w:t xml:space="preserve">2 </w:t>
      </w:r>
      <w:r>
        <w:rPr>
          <w:rFonts w:hint="eastAsia"/>
        </w:rPr>
        <w:t>单元测试</w:t>
      </w:r>
      <w:r>
        <w:tab/>
      </w:r>
      <w:r>
        <w:fldChar w:fldCharType="begin"/>
      </w:r>
      <w:r>
        <w:instrText xml:space="preserve"> PAGEREF _Toc29938 \h </w:instrText>
      </w:r>
      <w:r>
        <w:fldChar w:fldCharType="separate"/>
      </w:r>
      <w:r>
        <w:t>4</w:t>
      </w:r>
      <w:r>
        <w:fldChar w:fldCharType="end"/>
      </w:r>
      <w:r>
        <w:rPr>
          <w:color w:val="000000"/>
        </w:rPr>
        <w:fldChar w:fldCharType="end"/>
      </w:r>
    </w:p>
    <w:p w14:paraId="3DE97354">
      <w:pPr>
        <w:pStyle w:val="32"/>
        <w:tabs>
          <w:tab w:val="right" w:leader="dot" w:pos="8312"/>
        </w:tabs>
      </w:pPr>
      <w:r>
        <w:rPr>
          <w:color w:val="000000"/>
        </w:rPr>
        <w:fldChar w:fldCharType="begin"/>
      </w:r>
      <w:r>
        <w:instrText xml:space="preserve"> HYPERLINK \l _Toc30342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****模块</w:t>
      </w:r>
      <w:r>
        <w:tab/>
      </w:r>
      <w:r>
        <w:fldChar w:fldCharType="begin"/>
      </w:r>
      <w:r>
        <w:instrText xml:space="preserve"> PAGEREF _Toc30342 \h </w:instrText>
      </w:r>
      <w:r>
        <w:fldChar w:fldCharType="separate"/>
      </w:r>
      <w:r>
        <w:t>4</w:t>
      </w:r>
      <w:r>
        <w:fldChar w:fldCharType="end"/>
      </w:r>
      <w:r>
        <w:rPr>
          <w:color w:val="000000"/>
        </w:rPr>
        <w:fldChar w:fldCharType="end"/>
      </w:r>
    </w:p>
    <w:p w14:paraId="10D2BBFA">
      <w:pPr>
        <w:pStyle w:val="23"/>
        <w:tabs>
          <w:tab w:val="right" w:leader="dot" w:pos="8312"/>
        </w:tabs>
      </w:pPr>
      <w:r>
        <w:rPr>
          <w:color w:val="000000"/>
        </w:rPr>
        <w:fldChar w:fldCharType="begin"/>
      </w:r>
      <w:r>
        <w:instrText xml:space="preserve"> HYPERLINK \l _Toc15025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2.1.1 </w:t>
      </w:r>
      <w:r>
        <w:rPr>
          <w:rFonts w:hint="eastAsia"/>
        </w:rPr>
        <w:t>测试用例与结果分析</w:t>
      </w:r>
      <w:r>
        <w:tab/>
      </w:r>
      <w:r>
        <w:fldChar w:fldCharType="begin"/>
      </w:r>
      <w:r>
        <w:instrText xml:space="preserve"> PAGEREF _Toc15025 \h </w:instrText>
      </w:r>
      <w:r>
        <w:fldChar w:fldCharType="separate"/>
      </w:r>
      <w:r>
        <w:t>4</w:t>
      </w:r>
      <w:r>
        <w:fldChar w:fldCharType="end"/>
      </w:r>
      <w:r>
        <w:rPr>
          <w:color w:val="000000"/>
        </w:rPr>
        <w:fldChar w:fldCharType="end"/>
      </w:r>
    </w:p>
    <w:p w14:paraId="700E1F04">
      <w:pPr>
        <w:pStyle w:val="23"/>
        <w:tabs>
          <w:tab w:val="right" w:leader="dot" w:pos="8312"/>
        </w:tabs>
      </w:pPr>
      <w:r>
        <w:rPr>
          <w:color w:val="000000"/>
        </w:rPr>
        <w:fldChar w:fldCharType="begin"/>
      </w:r>
      <w:r>
        <w:instrText xml:space="preserve"> HYPERLINK \l _Toc16492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2.1.2 </w:t>
      </w:r>
      <w:r>
        <w:rPr>
          <w:rFonts w:hint="eastAsia"/>
        </w:rPr>
        <w:t>测试结果综合分析及建议</w:t>
      </w:r>
      <w:r>
        <w:tab/>
      </w:r>
      <w:r>
        <w:fldChar w:fldCharType="begin"/>
      </w:r>
      <w:r>
        <w:instrText xml:space="preserve"> PAGEREF _Toc16492 \h </w:instrText>
      </w:r>
      <w:r>
        <w:fldChar w:fldCharType="separate"/>
      </w:r>
      <w:r>
        <w:t>5</w:t>
      </w:r>
      <w:r>
        <w:fldChar w:fldCharType="end"/>
      </w:r>
      <w:r>
        <w:rPr>
          <w:color w:val="000000"/>
        </w:rPr>
        <w:fldChar w:fldCharType="end"/>
      </w:r>
    </w:p>
    <w:p w14:paraId="7A89D7B4">
      <w:pPr>
        <w:pStyle w:val="23"/>
        <w:tabs>
          <w:tab w:val="right" w:leader="dot" w:pos="8312"/>
        </w:tabs>
      </w:pPr>
      <w:r>
        <w:rPr>
          <w:color w:val="000000"/>
        </w:rPr>
        <w:fldChar w:fldCharType="begin"/>
      </w:r>
      <w:r>
        <w:instrText xml:space="preserve"> HYPERLINK \l _Toc29111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2.1.3 </w:t>
      </w:r>
      <w:r>
        <w:rPr>
          <w:rFonts w:hint="eastAsia"/>
        </w:rPr>
        <w:t>测试经验总结</w:t>
      </w:r>
      <w:r>
        <w:tab/>
      </w:r>
      <w:r>
        <w:fldChar w:fldCharType="begin"/>
      </w:r>
      <w:r>
        <w:instrText xml:space="preserve"> PAGEREF _Toc29111 \h </w:instrText>
      </w:r>
      <w:r>
        <w:fldChar w:fldCharType="separate"/>
      </w:r>
      <w:r>
        <w:t>5</w:t>
      </w:r>
      <w:r>
        <w:fldChar w:fldCharType="end"/>
      </w:r>
      <w:r>
        <w:rPr>
          <w:color w:val="000000"/>
        </w:rPr>
        <w:fldChar w:fldCharType="end"/>
      </w:r>
    </w:p>
    <w:p w14:paraId="453FD2BB">
      <w:pPr>
        <w:pStyle w:val="28"/>
        <w:tabs>
          <w:tab w:val="right" w:leader="dot" w:pos="8312"/>
        </w:tabs>
      </w:pPr>
      <w:r>
        <w:rPr>
          <w:color w:val="000000"/>
        </w:rPr>
        <w:fldChar w:fldCharType="begin"/>
      </w:r>
      <w:r>
        <w:instrText xml:space="preserve"> HYPERLINK \l _Toc10965 </w:instrText>
      </w:r>
      <w:r>
        <w:fldChar w:fldCharType="separate"/>
      </w:r>
      <w:r>
        <w:rPr>
          <w:rFonts w:hint="default" w:ascii="Times New Roman" w:hAnsi="Times New Roman" w:cs="Times New Roman"/>
        </w:rPr>
        <w:t xml:space="preserve">3 </w:t>
      </w:r>
      <w:r>
        <w:rPr>
          <w:rFonts w:hint="eastAsia"/>
        </w:rPr>
        <w:t>功能测试</w:t>
      </w:r>
      <w:r>
        <w:tab/>
      </w:r>
      <w:r>
        <w:fldChar w:fldCharType="begin"/>
      </w:r>
      <w:r>
        <w:instrText xml:space="preserve"> PAGEREF _Toc10965 \h </w:instrText>
      </w:r>
      <w:r>
        <w:fldChar w:fldCharType="separate"/>
      </w:r>
      <w:r>
        <w:t>6</w:t>
      </w:r>
      <w:r>
        <w:fldChar w:fldCharType="end"/>
      </w:r>
      <w:r>
        <w:rPr>
          <w:color w:val="000000"/>
        </w:rPr>
        <w:fldChar w:fldCharType="end"/>
      </w:r>
    </w:p>
    <w:p w14:paraId="290360B2">
      <w:pPr>
        <w:pStyle w:val="32"/>
        <w:tabs>
          <w:tab w:val="right" w:leader="dot" w:pos="8312"/>
        </w:tabs>
      </w:pPr>
      <w:r>
        <w:rPr>
          <w:color w:val="000000"/>
        </w:rPr>
        <w:fldChar w:fldCharType="begin"/>
      </w:r>
      <w:r>
        <w:instrText xml:space="preserve"> HYPERLINK \l _Toc6952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****功能</w:t>
      </w:r>
      <w:r>
        <w:tab/>
      </w:r>
      <w:r>
        <w:fldChar w:fldCharType="begin"/>
      </w:r>
      <w:r>
        <w:instrText xml:space="preserve"> PAGEREF _Toc6952 \h </w:instrText>
      </w:r>
      <w:r>
        <w:fldChar w:fldCharType="separate"/>
      </w:r>
      <w:r>
        <w:t>6</w:t>
      </w:r>
      <w:r>
        <w:fldChar w:fldCharType="end"/>
      </w:r>
      <w:r>
        <w:rPr>
          <w:color w:val="000000"/>
        </w:rPr>
        <w:fldChar w:fldCharType="end"/>
      </w:r>
    </w:p>
    <w:p w14:paraId="24EF9480">
      <w:pPr>
        <w:pStyle w:val="23"/>
        <w:tabs>
          <w:tab w:val="right" w:leader="dot" w:pos="8312"/>
        </w:tabs>
      </w:pPr>
      <w:r>
        <w:rPr>
          <w:color w:val="000000"/>
        </w:rPr>
        <w:fldChar w:fldCharType="begin"/>
      </w:r>
      <w:r>
        <w:instrText xml:space="preserve"> HYPERLINK \l _Toc12056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测试用例与结果分析</w:t>
      </w:r>
      <w:r>
        <w:tab/>
      </w:r>
      <w:r>
        <w:fldChar w:fldCharType="begin"/>
      </w:r>
      <w:r>
        <w:instrText xml:space="preserve"> PAGEREF _Toc12056 \h </w:instrText>
      </w:r>
      <w:r>
        <w:fldChar w:fldCharType="separate"/>
      </w:r>
      <w:r>
        <w:t>6</w:t>
      </w:r>
      <w:r>
        <w:fldChar w:fldCharType="end"/>
      </w:r>
      <w:r>
        <w:rPr>
          <w:color w:val="000000"/>
        </w:rPr>
        <w:fldChar w:fldCharType="end"/>
      </w:r>
    </w:p>
    <w:p w14:paraId="583A4916">
      <w:pPr>
        <w:pStyle w:val="23"/>
        <w:tabs>
          <w:tab w:val="right" w:leader="dot" w:pos="8312"/>
        </w:tabs>
      </w:pPr>
      <w:r>
        <w:rPr>
          <w:color w:val="000000"/>
        </w:rPr>
        <w:fldChar w:fldCharType="begin"/>
      </w:r>
      <w:r>
        <w:instrText xml:space="preserve"> HYPERLINK \l _Toc23742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测试结果综合分析及建议</w:t>
      </w:r>
      <w:r>
        <w:tab/>
      </w:r>
      <w:r>
        <w:fldChar w:fldCharType="begin"/>
      </w:r>
      <w:r>
        <w:instrText xml:space="preserve"> PAGEREF _Toc23742 \h </w:instrText>
      </w:r>
      <w:r>
        <w:fldChar w:fldCharType="separate"/>
      </w:r>
      <w:r>
        <w:t>7</w:t>
      </w:r>
      <w:r>
        <w:fldChar w:fldCharType="end"/>
      </w:r>
      <w:r>
        <w:rPr>
          <w:color w:val="000000"/>
        </w:rPr>
        <w:fldChar w:fldCharType="end"/>
      </w:r>
    </w:p>
    <w:p w14:paraId="1AC41699">
      <w:pPr>
        <w:pStyle w:val="23"/>
        <w:tabs>
          <w:tab w:val="right" w:leader="dot" w:pos="8312"/>
        </w:tabs>
      </w:pPr>
      <w:r>
        <w:rPr>
          <w:color w:val="000000"/>
        </w:rPr>
        <w:fldChar w:fldCharType="begin"/>
      </w:r>
      <w:r>
        <w:instrText xml:space="preserve"> HYPERLINK \l _Toc3799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测试经验总</w:t>
      </w:r>
      <w:r>
        <w:rPr>
          <w:rFonts w:hint="eastAsia"/>
          <w:lang w:val="en-US" w:eastAsia="zh-CN"/>
        </w:rPr>
        <w:t>结</w:t>
      </w:r>
      <w:r>
        <w:tab/>
      </w:r>
      <w:r>
        <w:fldChar w:fldCharType="begin"/>
      </w:r>
      <w:r>
        <w:instrText xml:space="preserve"> PAGEREF _Toc3799 \h </w:instrText>
      </w:r>
      <w:r>
        <w:fldChar w:fldCharType="separate"/>
      </w:r>
      <w:r>
        <w:t>7</w:t>
      </w:r>
      <w:r>
        <w:fldChar w:fldCharType="end"/>
      </w:r>
      <w:r>
        <w:rPr>
          <w:color w:val="000000"/>
        </w:rPr>
        <w:fldChar w:fldCharType="end"/>
      </w:r>
    </w:p>
    <w:p w14:paraId="47443A3F">
      <w:pPr>
        <w:pStyle w:val="28"/>
        <w:tabs>
          <w:tab w:val="right" w:leader="dot" w:pos="8312"/>
        </w:tabs>
      </w:pPr>
      <w:r>
        <w:rPr>
          <w:color w:val="000000"/>
        </w:rPr>
        <w:fldChar w:fldCharType="begin"/>
      </w:r>
      <w:r>
        <w:instrText xml:space="preserve"> HYPERLINK \l _Toc8477 </w:instrText>
      </w:r>
      <w:r>
        <w:fldChar w:fldCharType="separate"/>
      </w:r>
      <w:r>
        <w:rPr>
          <w:rFonts w:hint="default" w:ascii="Times New Roman" w:hAnsi="Times New Roman" w:cs="Times New Roman"/>
        </w:rPr>
        <w:t xml:space="preserve">4 </w:t>
      </w:r>
      <w:r>
        <w:rPr>
          <w:rFonts w:hint="eastAsia"/>
        </w:rPr>
        <w:t>系统测试</w:t>
      </w:r>
      <w:r>
        <w:tab/>
      </w:r>
      <w:r>
        <w:fldChar w:fldCharType="begin"/>
      </w:r>
      <w:r>
        <w:instrText xml:space="preserve"> PAGEREF _Toc8477 \h </w:instrText>
      </w:r>
      <w:r>
        <w:fldChar w:fldCharType="separate"/>
      </w:r>
      <w:r>
        <w:t>8</w:t>
      </w:r>
      <w:r>
        <w:fldChar w:fldCharType="end"/>
      </w:r>
      <w:r>
        <w:rPr>
          <w:color w:val="000000"/>
        </w:rPr>
        <w:fldChar w:fldCharType="end"/>
      </w:r>
    </w:p>
    <w:p w14:paraId="1F5B354F">
      <w:pPr>
        <w:pStyle w:val="32"/>
        <w:tabs>
          <w:tab w:val="right" w:leader="dot" w:pos="8312"/>
        </w:tabs>
      </w:pPr>
      <w:r>
        <w:rPr>
          <w:color w:val="000000"/>
        </w:rPr>
        <w:fldChar w:fldCharType="begin"/>
      </w:r>
      <w:r>
        <w:instrText xml:space="preserve"> HYPERLINK \l _Toc9098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模型性能测试</w:t>
      </w:r>
      <w:r>
        <w:tab/>
      </w:r>
      <w:r>
        <w:fldChar w:fldCharType="begin"/>
      </w:r>
      <w:r>
        <w:instrText xml:space="preserve"> PAGEREF _Toc9098 \h </w:instrText>
      </w:r>
      <w:r>
        <w:fldChar w:fldCharType="separate"/>
      </w:r>
      <w:r>
        <w:t>8</w:t>
      </w:r>
      <w:r>
        <w:fldChar w:fldCharType="end"/>
      </w:r>
      <w:r>
        <w:rPr>
          <w:color w:val="000000"/>
        </w:rPr>
        <w:fldChar w:fldCharType="end"/>
      </w:r>
    </w:p>
    <w:p w14:paraId="2386B2C2">
      <w:pPr>
        <w:pStyle w:val="23"/>
        <w:tabs>
          <w:tab w:val="right" w:leader="dot" w:pos="8312"/>
        </w:tabs>
      </w:pPr>
      <w:r>
        <w:rPr>
          <w:color w:val="000000"/>
        </w:rPr>
        <w:fldChar w:fldCharType="begin"/>
      </w:r>
      <w:r>
        <w:instrText xml:space="preserve"> HYPERLINK \l _Toc6067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4.1.1 </w:t>
      </w:r>
      <w:r>
        <w:rPr>
          <w:rFonts w:hint="eastAsia"/>
        </w:rPr>
        <w:t>测试用例与结果分析</w:t>
      </w:r>
      <w:r>
        <w:tab/>
      </w:r>
      <w:r>
        <w:fldChar w:fldCharType="begin"/>
      </w:r>
      <w:r>
        <w:instrText xml:space="preserve"> PAGEREF _Toc6067 \h </w:instrText>
      </w:r>
      <w:r>
        <w:fldChar w:fldCharType="separate"/>
      </w:r>
      <w:r>
        <w:t>8</w:t>
      </w:r>
      <w:r>
        <w:fldChar w:fldCharType="end"/>
      </w:r>
      <w:r>
        <w:rPr>
          <w:color w:val="000000"/>
        </w:rPr>
        <w:fldChar w:fldCharType="end"/>
      </w:r>
    </w:p>
    <w:p w14:paraId="12897DE6">
      <w:pPr>
        <w:pStyle w:val="23"/>
        <w:tabs>
          <w:tab w:val="right" w:leader="dot" w:pos="8312"/>
        </w:tabs>
      </w:pPr>
      <w:r>
        <w:rPr>
          <w:color w:val="000000"/>
        </w:rPr>
        <w:fldChar w:fldCharType="begin"/>
      </w:r>
      <w:r>
        <w:instrText xml:space="preserve"> HYPERLINK \l _Toc4953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4.1.2 </w:t>
      </w:r>
      <w:r>
        <w:rPr>
          <w:rFonts w:hint="eastAsia"/>
        </w:rPr>
        <w:t>测试结果综合分析及建议</w:t>
      </w:r>
      <w:r>
        <w:tab/>
      </w:r>
      <w:r>
        <w:fldChar w:fldCharType="begin"/>
      </w:r>
      <w:r>
        <w:instrText xml:space="preserve"> PAGEREF _Toc4953 \h </w:instrText>
      </w:r>
      <w:r>
        <w:fldChar w:fldCharType="separate"/>
      </w:r>
      <w:r>
        <w:t>9</w:t>
      </w:r>
      <w:r>
        <w:fldChar w:fldCharType="end"/>
      </w:r>
      <w:r>
        <w:rPr>
          <w:color w:val="000000"/>
        </w:rPr>
        <w:fldChar w:fldCharType="end"/>
      </w:r>
    </w:p>
    <w:p w14:paraId="72B9DE5D">
      <w:pPr>
        <w:pStyle w:val="23"/>
        <w:tabs>
          <w:tab w:val="right" w:leader="dot" w:pos="8312"/>
        </w:tabs>
      </w:pPr>
      <w:r>
        <w:rPr>
          <w:color w:val="000000"/>
        </w:rPr>
        <w:fldChar w:fldCharType="begin"/>
      </w:r>
      <w:r>
        <w:instrText xml:space="preserve"> HYPERLINK \l _Toc30902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4.1.3 </w:t>
      </w:r>
      <w:r>
        <w:rPr>
          <w:rFonts w:hint="eastAsia"/>
        </w:rPr>
        <w:t>测试经验总结</w:t>
      </w:r>
      <w:r>
        <w:tab/>
      </w:r>
      <w:r>
        <w:fldChar w:fldCharType="begin"/>
      </w:r>
      <w:r>
        <w:instrText xml:space="preserve"> PAGEREF _Toc30902 \h </w:instrText>
      </w:r>
      <w:r>
        <w:fldChar w:fldCharType="separate"/>
      </w:r>
      <w:r>
        <w:t>9</w:t>
      </w:r>
      <w:r>
        <w:fldChar w:fldCharType="end"/>
      </w:r>
      <w:r>
        <w:rPr>
          <w:color w:val="000000"/>
        </w:rPr>
        <w:fldChar w:fldCharType="end"/>
      </w:r>
    </w:p>
    <w:p w14:paraId="60A86C85">
      <w:pPr>
        <w:widowControl/>
        <w:jc w:val="left"/>
        <w:rPr>
          <w:color w:val="000000"/>
        </w:rPr>
      </w:pPr>
      <w:r>
        <w:rPr>
          <w:color w:val="000000"/>
        </w:rPr>
        <w:fldChar w:fldCharType="end"/>
      </w:r>
    </w:p>
    <w:p w14:paraId="07EBFE3C">
      <w:pPr>
        <w:widowControl/>
        <w:ind w:firstLine="480"/>
        <w:jc w:val="left"/>
        <w:rPr>
          <w:color w:val="000000"/>
        </w:rPr>
      </w:pPr>
    </w:p>
    <w:p w14:paraId="4BCBED97">
      <w:pPr>
        <w:widowControl/>
        <w:ind w:firstLine="480"/>
        <w:jc w:val="left"/>
        <w:rPr>
          <w:color w:val="000000"/>
        </w:rPr>
      </w:pPr>
    </w:p>
    <w:p w14:paraId="7C324DC9">
      <w:pPr>
        <w:widowControl/>
        <w:ind w:firstLine="480"/>
        <w:jc w:val="left"/>
        <w:rPr>
          <w:color w:val="000000"/>
        </w:rPr>
        <w:sectPr>
          <w:footerReference r:id="rId5" w:type="default"/>
          <w:pgSz w:w="11906" w:h="16838"/>
          <w:pgMar w:top="1440" w:right="1797" w:bottom="1440" w:left="1797" w:header="851" w:footer="992" w:gutter="0"/>
          <w:pgNumType w:fmt="upperRoman" w:start="1"/>
          <w:cols w:space="425" w:num="1"/>
          <w:docGrid w:type="lines" w:linePitch="312" w:charSpace="0"/>
        </w:sectPr>
      </w:pPr>
    </w:p>
    <w:p w14:paraId="5DAF58CC">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209F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111B97F">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4496E102">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p>
        </w:tc>
        <w:tc>
          <w:tcPr>
            <w:tcW w:w="1279" w:type="dxa"/>
            <w:vAlign w:val="center"/>
          </w:tcPr>
          <w:p w14:paraId="1BEEA9CA">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p>
        </w:tc>
        <w:tc>
          <w:tcPr>
            <w:tcW w:w="1416" w:type="dxa"/>
            <w:vAlign w:val="center"/>
          </w:tcPr>
          <w:p w14:paraId="3AFE58F3">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169A0AE8">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569C4131">
            <w:pPr>
              <w:pStyle w:val="155"/>
              <w:rPr>
                <w:rFonts w:hint="eastAsia" w:ascii="宋体" w:hAnsi="宋体" w:eastAsia="宋体"/>
                <w:b/>
                <w:color w:val="000000"/>
                <w:sz w:val="21"/>
              </w:rPr>
            </w:pPr>
            <w:r>
              <w:rPr>
                <w:rFonts w:ascii="宋体" w:hAnsi="宋体" w:eastAsia="宋体"/>
                <w:b/>
                <w:color w:val="000000"/>
                <w:sz w:val="21"/>
              </w:rPr>
              <w:t>备注</w:t>
            </w:r>
          </w:p>
        </w:tc>
      </w:tr>
      <w:tr w14:paraId="5B6A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168C5CA">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1</w:t>
            </w:r>
          </w:p>
        </w:tc>
        <w:tc>
          <w:tcPr>
            <w:tcW w:w="1699" w:type="dxa"/>
            <w:vAlign w:val="center"/>
          </w:tcPr>
          <w:p w14:paraId="0E0D1B0D">
            <w:pPr>
              <w:pStyle w:val="155"/>
              <w:rPr>
                <w:rFonts w:hint="eastAsia" w:ascii="宋体" w:hAnsi="宋体" w:eastAsia="宋体"/>
                <w:b/>
                <w:color w:val="000000"/>
                <w:sz w:val="21"/>
              </w:rPr>
            </w:pPr>
            <w:r>
              <w:rPr>
                <w:rFonts w:ascii="宋体" w:hAnsi="宋体" w:eastAsia="宋体"/>
                <w:b w:val="0"/>
                <w:bCs/>
                <w:color w:val="000000"/>
                <w:sz w:val="21"/>
              </w:rPr>
              <w:t>文档创建，确立核心功能</w:t>
            </w:r>
          </w:p>
        </w:tc>
        <w:tc>
          <w:tcPr>
            <w:tcW w:w="1279" w:type="dxa"/>
            <w:vAlign w:val="center"/>
          </w:tcPr>
          <w:p w14:paraId="45EB6D43">
            <w:pPr>
              <w:pStyle w:val="155"/>
              <w:rPr>
                <w:rFonts w:hint="eastAsia" w:ascii="宋体" w:hAnsi="宋体" w:eastAsia="宋体"/>
                <w:b/>
                <w:color w:val="000000"/>
                <w:sz w:val="21"/>
              </w:rPr>
            </w:pPr>
            <w:r>
              <w:rPr>
                <w:rFonts w:ascii="宋体" w:hAnsi="宋体" w:eastAsia="宋体"/>
                <w:b w:val="0"/>
                <w:bCs/>
                <w:color w:val="000000"/>
                <w:sz w:val="21"/>
              </w:rPr>
              <w:t>V1.0</w:t>
            </w:r>
          </w:p>
        </w:tc>
        <w:tc>
          <w:tcPr>
            <w:tcW w:w="1416" w:type="dxa"/>
            <w:vAlign w:val="center"/>
          </w:tcPr>
          <w:p w14:paraId="66B0AF58">
            <w:pPr>
              <w:pStyle w:val="155"/>
              <w:rPr>
                <w:rFonts w:hint="eastAsia" w:ascii="宋体" w:hAnsi="宋体" w:eastAsia="宋体"/>
                <w:b/>
                <w:color w:val="000000"/>
                <w:sz w:val="21"/>
              </w:rPr>
            </w:pPr>
            <w:r>
              <w:rPr>
                <w:rFonts w:ascii="宋体" w:hAnsi="宋体" w:eastAsia="宋体"/>
                <w:b w:val="0"/>
                <w:bCs/>
                <w:color w:val="000000"/>
                <w:sz w:val="21"/>
              </w:rPr>
              <w:t>项目组</w:t>
            </w:r>
          </w:p>
        </w:tc>
        <w:tc>
          <w:tcPr>
            <w:tcW w:w="1703" w:type="dxa"/>
            <w:vAlign w:val="center"/>
          </w:tcPr>
          <w:p w14:paraId="12CDAE58">
            <w:pPr>
              <w:pStyle w:val="155"/>
              <w:rPr>
                <w:rFonts w:hint="eastAsia" w:ascii="宋体" w:hAnsi="宋体" w:eastAsia="宋体"/>
                <w:b/>
                <w:color w:val="000000"/>
                <w:sz w:val="21"/>
              </w:rPr>
            </w:pPr>
            <w:r>
              <w:rPr>
                <w:rFonts w:ascii="宋体" w:hAnsi="宋体" w:eastAsia="宋体"/>
                <w:b w:val="0"/>
                <w:bCs/>
                <w:color w:val="000000"/>
                <w:sz w:val="21"/>
              </w:rPr>
              <w:t>2025-12-01</w:t>
            </w:r>
          </w:p>
        </w:tc>
        <w:tc>
          <w:tcPr>
            <w:tcW w:w="1609" w:type="dxa"/>
            <w:vAlign w:val="center"/>
          </w:tcPr>
          <w:p w14:paraId="41063027">
            <w:pPr>
              <w:pStyle w:val="155"/>
              <w:rPr>
                <w:rFonts w:hint="eastAsia" w:ascii="宋体" w:hAnsi="宋体" w:eastAsia="宋体"/>
                <w:b/>
                <w:color w:val="000000"/>
                <w:sz w:val="21"/>
              </w:rPr>
            </w:pPr>
            <w:r>
              <w:rPr>
                <w:rFonts w:ascii="宋体" w:hAnsi="宋体" w:eastAsia="宋体"/>
                <w:b w:val="0"/>
                <w:bCs/>
                <w:color w:val="000000"/>
                <w:sz w:val="21"/>
              </w:rPr>
              <w:t>完成项目背景与需求分析初稿</w:t>
            </w:r>
          </w:p>
        </w:tc>
      </w:tr>
      <w:tr w14:paraId="17EF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C50CEAE">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2</w:t>
            </w:r>
          </w:p>
        </w:tc>
        <w:tc>
          <w:tcPr>
            <w:tcW w:w="1699" w:type="dxa"/>
            <w:vAlign w:val="center"/>
          </w:tcPr>
          <w:p w14:paraId="03D77589">
            <w:pPr>
              <w:pStyle w:val="155"/>
              <w:rPr>
                <w:rFonts w:hint="eastAsia" w:ascii="宋体" w:hAnsi="宋体" w:eastAsia="宋体"/>
                <w:b/>
                <w:color w:val="000000"/>
                <w:sz w:val="21"/>
              </w:rPr>
            </w:pPr>
            <w:r>
              <w:rPr>
                <w:rFonts w:ascii="宋体" w:hAnsi="宋体" w:eastAsia="宋体"/>
                <w:b w:val="0"/>
                <w:bCs/>
                <w:color w:val="000000"/>
                <w:sz w:val="21"/>
              </w:rPr>
              <w:t>细化视觉算法方案</w:t>
            </w:r>
          </w:p>
        </w:tc>
        <w:tc>
          <w:tcPr>
            <w:tcW w:w="1279" w:type="dxa"/>
            <w:vAlign w:val="center"/>
          </w:tcPr>
          <w:p w14:paraId="1AEE6CD7">
            <w:pPr>
              <w:pStyle w:val="155"/>
              <w:rPr>
                <w:rFonts w:hint="eastAsia" w:ascii="宋体" w:hAnsi="宋体" w:eastAsia="宋体"/>
                <w:b/>
                <w:color w:val="000000"/>
                <w:sz w:val="21"/>
              </w:rPr>
            </w:pPr>
            <w:r>
              <w:rPr>
                <w:rFonts w:ascii="宋体" w:hAnsi="宋体" w:eastAsia="宋体"/>
                <w:b w:val="0"/>
                <w:bCs/>
                <w:color w:val="000000"/>
                <w:sz w:val="21"/>
              </w:rPr>
              <w:t>V1.1</w:t>
            </w:r>
          </w:p>
        </w:tc>
        <w:tc>
          <w:tcPr>
            <w:tcW w:w="1416" w:type="dxa"/>
            <w:vAlign w:val="center"/>
          </w:tcPr>
          <w:p w14:paraId="1B6344FB">
            <w:pPr>
              <w:pStyle w:val="155"/>
              <w:rPr>
                <w:rFonts w:hint="eastAsia" w:ascii="宋体" w:hAnsi="宋体" w:eastAsia="宋体"/>
                <w:b/>
                <w:color w:val="000000"/>
                <w:sz w:val="21"/>
              </w:rPr>
            </w:pPr>
            <w:r>
              <w:rPr>
                <w:rFonts w:ascii="宋体" w:hAnsi="宋体" w:eastAsia="宋体"/>
                <w:b w:val="0"/>
                <w:bCs/>
                <w:color w:val="000000"/>
                <w:sz w:val="21"/>
              </w:rPr>
              <w:t>算法组</w:t>
            </w:r>
          </w:p>
        </w:tc>
        <w:tc>
          <w:tcPr>
            <w:tcW w:w="1703" w:type="dxa"/>
            <w:vAlign w:val="center"/>
          </w:tcPr>
          <w:p w14:paraId="610FD3CB">
            <w:pPr>
              <w:pStyle w:val="155"/>
              <w:rPr>
                <w:rFonts w:hint="eastAsia" w:ascii="宋体" w:hAnsi="宋体" w:eastAsia="宋体"/>
                <w:b/>
                <w:color w:val="000000"/>
                <w:sz w:val="21"/>
              </w:rPr>
            </w:pPr>
            <w:r>
              <w:rPr>
                <w:rFonts w:ascii="宋体" w:hAnsi="宋体" w:eastAsia="宋体"/>
                <w:b w:val="0"/>
                <w:bCs/>
                <w:color w:val="000000"/>
                <w:sz w:val="21"/>
              </w:rPr>
              <w:t>2025-12-15</w:t>
            </w:r>
          </w:p>
        </w:tc>
        <w:tc>
          <w:tcPr>
            <w:tcW w:w="1609" w:type="dxa"/>
            <w:vAlign w:val="center"/>
          </w:tcPr>
          <w:p w14:paraId="16C4AD4D">
            <w:pPr>
              <w:pStyle w:val="155"/>
              <w:rPr>
                <w:rFonts w:hint="eastAsia" w:ascii="宋体" w:hAnsi="宋体" w:eastAsia="宋体"/>
                <w:b/>
                <w:color w:val="000000"/>
                <w:sz w:val="21"/>
              </w:rPr>
            </w:pPr>
            <w:r>
              <w:rPr>
                <w:rFonts w:ascii="宋体" w:hAnsi="宋体" w:eastAsia="宋体"/>
                <w:b w:val="0"/>
                <w:bCs/>
                <w:color w:val="000000"/>
                <w:sz w:val="21"/>
              </w:rPr>
              <w:t>确定采用 TrackNet + YOLO 方案，补充 2.3 节关键技术</w:t>
            </w:r>
          </w:p>
        </w:tc>
      </w:tr>
      <w:tr w14:paraId="6FEF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DED58D7">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3</w:t>
            </w:r>
          </w:p>
        </w:tc>
        <w:tc>
          <w:tcPr>
            <w:tcW w:w="1699" w:type="dxa"/>
            <w:vAlign w:val="center"/>
          </w:tcPr>
          <w:p w14:paraId="1BE75794">
            <w:pPr>
              <w:pStyle w:val="155"/>
              <w:rPr>
                <w:rFonts w:hint="eastAsia" w:ascii="宋体" w:hAnsi="宋体" w:eastAsia="宋体"/>
                <w:b/>
                <w:color w:val="000000"/>
                <w:sz w:val="21"/>
              </w:rPr>
            </w:pPr>
            <w:r>
              <w:rPr>
                <w:rFonts w:ascii="宋体" w:hAnsi="宋体" w:eastAsia="宋体"/>
                <w:b w:val="0"/>
                <w:bCs/>
                <w:color w:val="000000"/>
                <w:sz w:val="21"/>
              </w:rPr>
              <w:t>增加贝叶斯 RAG 模块</w:t>
            </w:r>
          </w:p>
        </w:tc>
        <w:tc>
          <w:tcPr>
            <w:tcW w:w="1279" w:type="dxa"/>
            <w:vAlign w:val="center"/>
          </w:tcPr>
          <w:p w14:paraId="3482100E">
            <w:pPr>
              <w:pStyle w:val="155"/>
              <w:rPr>
                <w:rFonts w:hint="eastAsia" w:ascii="宋体" w:hAnsi="宋体" w:eastAsia="宋体"/>
                <w:b/>
                <w:color w:val="000000"/>
                <w:sz w:val="21"/>
              </w:rPr>
            </w:pPr>
            <w:r>
              <w:rPr>
                <w:rFonts w:ascii="宋体" w:hAnsi="宋体" w:eastAsia="宋体"/>
                <w:b w:val="0"/>
                <w:bCs/>
                <w:color w:val="000000"/>
                <w:sz w:val="21"/>
              </w:rPr>
              <w:t>V1.2</w:t>
            </w:r>
          </w:p>
        </w:tc>
        <w:tc>
          <w:tcPr>
            <w:tcW w:w="1416" w:type="dxa"/>
            <w:vAlign w:val="center"/>
          </w:tcPr>
          <w:p w14:paraId="09BA924D">
            <w:pPr>
              <w:pStyle w:val="155"/>
              <w:rPr>
                <w:rFonts w:hint="eastAsia" w:ascii="宋体" w:hAnsi="宋体" w:eastAsia="宋体"/>
                <w:b/>
                <w:color w:val="000000"/>
                <w:sz w:val="21"/>
              </w:rPr>
            </w:pPr>
            <w:r>
              <w:rPr>
                <w:rFonts w:ascii="宋体" w:hAnsi="宋体" w:eastAsia="宋体"/>
                <w:b w:val="0"/>
                <w:bCs/>
                <w:color w:val="000000"/>
                <w:sz w:val="21"/>
              </w:rPr>
              <w:t>后端组</w:t>
            </w:r>
          </w:p>
        </w:tc>
        <w:tc>
          <w:tcPr>
            <w:tcW w:w="1703" w:type="dxa"/>
            <w:vAlign w:val="center"/>
          </w:tcPr>
          <w:p w14:paraId="2CCE1793">
            <w:pPr>
              <w:pStyle w:val="155"/>
              <w:rPr>
                <w:rFonts w:hint="eastAsia" w:ascii="宋体" w:hAnsi="宋体" w:eastAsia="宋体"/>
                <w:b/>
                <w:color w:val="000000"/>
                <w:sz w:val="21"/>
              </w:rPr>
            </w:pPr>
            <w:r>
              <w:rPr>
                <w:rFonts w:ascii="宋体" w:hAnsi="宋体" w:eastAsia="宋体"/>
                <w:b w:val="0"/>
                <w:bCs/>
                <w:color w:val="000000"/>
                <w:sz w:val="21"/>
              </w:rPr>
              <w:t>2025-12-28</w:t>
            </w:r>
          </w:p>
        </w:tc>
        <w:tc>
          <w:tcPr>
            <w:tcW w:w="1609" w:type="dxa"/>
            <w:vAlign w:val="center"/>
          </w:tcPr>
          <w:p w14:paraId="6E72BBCE">
            <w:pPr>
              <w:pStyle w:val="155"/>
              <w:rPr>
                <w:rFonts w:hint="eastAsia" w:ascii="宋体" w:hAnsi="宋体" w:eastAsia="宋体"/>
                <w:b/>
                <w:color w:val="000000"/>
                <w:sz w:val="21"/>
              </w:rPr>
            </w:pPr>
            <w:r>
              <w:rPr>
                <w:rFonts w:ascii="宋体" w:hAnsi="宋体" w:eastAsia="宋体"/>
                <w:b w:val="0"/>
                <w:bCs/>
                <w:color w:val="000000"/>
                <w:sz w:val="21"/>
              </w:rPr>
              <w:t>新增“汤普森采样”与“战术进化”章节，完善战术库设计</w:t>
            </w:r>
          </w:p>
        </w:tc>
      </w:tr>
      <w:tr w14:paraId="5EDC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2613F68">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4</w:t>
            </w:r>
          </w:p>
        </w:tc>
        <w:tc>
          <w:tcPr>
            <w:tcW w:w="1699" w:type="dxa"/>
            <w:vAlign w:val="center"/>
          </w:tcPr>
          <w:p w14:paraId="43C567CD">
            <w:pPr>
              <w:pStyle w:val="155"/>
              <w:rPr>
                <w:rFonts w:hint="eastAsia" w:ascii="宋体" w:hAnsi="宋体" w:eastAsia="宋体"/>
                <w:b/>
                <w:color w:val="000000"/>
                <w:sz w:val="21"/>
              </w:rPr>
            </w:pPr>
            <w:r>
              <w:rPr>
                <w:rFonts w:ascii="宋体" w:hAnsi="宋体" w:eastAsia="宋体"/>
                <w:b w:val="0"/>
                <w:bCs/>
                <w:color w:val="000000"/>
                <w:sz w:val="21"/>
              </w:rPr>
              <w:t>架构重大调整（端转云）</w:t>
            </w:r>
          </w:p>
        </w:tc>
        <w:tc>
          <w:tcPr>
            <w:tcW w:w="1279" w:type="dxa"/>
            <w:vAlign w:val="center"/>
          </w:tcPr>
          <w:p w14:paraId="666CC83E">
            <w:pPr>
              <w:pStyle w:val="155"/>
              <w:rPr>
                <w:rFonts w:hint="eastAsia" w:ascii="宋体" w:hAnsi="宋体" w:eastAsia="宋体"/>
                <w:b/>
                <w:color w:val="000000"/>
                <w:sz w:val="21"/>
              </w:rPr>
            </w:pPr>
            <w:r>
              <w:rPr>
                <w:rFonts w:ascii="宋体" w:hAnsi="宋体" w:eastAsia="宋体"/>
                <w:b w:val="0"/>
                <w:bCs/>
                <w:color w:val="000000"/>
                <w:sz w:val="21"/>
              </w:rPr>
              <w:t>V2.0</w:t>
            </w:r>
          </w:p>
        </w:tc>
        <w:tc>
          <w:tcPr>
            <w:tcW w:w="1416" w:type="dxa"/>
            <w:vAlign w:val="center"/>
          </w:tcPr>
          <w:p w14:paraId="61262B32">
            <w:pPr>
              <w:pStyle w:val="155"/>
              <w:rPr>
                <w:rFonts w:hint="eastAsia" w:ascii="宋体" w:hAnsi="宋体" w:eastAsia="宋体"/>
                <w:b/>
                <w:color w:val="000000"/>
                <w:sz w:val="21"/>
              </w:rPr>
            </w:pPr>
            <w:r>
              <w:rPr>
                <w:rFonts w:ascii="宋体" w:hAnsi="宋体" w:eastAsia="宋体"/>
                <w:b w:val="0"/>
                <w:bCs/>
                <w:color w:val="000000"/>
                <w:sz w:val="21"/>
              </w:rPr>
              <w:t>架构师</w:t>
            </w:r>
          </w:p>
        </w:tc>
        <w:tc>
          <w:tcPr>
            <w:tcW w:w="1703" w:type="dxa"/>
            <w:vAlign w:val="center"/>
          </w:tcPr>
          <w:p w14:paraId="17158505">
            <w:pPr>
              <w:pStyle w:val="155"/>
              <w:rPr>
                <w:rFonts w:hint="eastAsia" w:ascii="宋体" w:hAnsi="宋体" w:eastAsia="宋体"/>
                <w:b/>
                <w:color w:val="000000"/>
                <w:sz w:val="21"/>
              </w:rPr>
            </w:pPr>
            <w:r>
              <w:rPr>
                <w:rFonts w:ascii="宋体" w:hAnsi="宋体" w:eastAsia="宋体"/>
                <w:b w:val="0"/>
                <w:bCs/>
                <w:color w:val="000000"/>
                <w:sz w:val="21"/>
              </w:rPr>
              <w:t>2026-01-15</w:t>
            </w:r>
          </w:p>
        </w:tc>
        <w:tc>
          <w:tcPr>
            <w:tcW w:w="1609" w:type="dxa"/>
            <w:vAlign w:val="center"/>
          </w:tcPr>
          <w:p w14:paraId="130A3FFC">
            <w:pPr>
              <w:pStyle w:val="155"/>
              <w:rPr>
                <w:rFonts w:hint="eastAsia" w:ascii="宋体" w:hAnsi="宋体" w:eastAsia="宋体"/>
                <w:b/>
                <w:color w:val="000000"/>
                <w:sz w:val="21"/>
              </w:rPr>
            </w:pPr>
            <w:r>
              <w:rPr>
                <w:rFonts w:ascii="宋体" w:hAnsi="宋体" w:eastAsia="宋体"/>
                <w:b w:val="0"/>
                <w:bCs/>
                <w:color w:val="000000"/>
                <w:sz w:val="21"/>
              </w:rPr>
              <w:t>关键修订： 根据代码实测结果，将“端侧实时推理”调整为“云端异步分析”，修正 2.1 总体架构图</w:t>
            </w:r>
          </w:p>
        </w:tc>
      </w:tr>
      <w:tr w14:paraId="3697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2E4BC4A">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5</w:t>
            </w:r>
          </w:p>
        </w:tc>
        <w:tc>
          <w:tcPr>
            <w:tcW w:w="1699" w:type="dxa"/>
            <w:vAlign w:val="center"/>
          </w:tcPr>
          <w:p w14:paraId="32C97BFB">
            <w:pPr>
              <w:pStyle w:val="155"/>
              <w:rPr>
                <w:rFonts w:hint="eastAsia" w:ascii="宋体" w:hAnsi="宋体" w:eastAsia="宋体"/>
                <w:b/>
                <w:color w:val="000000"/>
                <w:sz w:val="21"/>
              </w:rPr>
            </w:pPr>
            <w:r>
              <w:rPr>
                <w:rFonts w:ascii="宋体" w:hAnsi="宋体" w:eastAsia="宋体"/>
                <w:b w:val="0"/>
                <w:bCs/>
                <w:color w:val="000000"/>
                <w:sz w:val="21"/>
              </w:rPr>
              <w:t>修正 FSM 状态机逻辑</w:t>
            </w:r>
          </w:p>
        </w:tc>
        <w:tc>
          <w:tcPr>
            <w:tcW w:w="1279" w:type="dxa"/>
            <w:vAlign w:val="center"/>
          </w:tcPr>
          <w:p w14:paraId="3592C2BA">
            <w:pPr>
              <w:pStyle w:val="155"/>
              <w:rPr>
                <w:rFonts w:hint="eastAsia" w:ascii="宋体" w:hAnsi="宋体" w:eastAsia="宋体"/>
                <w:b/>
                <w:color w:val="000000"/>
                <w:sz w:val="21"/>
              </w:rPr>
            </w:pPr>
            <w:r>
              <w:rPr>
                <w:rFonts w:ascii="宋体" w:hAnsi="宋体" w:eastAsia="宋体"/>
                <w:b w:val="0"/>
                <w:bCs/>
                <w:color w:val="000000"/>
                <w:sz w:val="21"/>
              </w:rPr>
              <w:t>V2.1</w:t>
            </w:r>
          </w:p>
        </w:tc>
        <w:tc>
          <w:tcPr>
            <w:tcW w:w="1416" w:type="dxa"/>
            <w:vAlign w:val="center"/>
          </w:tcPr>
          <w:p w14:paraId="7B82B6AC">
            <w:pPr>
              <w:pStyle w:val="155"/>
              <w:rPr>
                <w:rFonts w:hint="eastAsia" w:ascii="宋体" w:hAnsi="宋体" w:eastAsia="宋体"/>
                <w:b/>
                <w:color w:val="000000"/>
                <w:sz w:val="21"/>
              </w:rPr>
            </w:pPr>
            <w:r>
              <w:rPr>
                <w:rFonts w:ascii="宋体" w:hAnsi="宋体" w:eastAsia="宋体"/>
                <w:b w:val="0"/>
                <w:bCs/>
                <w:color w:val="000000"/>
                <w:sz w:val="21"/>
              </w:rPr>
              <w:t>开发组</w:t>
            </w:r>
          </w:p>
        </w:tc>
        <w:tc>
          <w:tcPr>
            <w:tcW w:w="1703" w:type="dxa"/>
            <w:vAlign w:val="center"/>
          </w:tcPr>
          <w:p w14:paraId="10F246C5">
            <w:pPr>
              <w:pStyle w:val="155"/>
              <w:rPr>
                <w:rFonts w:hint="eastAsia" w:ascii="宋体" w:hAnsi="宋体" w:eastAsia="宋体"/>
                <w:b/>
                <w:color w:val="000000"/>
                <w:sz w:val="21"/>
              </w:rPr>
            </w:pPr>
            <w:r>
              <w:rPr>
                <w:rFonts w:ascii="宋体" w:hAnsi="宋体" w:eastAsia="宋体"/>
                <w:b w:val="0"/>
                <w:bCs/>
                <w:color w:val="000000"/>
                <w:sz w:val="21"/>
              </w:rPr>
              <w:t>2026-01-20</w:t>
            </w:r>
          </w:p>
        </w:tc>
        <w:tc>
          <w:tcPr>
            <w:tcW w:w="1609" w:type="dxa"/>
            <w:vAlign w:val="center"/>
          </w:tcPr>
          <w:p w14:paraId="21DFA1D9">
            <w:pPr>
              <w:pStyle w:val="155"/>
              <w:rPr>
                <w:rFonts w:hint="eastAsia" w:ascii="宋体" w:hAnsi="宋体" w:eastAsia="宋体"/>
                <w:b/>
                <w:color w:val="000000"/>
                <w:sz w:val="21"/>
              </w:rPr>
            </w:pPr>
            <w:r>
              <w:rPr>
                <w:rFonts w:ascii="宋体" w:hAnsi="宋体" w:eastAsia="宋体"/>
                <w:b w:val="0"/>
                <w:bCs/>
                <w:color w:val="000000"/>
                <w:sz w:val="21"/>
              </w:rPr>
              <w:t>删除未实现的 READY 状态，调整长视频切片逻辑以匹配 fsm_segmenter.py</w:t>
            </w:r>
          </w:p>
        </w:tc>
      </w:tr>
      <w:tr w14:paraId="7DC8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9AEBE89">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6</w:t>
            </w:r>
          </w:p>
        </w:tc>
        <w:tc>
          <w:tcPr>
            <w:tcW w:w="1699" w:type="dxa"/>
            <w:vAlign w:val="center"/>
          </w:tcPr>
          <w:p w14:paraId="6A16C5DC">
            <w:pPr>
              <w:pStyle w:val="155"/>
              <w:rPr>
                <w:rFonts w:hint="eastAsia" w:ascii="宋体" w:hAnsi="宋体" w:eastAsia="宋体"/>
                <w:b/>
                <w:color w:val="000000"/>
                <w:sz w:val="21"/>
              </w:rPr>
            </w:pPr>
            <w:r>
              <w:rPr>
                <w:rFonts w:ascii="宋体" w:hAnsi="宋体" w:eastAsia="宋体"/>
                <w:b w:val="0"/>
                <w:bCs/>
                <w:color w:val="000000"/>
                <w:sz w:val="21"/>
              </w:rPr>
              <w:t>更新排期与测试数据</w:t>
            </w:r>
          </w:p>
        </w:tc>
        <w:tc>
          <w:tcPr>
            <w:tcW w:w="1279" w:type="dxa"/>
            <w:vAlign w:val="center"/>
          </w:tcPr>
          <w:p w14:paraId="0DC0EBE6">
            <w:pPr>
              <w:pStyle w:val="155"/>
              <w:rPr>
                <w:rFonts w:hint="eastAsia" w:ascii="宋体" w:hAnsi="宋体" w:eastAsia="宋体"/>
                <w:b/>
                <w:color w:val="000000"/>
                <w:sz w:val="21"/>
              </w:rPr>
            </w:pPr>
            <w:r>
              <w:rPr>
                <w:rFonts w:ascii="宋体" w:hAnsi="宋体" w:eastAsia="宋体"/>
                <w:b w:val="0"/>
                <w:bCs/>
                <w:color w:val="000000"/>
                <w:sz w:val="21"/>
              </w:rPr>
              <w:t>V2.2</w:t>
            </w:r>
          </w:p>
        </w:tc>
        <w:tc>
          <w:tcPr>
            <w:tcW w:w="1416" w:type="dxa"/>
            <w:vAlign w:val="center"/>
          </w:tcPr>
          <w:p w14:paraId="11E31926">
            <w:pPr>
              <w:pStyle w:val="155"/>
              <w:rPr>
                <w:rFonts w:hint="eastAsia" w:ascii="宋体" w:hAnsi="宋体" w:eastAsia="宋体"/>
                <w:b/>
                <w:color w:val="000000"/>
                <w:sz w:val="21"/>
              </w:rPr>
            </w:pPr>
            <w:r>
              <w:rPr>
                <w:rFonts w:ascii="宋体" w:hAnsi="宋体" w:eastAsia="宋体"/>
                <w:b w:val="0"/>
                <w:bCs/>
                <w:color w:val="000000"/>
                <w:sz w:val="21"/>
              </w:rPr>
              <w:t>测试组</w:t>
            </w:r>
          </w:p>
        </w:tc>
        <w:tc>
          <w:tcPr>
            <w:tcW w:w="1703" w:type="dxa"/>
            <w:vAlign w:val="center"/>
          </w:tcPr>
          <w:p w14:paraId="1327F6AE">
            <w:pPr>
              <w:pStyle w:val="155"/>
              <w:rPr>
                <w:rFonts w:hint="eastAsia" w:ascii="宋体" w:hAnsi="宋体" w:eastAsia="宋体"/>
                <w:b/>
                <w:color w:val="000000"/>
                <w:sz w:val="21"/>
              </w:rPr>
            </w:pPr>
            <w:r>
              <w:rPr>
                <w:rFonts w:ascii="宋体" w:hAnsi="宋体" w:eastAsia="宋体"/>
                <w:b w:val="0"/>
                <w:bCs/>
                <w:color w:val="000000"/>
                <w:sz w:val="21"/>
              </w:rPr>
              <w:t>2026-01-22</w:t>
            </w:r>
          </w:p>
        </w:tc>
        <w:tc>
          <w:tcPr>
            <w:tcW w:w="1609" w:type="dxa"/>
            <w:vAlign w:val="center"/>
          </w:tcPr>
          <w:p w14:paraId="49DE2AF3">
            <w:pPr>
              <w:pStyle w:val="155"/>
              <w:rPr>
                <w:rFonts w:hint="eastAsia" w:ascii="宋体" w:hAnsi="宋体" w:eastAsia="宋体"/>
                <w:b/>
                <w:color w:val="000000"/>
                <w:sz w:val="21"/>
              </w:rPr>
            </w:pPr>
            <w:r>
              <w:rPr>
                <w:rFonts w:ascii="宋体" w:hAnsi="宋体" w:eastAsia="宋体"/>
                <w:b w:val="0"/>
                <w:bCs/>
                <w:color w:val="000000"/>
                <w:sz w:val="21"/>
              </w:rPr>
              <w:t>依据 Phase 3 测试结果更新可行性分析，修正最大球速等参数描述</w:t>
            </w:r>
          </w:p>
        </w:tc>
      </w:tr>
      <w:tr w14:paraId="6AF0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47BDAFB">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7</w:t>
            </w:r>
          </w:p>
        </w:tc>
        <w:tc>
          <w:tcPr>
            <w:tcW w:w="1699" w:type="dxa"/>
            <w:vAlign w:val="center"/>
          </w:tcPr>
          <w:p w14:paraId="4985D379">
            <w:pPr>
              <w:pStyle w:val="155"/>
              <w:rPr>
                <w:rFonts w:hint="eastAsia" w:ascii="宋体" w:hAnsi="宋体" w:eastAsia="宋体"/>
                <w:b/>
                <w:color w:val="000000"/>
                <w:sz w:val="21"/>
              </w:rPr>
            </w:pPr>
            <w:r>
              <w:rPr>
                <w:rFonts w:ascii="宋体" w:hAnsi="宋体" w:eastAsia="宋体"/>
                <w:b w:val="0"/>
                <w:bCs/>
                <w:color w:val="000000"/>
                <w:sz w:val="21"/>
              </w:rPr>
              <w:t>终稿校对与排版</w:t>
            </w:r>
          </w:p>
        </w:tc>
        <w:tc>
          <w:tcPr>
            <w:tcW w:w="1279" w:type="dxa"/>
            <w:vAlign w:val="center"/>
          </w:tcPr>
          <w:p w14:paraId="565B90DC">
            <w:pPr>
              <w:pStyle w:val="155"/>
              <w:rPr>
                <w:rFonts w:hint="eastAsia" w:ascii="宋体" w:hAnsi="宋体" w:eastAsia="宋体"/>
                <w:b/>
                <w:color w:val="000000"/>
                <w:sz w:val="21"/>
              </w:rPr>
            </w:pPr>
            <w:r>
              <w:rPr>
                <w:rFonts w:ascii="宋体" w:hAnsi="宋体" w:eastAsia="宋体"/>
                <w:b w:val="0"/>
                <w:bCs/>
                <w:color w:val="000000"/>
                <w:sz w:val="21"/>
              </w:rPr>
              <w:t>V3.0</w:t>
            </w:r>
          </w:p>
        </w:tc>
        <w:tc>
          <w:tcPr>
            <w:tcW w:w="1416" w:type="dxa"/>
            <w:vAlign w:val="center"/>
          </w:tcPr>
          <w:p w14:paraId="4AFB8005">
            <w:pPr>
              <w:pStyle w:val="155"/>
              <w:rPr>
                <w:rFonts w:hint="eastAsia" w:ascii="宋体" w:hAnsi="宋体" w:eastAsia="宋体"/>
                <w:b/>
                <w:color w:val="000000"/>
                <w:sz w:val="21"/>
              </w:rPr>
            </w:pPr>
            <w:r>
              <w:rPr>
                <w:rFonts w:ascii="宋体" w:hAnsi="宋体" w:eastAsia="宋体"/>
                <w:b w:val="0"/>
                <w:bCs/>
                <w:color w:val="000000"/>
                <w:sz w:val="21"/>
              </w:rPr>
              <w:t>项目</w:t>
            </w:r>
            <w:r>
              <w:rPr>
                <w:rFonts w:hint="eastAsia" w:ascii="宋体" w:hAnsi="宋体" w:eastAsia="宋体"/>
                <w:b w:val="0"/>
                <w:bCs/>
                <w:color w:val="000000"/>
                <w:sz w:val="21"/>
                <w:lang w:val="en-US" w:eastAsia="zh-CN"/>
              </w:rPr>
              <w:t>组</w:t>
            </w:r>
          </w:p>
        </w:tc>
        <w:tc>
          <w:tcPr>
            <w:tcW w:w="1703" w:type="dxa"/>
            <w:vAlign w:val="center"/>
          </w:tcPr>
          <w:p w14:paraId="40891DF6">
            <w:pPr>
              <w:pStyle w:val="155"/>
              <w:rPr>
                <w:rFonts w:hint="eastAsia" w:ascii="宋体" w:hAnsi="宋体" w:eastAsia="宋体"/>
                <w:b/>
                <w:color w:val="000000"/>
                <w:sz w:val="21"/>
              </w:rPr>
            </w:pPr>
            <w:r>
              <w:rPr>
                <w:rFonts w:ascii="宋体" w:hAnsi="宋体" w:eastAsia="宋体"/>
                <w:b w:val="0"/>
                <w:bCs/>
                <w:color w:val="000000"/>
                <w:sz w:val="21"/>
              </w:rPr>
              <w:t>2026-01-25</w:t>
            </w:r>
          </w:p>
        </w:tc>
        <w:tc>
          <w:tcPr>
            <w:tcW w:w="1609" w:type="dxa"/>
            <w:vAlign w:val="center"/>
          </w:tcPr>
          <w:p w14:paraId="6D99E624">
            <w:pPr>
              <w:pStyle w:val="155"/>
              <w:rPr>
                <w:rFonts w:hint="eastAsia" w:ascii="宋体" w:hAnsi="宋体" w:eastAsia="宋体"/>
                <w:b/>
                <w:color w:val="000000"/>
                <w:sz w:val="21"/>
              </w:rPr>
            </w:pPr>
            <w:r>
              <w:rPr>
                <w:rFonts w:ascii="宋体" w:hAnsi="宋体" w:eastAsia="宋体"/>
                <w:b w:val="0"/>
                <w:bCs/>
                <w:color w:val="000000"/>
                <w:sz w:val="21"/>
              </w:rPr>
              <w:t>统一术语，修复格式错误，准备提交竞赛</w:t>
            </w:r>
          </w:p>
        </w:tc>
      </w:tr>
    </w:tbl>
    <w:p w14:paraId="714841A2">
      <w:pPr>
        <w:pStyle w:val="2"/>
      </w:pPr>
      <w:bookmarkStart w:id="0" w:name="_Toc56711384"/>
      <w:bookmarkStart w:id="1" w:name="_Toc2225"/>
      <w:bookmarkStart w:id="2" w:name="_Toc56711137"/>
      <w:bookmarkStart w:id="3" w:name="_Toc56710946"/>
      <w:bookmarkStart w:id="4" w:name="_Toc56710839"/>
      <w:bookmarkStart w:id="5" w:name="_Toc331238769"/>
      <w:bookmarkStart w:id="6" w:name="_Toc331243603"/>
      <w:bookmarkStart w:id="7" w:name="_Toc331545160"/>
      <w:bookmarkStart w:id="8" w:name="_Toc331243782"/>
      <w:bookmarkStart w:id="9" w:name="_Toc331243703"/>
      <w:bookmarkStart w:id="10" w:name="_Toc331243882"/>
      <w:bookmarkStart w:id="11" w:name="_Toc331238830"/>
      <w:r>
        <w:t>测试</w:t>
      </w:r>
      <w:r>
        <w:rPr>
          <w:rFonts w:hint="eastAsia"/>
        </w:rPr>
        <w:t>计划</w:t>
      </w:r>
      <w:bookmarkEnd w:id="0"/>
      <w:bookmarkEnd w:id="1"/>
      <w:bookmarkEnd w:id="2"/>
      <w:bookmarkEnd w:id="3"/>
      <w:bookmarkEnd w:id="4"/>
    </w:p>
    <w:p w14:paraId="0385B2A5">
      <w:pPr>
        <w:pStyle w:val="4"/>
      </w:pPr>
      <w:bookmarkStart w:id="12" w:name="_Toc56711138"/>
      <w:bookmarkStart w:id="13" w:name="_Toc56710947"/>
      <w:bookmarkStart w:id="14" w:name="_Toc30293"/>
      <w:bookmarkStart w:id="15" w:name="_Toc56711385"/>
      <w:bookmarkStart w:id="16" w:name="_Toc56710840"/>
      <w:r>
        <w:rPr>
          <w:rFonts w:hint="eastAsia"/>
        </w:rPr>
        <w:t>测试策略与目标</w:t>
      </w:r>
      <w:bookmarkEnd w:id="12"/>
      <w:bookmarkEnd w:id="13"/>
      <w:bookmarkEnd w:id="14"/>
      <w:bookmarkEnd w:id="15"/>
      <w:bookmarkEnd w:id="16"/>
    </w:p>
    <w:p w14:paraId="56FC892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bookmarkStart w:id="17" w:name="_Toc56711139"/>
      <w:bookmarkStart w:id="18" w:name="_Toc56710841"/>
      <w:bookmarkStart w:id="19" w:name="_Toc56711386"/>
      <w:bookmarkStart w:id="20" w:name="_Toc56710948"/>
      <w:r>
        <w:t>本项目的测试策略采取分层渐进式的验证模式，旨在确保 EVOSMASH 系统在从底层视觉感知到顶层战术决策的全链路稳定性。测试工作在软件需求分析阶段即行介入，通过单元测试验证核心算法的数学正确性，通过功能测试验证端云协同的业务闭环，最后通过系统测试验证在高速运动场景下的实时性表现。测试重点聚焦于 TrackNetV3 模型在复杂场馆光照下的鲁棒性，以及贝叶斯 RAG 引擎在策略推荐时的收敛速度。测试难点在于模拟初速超过 300km/h 的小目标追踪准确度，以及处理长视频切片时的混合有限状态机状态跳转逻辑。本测试计划的最终目标是定义项目在发布时的质量等级，确保系统在主流移动设备上能够达到 F1-Score 高于 95% 的视觉追踪精度，并在战术推荐上实现显著的拟人化逻辑一致性。</w:t>
      </w:r>
    </w:p>
    <w:p w14:paraId="040016CC">
      <w:pPr>
        <w:pStyle w:val="4"/>
      </w:pPr>
      <w:bookmarkStart w:id="21" w:name="_Toc28899"/>
      <w:r>
        <w:rPr>
          <w:rFonts w:hint="eastAsia"/>
        </w:rPr>
        <w:t>测试范围</w:t>
      </w:r>
      <w:bookmarkEnd w:id="17"/>
      <w:bookmarkEnd w:id="18"/>
      <w:bookmarkEnd w:id="19"/>
      <w:bookmarkEnd w:id="20"/>
      <w:bookmarkEnd w:id="21"/>
    </w:p>
    <w:p w14:paraId="760F7AA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测试范围涵盖了 EVOSMASH 系统从前端图像采集、预处理到后端视觉推理、物理映射及进化决策的所有核心模块。从测试广度来看，涵盖了 Android 与 iOS 双平台的 Flutter UI 交互测试、FastAPI 后端接口的并发测试、以及云端 GPU 集群的推理压力测试。从测试深度来看，重点测试了视觉感知层的 27 通道时序融合算法在遮挡情况下的轨迹修复能力，物理推理层的单应性矩阵在非标准拍摄角度下的映射偏差，以及进化反馈层在 Beta 分布参数更新时的数学一致性。此外，还包括了全自动裁判系统在单双打不同规则切换下的逻辑覆盖。</w:t>
      </w:r>
    </w:p>
    <w:p w14:paraId="3B6ADE6F">
      <w:pPr>
        <w:pStyle w:val="4"/>
      </w:pPr>
      <w:bookmarkStart w:id="22" w:name="_Toc56710949"/>
      <w:bookmarkStart w:id="23" w:name="_Toc56710842"/>
      <w:bookmarkStart w:id="24" w:name="_Toc56711387"/>
      <w:bookmarkStart w:id="25" w:name="_Toc56711140"/>
      <w:bookmarkStart w:id="26" w:name="_Toc18616"/>
      <w:r>
        <w:rPr>
          <w:rFonts w:hint="eastAsia"/>
        </w:rPr>
        <w:t>测试环境</w:t>
      </w:r>
      <w:bookmarkEnd w:id="22"/>
      <w:bookmarkEnd w:id="23"/>
      <w:bookmarkEnd w:id="24"/>
      <w:bookmarkEnd w:id="25"/>
      <w:bookmarkEnd w:id="26"/>
    </w:p>
    <w:p w14:paraId="5F39685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测试工作依托于模拟真实场馆环境的软硬件架构展开。硬件环境方面，移动端主要选取了搭载骁龙 8 Gen 2 及以上芯片的主流安卓设备和 iPhone 14 Pro 系列，用于验证 NPU 加速下的端侧渲染性能；云端服务器配置为 Ubuntu 22.04 系统，搭载 NVIDIA RTX 4090 GPU 以支撑高频视觉推理。软件环境基于 Flutter 3.0 渲染引擎、FastAPI 异步后端框架及 PostgreSQL 数据库。网络环境模拟了场馆常见的 5G 网络与弱网 WiFi 环境，以测试长视频异步上传的容错机制。测试工具使用了 Pytest 进行单元自动化测试，JMeter 进行后端并发压力测试，并使用定制化的录屏回放脚本对 AR HUD 渲染流畅度进行帧率监测。</w:t>
      </w:r>
    </w:p>
    <w:p w14:paraId="40E148A2">
      <w:pPr>
        <w:pStyle w:val="3"/>
        <w:ind w:firstLine="480"/>
      </w:pPr>
    </w:p>
    <w:p w14:paraId="2F0D7521">
      <w:pPr>
        <w:pStyle w:val="3"/>
        <w:ind w:firstLine="480"/>
      </w:pPr>
    </w:p>
    <w:p w14:paraId="58015B90">
      <w:pPr>
        <w:pStyle w:val="3"/>
        <w:ind w:firstLine="480"/>
        <w:sectPr>
          <w:footerReference r:id="rId6" w:type="first"/>
          <w:pgSz w:w="11906" w:h="16838"/>
          <w:pgMar w:top="1440" w:right="1800" w:bottom="1440" w:left="1800" w:header="851" w:footer="992" w:gutter="0"/>
          <w:pgNumType w:start="1"/>
          <w:cols w:space="425" w:num="1"/>
          <w:docGrid w:type="lines" w:linePitch="312" w:charSpace="0"/>
        </w:sectPr>
      </w:pPr>
    </w:p>
    <w:p w14:paraId="2106942A">
      <w:pPr>
        <w:pStyle w:val="2"/>
      </w:pPr>
      <w:bookmarkStart w:id="27" w:name="_Toc56710843"/>
      <w:bookmarkStart w:id="28" w:name="_Toc56711388"/>
      <w:bookmarkStart w:id="29" w:name="_Toc56710950"/>
      <w:bookmarkStart w:id="30" w:name="_Toc56711141"/>
      <w:bookmarkStart w:id="31" w:name="_Toc29938"/>
      <w:r>
        <w:rPr>
          <w:rFonts w:hint="eastAsia"/>
        </w:rPr>
        <w:t>单元测试</w:t>
      </w:r>
      <w:bookmarkEnd w:id="27"/>
      <w:bookmarkEnd w:id="28"/>
      <w:bookmarkEnd w:id="29"/>
      <w:bookmarkEnd w:id="30"/>
      <w:bookmarkEnd w:id="31"/>
    </w:p>
    <w:p w14:paraId="2D38FA7E">
      <w:pPr>
        <w:pStyle w:val="4"/>
      </w:pPr>
      <w:bookmarkStart w:id="32" w:name="_Toc56711142"/>
      <w:bookmarkStart w:id="33" w:name="_Toc56711389"/>
      <w:bookmarkStart w:id="34" w:name="_Toc56710844"/>
      <w:bookmarkStart w:id="35" w:name="_Toc56710951"/>
      <w:bookmarkStart w:id="36" w:name="_Toc30342"/>
      <w:r>
        <w:rPr>
          <w:rFonts w:hint="eastAsia"/>
        </w:rPr>
        <w:t>****模块</w:t>
      </w:r>
      <w:bookmarkEnd w:id="32"/>
      <w:bookmarkEnd w:id="33"/>
      <w:bookmarkEnd w:id="34"/>
      <w:bookmarkEnd w:id="35"/>
      <w:bookmarkEnd w:id="36"/>
    </w:p>
    <w:p w14:paraId="11E3E845">
      <w:pPr>
        <w:pStyle w:val="5"/>
      </w:pPr>
      <w:bookmarkStart w:id="37" w:name="_Toc56710845"/>
      <w:bookmarkStart w:id="38" w:name="_Toc56711390"/>
      <w:bookmarkStart w:id="39" w:name="_Toc15025"/>
      <w:bookmarkStart w:id="40" w:name="_Toc56710952"/>
      <w:bookmarkStart w:id="41" w:name="_Toc56711143"/>
      <w:r>
        <w:rPr>
          <w:rFonts w:hint="eastAsia"/>
        </w:rPr>
        <w:t>测试用例与结果分析</w:t>
      </w:r>
      <w:bookmarkEnd w:id="37"/>
      <w:bookmarkEnd w:id="38"/>
      <w:bookmarkEnd w:id="39"/>
      <w:bookmarkEnd w:id="40"/>
      <w:bookmarkEnd w:id="41"/>
    </w:p>
    <w:p w14:paraId="1D272A77">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auto"/>
      </w:pPr>
      <w:r>
        <w:rPr>
          <w:rFonts w:hint="eastAsia"/>
        </w:rPr>
        <w:t>单元测试用例</w:t>
      </w:r>
      <w:r>
        <w:rPr>
          <w:rFonts w:hint="eastAsia"/>
          <w:lang w:eastAsia="zh-CN"/>
        </w:rPr>
        <w:t>（</w:t>
      </w:r>
      <w:r>
        <w:t>UT-VIS-001</w:t>
      </w:r>
      <w:r>
        <w:rPr>
          <w:rFonts w:hint="eastAsia"/>
          <w:lang w:eastAsia="zh-CN"/>
        </w:rPr>
        <w:t>）</w:t>
      </w:r>
      <w:r>
        <w:rPr>
          <w:rFonts w:hint="eastAsia"/>
        </w:rPr>
        <w:t>：</w:t>
      </w:r>
    </w:p>
    <w:p w14:paraId="28AD459B">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textAlignment w:val="auto"/>
        <w:rPr>
          <w:b/>
          <w:bCs/>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538B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14:paraId="111B7F0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592DA1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t>UT-VIS-001</w:t>
            </w:r>
          </w:p>
        </w:tc>
      </w:tr>
      <w:tr w14:paraId="37F6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33412D8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4228C20C">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eastAsia="宋体" w:cs="Times New Roman"/>
                <w:kern w:val="0"/>
                <w:szCs w:val="20"/>
              </w:rPr>
            </w:pPr>
            <w:r>
              <w:t>TrackNetV3 时序特征融合与背景差分算子测试</w:t>
            </w:r>
          </w:p>
        </w:tc>
      </w:tr>
      <w:tr w14:paraId="305A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71DB320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69D8390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eastAsia="宋体" w:cs="Times New Roman"/>
                <w:kern w:val="0"/>
                <w:szCs w:val="20"/>
              </w:rPr>
            </w:pPr>
            <w:r>
              <w:t>验证 27 通道张量输入（8帧RGB+背景帧）在复杂动态背景下的目标检测响应</w:t>
            </w:r>
          </w:p>
        </w:tc>
      </w:tr>
      <w:tr w14:paraId="7B85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7C5B675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7D40E92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eastAsia="宋体" w:cs="Times New Roman"/>
                <w:kern w:val="0"/>
                <w:szCs w:val="20"/>
              </w:rPr>
            </w:pPr>
            <w:r>
              <w:t>已生成中值滤波背景帧，视频流中包含显著的观众移动与广告牌闪烁</w:t>
            </w:r>
          </w:p>
        </w:tc>
      </w:tr>
      <w:tr w14:paraId="762D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5C3FBDD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59C90EE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eastAsia="宋体" w:cs="Times New Roman"/>
                <w:kern w:val="0"/>
                <w:szCs w:val="20"/>
              </w:rPr>
            </w:pPr>
            <w:r>
              <w:t>需固定模型权重，禁用 InpaintNet 轨迹修复，仅观察原始热力图输出</w:t>
            </w:r>
          </w:p>
        </w:tc>
      </w:tr>
      <w:tr w14:paraId="4EB0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14:paraId="784A85A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6A0BC7E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eastAsia="宋体" w:cs="Times New Roman"/>
                <w:kern w:val="0"/>
                <w:szCs w:val="20"/>
              </w:rPr>
            </w:pPr>
            <w:r>
              <w:t>依赖于数据预处理模块的 T-Frame 缓存逻辑</w:t>
            </w:r>
          </w:p>
        </w:tc>
      </w:tr>
      <w:tr w14:paraId="6BB8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tcPr>
          <w:p w14:paraId="3C100172">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5B25281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1683880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1F17D07">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5E529457">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备注</w:t>
            </w:r>
          </w:p>
        </w:tc>
      </w:tr>
      <w:tr w14:paraId="1367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6760C5BB">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1</w:t>
            </w:r>
          </w:p>
        </w:tc>
        <w:tc>
          <w:tcPr>
            <w:tcW w:w="1457" w:type="dxa"/>
          </w:tcPr>
          <w:p w14:paraId="352611D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4" w:type="dxa"/>
          </w:tcPr>
          <w:p w14:paraId="4ACA667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5" w:type="dxa"/>
          </w:tcPr>
          <w:p w14:paraId="2C91F35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5" w:type="dxa"/>
            <w:tcBorders>
              <w:right w:val="nil"/>
            </w:tcBorders>
          </w:tcPr>
          <w:p w14:paraId="025FC81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r>
      <w:tr w14:paraId="359A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3316F1C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hint="eastAsia" w:eastAsia="宋体" w:cs="Times New Roman"/>
                <w:kern w:val="0"/>
                <w:szCs w:val="20"/>
              </w:rPr>
              <w:t>2</w:t>
            </w:r>
          </w:p>
        </w:tc>
        <w:tc>
          <w:tcPr>
            <w:tcW w:w="1457" w:type="dxa"/>
          </w:tcPr>
          <w:p w14:paraId="2EEC326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4" w:type="dxa"/>
          </w:tcPr>
          <w:p w14:paraId="2A8781B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5" w:type="dxa"/>
          </w:tcPr>
          <w:p w14:paraId="0DEFCAF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c>
          <w:tcPr>
            <w:tcW w:w="1705" w:type="dxa"/>
            <w:tcBorders>
              <w:right w:val="nil"/>
            </w:tcBorders>
          </w:tcPr>
          <w:p w14:paraId="67B94253">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p>
        </w:tc>
      </w:tr>
      <w:tr w14:paraId="519A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14:paraId="78E6A7A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eastAsia="宋体" w:cs="Times New Roman"/>
                <w:kern w:val="0"/>
                <w:szCs w:val="20"/>
              </w:rPr>
              <w:t>…</w:t>
            </w:r>
          </w:p>
        </w:tc>
        <w:tc>
          <w:tcPr>
            <w:tcW w:w="1457" w:type="dxa"/>
            <w:tcBorders>
              <w:bottom w:val="single" w:color="auto" w:sz="8" w:space="0"/>
            </w:tcBorders>
          </w:tcPr>
          <w:p w14:paraId="2D7A75C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eastAsia="宋体" w:cs="Times New Roman"/>
                <w:kern w:val="0"/>
                <w:szCs w:val="20"/>
              </w:rPr>
              <w:t>…</w:t>
            </w:r>
          </w:p>
        </w:tc>
        <w:tc>
          <w:tcPr>
            <w:tcW w:w="1704" w:type="dxa"/>
            <w:tcBorders>
              <w:bottom w:val="single" w:color="auto" w:sz="8" w:space="0"/>
            </w:tcBorders>
          </w:tcPr>
          <w:p w14:paraId="47441F35">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eastAsia="宋体" w:cs="Times New Roman"/>
                <w:kern w:val="0"/>
                <w:szCs w:val="20"/>
              </w:rPr>
              <w:t>…</w:t>
            </w:r>
          </w:p>
        </w:tc>
        <w:tc>
          <w:tcPr>
            <w:tcW w:w="1705" w:type="dxa"/>
            <w:tcBorders>
              <w:bottom w:val="single" w:color="auto" w:sz="8" w:space="0"/>
            </w:tcBorders>
          </w:tcPr>
          <w:p w14:paraId="6F1D31D6">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eastAsia="宋体" w:cs="Times New Roman"/>
                <w:kern w:val="0"/>
                <w:szCs w:val="20"/>
              </w:rPr>
              <w:t>…</w:t>
            </w:r>
          </w:p>
        </w:tc>
        <w:tc>
          <w:tcPr>
            <w:tcW w:w="1705" w:type="dxa"/>
            <w:tcBorders>
              <w:bottom w:val="single" w:color="auto" w:sz="8" w:space="0"/>
              <w:right w:val="nil"/>
            </w:tcBorders>
          </w:tcPr>
          <w:p w14:paraId="4915684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eastAsia="宋体" w:cs="Times New Roman"/>
                <w:kern w:val="0"/>
                <w:szCs w:val="20"/>
              </w:rPr>
            </w:pPr>
            <w:r>
              <w:rPr>
                <w:rFonts w:eastAsia="宋体" w:cs="Times New Roman"/>
                <w:kern w:val="0"/>
                <w:szCs w:val="20"/>
              </w:rPr>
              <w:t>…</w:t>
            </w:r>
          </w:p>
        </w:tc>
      </w:tr>
    </w:tbl>
    <w:p w14:paraId="6041B7C3">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auto"/>
      </w:pPr>
    </w:p>
    <w:p w14:paraId="7B071A9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rPr>
      </w:pPr>
      <w:r>
        <w:rPr>
          <w:rFonts w:hint="eastAsia"/>
        </w:rPr>
        <w:t>测试结果分析：</w:t>
      </w:r>
    </w:p>
    <w:p w14:paraId="7CA7508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pPr>
      <w:r>
        <w:rPr>
          <w:rStyle w:val="59"/>
        </w:rPr>
        <w:t>具体步骤：</w:t>
      </w:r>
    </w:p>
    <w:p w14:paraId="16692455">
      <w:pPr>
        <w:pStyle w:val="3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pPr>
      <w:r>
        <w:t>输入包含 8 帧连续画面的 Tensor 数据，其中包含一处球体被运动员身体遮挡 2 帧的场景。</w:t>
      </w:r>
    </w:p>
    <w:p w14:paraId="6DF01A61">
      <w:pPr>
        <w:pStyle w:val="3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pPr>
      <w:r>
        <w:t>观察模型在第 9 通道至第 12 通道的注意力权重分布。</w:t>
      </w:r>
    </w:p>
    <w:p w14:paraId="6BC1AEAC">
      <w:pPr>
        <w:pStyle w:val="3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pPr>
      <w:r>
        <w:t>记录热力图最大概率点坐标。</w:t>
      </w:r>
    </w:p>
    <w:p w14:paraId="7436020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pPr>
      <w:r>
        <w:rPr>
          <w:rStyle w:val="59"/>
        </w:rPr>
        <w:t>预期输出：</w:t>
      </w:r>
      <w:r>
        <w:t xml:space="preserve"> 在球体出现帧，热力图峰值应位于球心 3 像素范围内；在遮挡帧，模型应能通过上下文预测出低置信度的候选区域。 </w:t>
      </w:r>
    </w:p>
    <w:p w14:paraId="172A547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pPr>
      <w:r>
        <w:rPr>
          <w:rStyle w:val="59"/>
        </w:rPr>
        <w:t>实际输出：</w:t>
      </w:r>
      <w:r>
        <w:t xml:space="preserve"> 检测坐标偏移量均值为 2.1 像素，遮挡帧预测点虽置信度降至 0.65，但位置符合运动趋势。 </w:t>
      </w:r>
    </w:p>
    <w:p w14:paraId="6DBFA0E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pPr>
      <w:r>
        <w:rPr>
          <w:rStyle w:val="59"/>
        </w:rPr>
        <w:t>备注：</w:t>
      </w:r>
      <w:r>
        <w:t xml:space="preserve"> 噪声抑制表现优秀。</w:t>
      </w:r>
    </w:p>
    <w:p w14:paraId="0029591C">
      <w:pPr>
        <w:pStyle w:val="3"/>
        <w:ind w:firstLine="480"/>
      </w:pPr>
    </w:p>
    <w:p w14:paraId="2D56AFB3">
      <w:pPr>
        <w:ind w:firstLine="480"/>
      </w:pPr>
    </w:p>
    <w:p w14:paraId="0046E2C7">
      <w:pPr>
        <w:pStyle w:val="5"/>
      </w:pPr>
      <w:bookmarkStart w:id="42" w:name="_Toc56710953"/>
      <w:bookmarkStart w:id="43" w:name="_Toc56711144"/>
      <w:bookmarkStart w:id="44" w:name="_Toc56711391"/>
      <w:bookmarkStart w:id="45" w:name="_Toc16492"/>
      <w:bookmarkStart w:id="46" w:name="_Toc56710846"/>
      <w:r>
        <w:rPr>
          <w:rFonts w:hint="eastAsia"/>
        </w:rPr>
        <w:t>测试结果综合分析及建议</w:t>
      </w:r>
      <w:bookmarkEnd w:id="42"/>
      <w:bookmarkEnd w:id="43"/>
      <w:bookmarkEnd w:id="44"/>
      <w:bookmarkEnd w:id="45"/>
      <w:bookmarkEnd w:id="46"/>
    </w:p>
    <w:p w14:paraId="66521DC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测试结果显示，视觉感知模块在处理高维张量输入时表现出了极强的鲁棒性，特别是在背景差分算子的引导下，成功过滤了场馆远端的无效动态目标。然而，在球体与灯光重合的极端高亮帧中，坐标抖动存在轻微放大的趋势。建议后续在数据增强阶段增加高斯眩光噪声的模拟，进一步提升模型在逆光环境下的定位精度。</w:t>
      </w:r>
    </w:p>
    <w:p w14:paraId="5089BFDA">
      <w:pPr>
        <w:pStyle w:val="5"/>
      </w:pPr>
      <w:bookmarkStart w:id="47" w:name="_Toc56711145"/>
      <w:bookmarkStart w:id="48" w:name="_Toc56710847"/>
      <w:bookmarkStart w:id="49" w:name="_Toc56710954"/>
      <w:bookmarkStart w:id="50" w:name="_Toc56711392"/>
      <w:bookmarkStart w:id="51" w:name="_Toc29111"/>
      <w:r>
        <w:rPr>
          <w:rFonts w:hint="eastAsia"/>
        </w:rPr>
        <w:t>测试经验总结</w:t>
      </w:r>
      <w:bookmarkEnd w:id="47"/>
      <w:bookmarkEnd w:id="48"/>
      <w:bookmarkEnd w:id="49"/>
      <w:bookmarkEnd w:id="50"/>
      <w:bookmarkEnd w:id="51"/>
    </w:p>
    <w:p w14:paraId="0420BB1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通过对视觉模块的单元测试，团队意识到时序信息对于小目标追踪的决定性作用。单纯依靠单帧 YOLOX 等检测器无法处理羽毛球特有的运动模糊，而基于连续帧的 3D 卷积思维有效平衡了速度与精度。</w:t>
      </w:r>
    </w:p>
    <w:p w14:paraId="156D3CF3">
      <w:pPr>
        <w:pStyle w:val="3"/>
        <w:ind w:firstLine="480"/>
      </w:pPr>
    </w:p>
    <w:p w14:paraId="7B682C32">
      <w:pPr>
        <w:pStyle w:val="3"/>
        <w:ind w:firstLine="480"/>
        <w:sectPr>
          <w:pgSz w:w="11906" w:h="16838"/>
          <w:pgMar w:top="1440" w:right="1800" w:bottom="1440" w:left="1800" w:header="851" w:footer="992" w:gutter="0"/>
          <w:cols w:space="425" w:num="1"/>
          <w:docGrid w:type="lines" w:linePitch="312" w:charSpace="0"/>
        </w:sectPr>
      </w:pPr>
    </w:p>
    <w:p w14:paraId="325E272E">
      <w:pPr>
        <w:pStyle w:val="2"/>
      </w:pPr>
      <w:bookmarkStart w:id="52" w:name="_Toc56710849"/>
      <w:bookmarkStart w:id="53" w:name="_Toc56711147"/>
      <w:bookmarkStart w:id="54" w:name="_Toc56711394"/>
      <w:bookmarkStart w:id="55" w:name="_Toc10965"/>
      <w:bookmarkStart w:id="56" w:name="_Toc56710956"/>
      <w:r>
        <w:rPr>
          <w:rFonts w:hint="eastAsia"/>
        </w:rPr>
        <w:t>功能测试</w:t>
      </w:r>
      <w:bookmarkEnd w:id="52"/>
      <w:bookmarkEnd w:id="53"/>
      <w:bookmarkEnd w:id="54"/>
      <w:bookmarkEnd w:id="55"/>
      <w:bookmarkEnd w:id="56"/>
    </w:p>
    <w:p w14:paraId="146B6B1F">
      <w:pPr>
        <w:pStyle w:val="4"/>
      </w:pPr>
      <w:bookmarkStart w:id="57" w:name="_Toc56710850"/>
      <w:bookmarkStart w:id="58" w:name="_Toc56710957"/>
      <w:bookmarkStart w:id="59" w:name="_Toc56711395"/>
      <w:bookmarkStart w:id="60" w:name="_Toc56711148"/>
      <w:bookmarkStart w:id="61" w:name="_Toc6952"/>
      <w:r>
        <w:rPr>
          <w:rFonts w:hint="eastAsia"/>
        </w:rPr>
        <w:t>****功能</w:t>
      </w:r>
      <w:bookmarkEnd w:id="57"/>
      <w:bookmarkEnd w:id="58"/>
      <w:bookmarkEnd w:id="59"/>
      <w:bookmarkEnd w:id="60"/>
      <w:bookmarkEnd w:id="61"/>
    </w:p>
    <w:p w14:paraId="4922EBDE">
      <w:pPr>
        <w:pStyle w:val="5"/>
      </w:pPr>
      <w:bookmarkStart w:id="62" w:name="_Toc12056"/>
      <w:bookmarkStart w:id="63" w:name="_Toc56711149"/>
      <w:bookmarkStart w:id="64" w:name="_Toc56710958"/>
      <w:bookmarkStart w:id="65" w:name="_Toc56710851"/>
      <w:bookmarkStart w:id="66" w:name="_Toc56711396"/>
      <w:r>
        <w:rPr>
          <w:rFonts w:hint="eastAsia"/>
        </w:rPr>
        <w:t>测试用例与结果分析</w:t>
      </w:r>
      <w:bookmarkEnd w:id="62"/>
      <w:bookmarkEnd w:id="63"/>
      <w:bookmarkEnd w:id="64"/>
      <w:bookmarkEnd w:id="65"/>
      <w:bookmarkEnd w:id="66"/>
    </w:p>
    <w:p w14:paraId="62F318E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测试用例：FT-JUDGE-001</w:t>
      </w:r>
    </w:p>
    <w:p w14:paraId="5BD26E7A">
      <w:pPr>
        <w:pStyle w:val="3"/>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b/>
          <w:bCs/>
          <w:sz w:val="24"/>
          <w:szCs w:val="24"/>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D07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14:paraId="20B5A1AB">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用例编号</w:t>
            </w:r>
          </w:p>
        </w:tc>
        <w:tc>
          <w:tcPr>
            <w:tcW w:w="6571" w:type="dxa"/>
            <w:gridSpan w:val="4"/>
            <w:tcBorders>
              <w:top w:val="single" w:color="auto" w:sz="8" w:space="0"/>
              <w:right w:val="nil"/>
            </w:tcBorders>
          </w:tcPr>
          <w:p w14:paraId="7410A8A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FT-JUDGE-001</w:t>
            </w:r>
          </w:p>
        </w:tc>
      </w:tr>
      <w:tr w14:paraId="66D6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751F82B2">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功能描述</w:t>
            </w:r>
          </w:p>
        </w:tc>
        <w:tc>
          <w:tcPr>
            <w:tcW w:w="6571" w:type="dxa"/>
            <w:gridSpan w:val="4"/>
            <w:tcBorders>
              <w:right w:val="nil"/>
            </w:tcBorders>
          </w:tcPr>
          <w:p w14:paraId="324017A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单打模式下的边线自动判定与 FSM 状态切换</w:t>
            </w:r>
          </w:p>
        </w:tc>
      </w:tr>
      <w:tr w14:paraId="7C32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2C82BE3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用例目的</w:t>
            </w:r>
          </w:p>
        </w:tc>
        <w:tc>
          <w:tcPr>
            <w:tcW w:w="6571" w:type="dxa"/>
            <w:gridSpan w:val="4"/>
            <w:tcBorders>
              <w:right w:val="nil"/>
            </w:tcBorders>
          </w:tcPr>
          <w:p w14:paraId="2AA876B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验证系统在球体落地瞬间，依据单应性矩阵映射结果进行的界内/界外自动判定逻辑</w:t>
            </w:r>
          </w:p>
        </w:tc>
      </w:tr>
      <w:tr w14:paraId="57CD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1D5C0018">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前提条件</w:t>
            </w:r>
          </w:p>
        </w:tc>
        <w:tc>
          <w:tcPr>
            <w:tcW w:w="6571" w:type="dxa"/>
            <w:gridSpan w:val="4"/>
            <w:tcBorders>
              <w:right w:val="nil"/>
            </w:tcBorders>
          </w:tcPr>
          <w:p w14:paraId="13980F7F">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手机架设于底线后方 1.5 米处，视角涵盖全场，模式设置为“单打”</w:t>
            </w:r>
          </w:p>
        </w:tc>
      </w:tr>
      <w:tr w14:paraId="13D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115457E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特殊的规程说明</w:t>
            </w:r>
          </w:p>
        </w:tc>
        <w:tc>
          <w:tcPr>
            <w:tcW w:w="6571" w:type="dxa"/>
            <w:gridSpan w:val="4"/>
            <w:tcBorders>
              <w:right w:val="nil"/>
            </w:tcBorders>
          </w:tcPr>
          <w:p w14:paraId="3D2BC5A5">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需人工模拟多组压线球（正负 5cm 误差）</w:t>
            </w:r>
          </w:p>
        </w:tc>
      </w:tr>
      <w:tr w14:paraId="0994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14:paraId="2F7D9237">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用例间的依赖关系</w:t>
            </w:r>
          </w:p>
        </w:tc>
        <w:tc>
          <w:tcPr>
            <w:tcW w:w="6571" w:type="dxa"/>
            <w:gridSpan w:val="4"/>
            <w:tcBorders>
              <w:bottom w:val="single" w:color="auto" w:sz="4" w:space="0"/>
              <w:right w:val="nil"/>
            </w:tcBorders>
          </w:tcPr>
          <w:p w14:paraId="3E35651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依赖于物理映射层的坐标转换准确性</w:t>
            </w:r>
          </w:p>
        </w:tc>
      </w:tr>
      <w:tr w14:paraId="2746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tcPr>
          <w:p w14:paraId="4DDF085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具体步骤</w:t>
            </w:r>
          </w:p>
        </w:tc>
        <w:tc>
          <w:tcPr>
            <w:tcW w:w="1457" w:type="dxa"/>
            <w:shd w:val="clear" w:color="auto" w:fill="D8D8D8" w:themeFill="background1" w:themeFillShade="D9"/>
          </w:tcPr>
          <w:p w14:paraId="6C655FED">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输入</w:t>
            </w:r>
          </w:p>
        </w:tc>
        <w:tc>
          <w:tcPr>
            <w:tcW w:w="1704" w:type="dxa"/>
            <w:shd w:val="clear" w:color="auto" w:fill="D8D8D8" w:themeFill="background1" w:themeFillShade="D9"/>
          </w:tcPr>
          <w:p w14:paraId="5F514D3F">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期望结果</w:t>
            </w:r>
          </w:p>
        </w:tc>
        <w:tc>
          <w:tcPr>
            <w:tcW w:w="1705" w:type="dxa"/>
            <w:shd w:val="clear" w:color="auto" w:fill="D8D8D8" w:themeFill="background1" w:themeFillShade="D9"/>
          </w:tcPr>
          <w:p w14:paraId="655DD288">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实际结果</w:t>
            </w:r>
          </w:p>
        </w:tc>
        <w:tc>
          <w:tcPr>
            <w:tcW w:w="1705" w:type="dxa"/>
            <w:tcBorders>
              <w:right w:val="nil"/>
            </w:tcBorders>
            <w:shd w:val="clear" w:color="auto" w:fill="D8D8D8" w:themeFill="background1" w:themeFillShade="D9"/>
          </w:tcPr>
          <w:p w14:paraId="6EB8FC9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备注</w:t>
            </w:r>
          </w:p>
        </w:tc>
      </w:tr>
      <w:tr w14:paraId="0F4E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481AAA2C">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1457" w:type="dxa"/>
          </w:tcPr>
          <w:p w14:paraId="3B8A07F1">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4" w:type="dxa"/>
          </w:tcPr>
          <w:p w14:paraId="7E022792">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Pr>
          <w:p w14:paraId="631C178C">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Borders>
              <w:right w:val="nil"/>
            </w:tcBorders>
          </w:tcPr>
          <w:p w14:paraId="2914B71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r>
      <w:tr w14:paraId="1C75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42F4818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1457" w:type="dxa"/>
          </w:tcPr>
          <w:p w14:paraId="3EC3B2BA">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4" w:type="dxa"/>
          </w:tcPr>
          <w:p w14:paraId="5825FFB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Pr>
          <w:p w14:paraId="233760F4">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Borders>
              <w:right w:val="nil"/>
            </w:tcBorders>
          </w:tcPr>
          <w:p w14:paraId="0621A8F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r>
      <w:tr w14:paraId="19D0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14:paraId="273771C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457" w:type="dxa"/>
            <w:tcBorders>
              <w:bottom w:val="single" w:color="auto" w:sz="8" w:space="0"/>
            </w:tcBorders>
          </w:tcPr>
          <w:p w14:paraId="3397AF4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4" w:type="dxa"/>
            <w:tcBorders>
              <w:bottom w:val="single" w:color="auto" w:sz="8" w:space="0"/>
            </w:tcBorders>
          </w:tcPr>
          <w:p w14:paraId="52C5F6B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5" w:type="dxa"/>
            <w:tcBorders>
              <w:bottom w:val="single" w:color="auto" w:sz="8" w:space="0"/>
            </w:tcBorders>
          </w:tcPr>
          <w:p w14:paraId="1F8A1301">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5" w:type="dxa"/>
            <w:tcBorders>
              <w:bottom w:val="single" w:color="auto" w:sz="8" w:space="0"/>
              <w:right w:val="nil"/>
            </w:tcBorders>
          </w:tcPr>
          <w:p w14:paraId="10EB3B9F">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r>
    </w:tbl>
    <w:p w14:paraId="7DC33752">
      <w:pPr>
        <w:pStyle w:val="3"/>
        <w:ind w:firstLine="480"/>
      </w:pPr>
    </w:p>
    <w:p w14:paraId="6EACD83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测试结果分析：</w:t>
      </w:r>
    </w:p>
    <w:p w14:paraId="15699F7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具体步骤：</w:t>
      </w:r>
    </w:p>
    <w:p w14:paraId="1BACDEB0">
      <w:pPr>
        <w:pStyle w:val="34"/>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进行一组底线回球，使球体落在单打区底线内侧 2cm 处。</w:t>
      </w:r>
    </w:p>
    <w:p w14:paraId="7BEF9F30">
      <w:pPr>
        <w:pStyle w:val="34"/>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进行一组边线回球，使球体落在单打区侧线外侧（双打区内侧）3cm 处。</w:t>
      </w:r>
    </w:p>
    <w:p w14:paraId="4A747AC4">
      <w:pPr>
        <w:pStyle w:val="34"/>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观察 FSM 状态机从 RALLY 切换至 COOLDOWN 时的裁决弹窗。</w:t>
      </w:r>
    </w:p>
    <w:p w14:paraId="626BC6E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预期结果：</w:t>
      </w:r>
      <w:r>
        <w:rPr>
          <w:rFonts w:hint="eastAsia" w:ascii="宋体" w:hAnsi="宋体" w:eastAsia="宋体" w:cs="宋体"/>
          <w:sz w:val="24"/>
          <w:szCs w:val="24"/>
        </w:rPr>
        <w:t xml:space="preserve"> 第一组判定为 WIN（界内），第二组判定为 LOSS（界外），计分板自动更新。 </w:t>
      </w:r>
    </w:p>
    <w:p w14:paraId="2FE296E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实际结果：</w:t>
      </w:r>
      <w:r>
        <w:rPr>
          <w:rFonts w:hint="eastAsia" w:ascii="宋体" w:hAnsi="宋体" w:eastAsia="宋体" w:cs="宋体"/>
          <w:sz w:val="24"/>
          <w:szCs w:val="24"/>
        </w:rPr>
        <w:t xml:space="preserve"> 第一组精准识别压线，第二组正确识别单打模式下的无效走廊区域，判罚无误。 </w:t>
      </w:r>
    </w:p>
    <w:p w14:paraId="3A22304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备注：</w:t>
      </w:r>
      <w:r>
        <w:rPr>
          <w:rFonts w:hint="eastAsia" w:ascii="宋体" w:hAnsi="宋体" w:eastAsia="宋体" w:cs="宋体"/>
          <w:sz w:val="24"/>
          <w:szCs w:val="24"/>
        </w:rPr>
        <w:t xml:space="preserve"> 判定延迟约 150ms。</w:t>
      </w:r>
    </w:p>
    <w:p w14:paraId="61CDBF81">
      <w:pPr>
        <w:pStyle w:val="3"/>
        <w:ind w:firstLine="480"/>
      </w:pPr>
    </w:p>
    <w:p w14:paraId="79FF2BE0">
      <w:pPr>
        <w:ind w:firstLine="480"/>
      </w:pPr>
    </w:p>
    <w:p w14:paraId="7855282B">
      <w:pPr>
        <w:pStyle w:val="3"/>
        <w:ind w:firstLine="480"/>
      </w:pPr>
    </w:p>
    <w:p w14:paraId="45381468">
      <w:pPr>
        <w:pStyle w:val="5"/>
      </w:pPr>
      <w:bookmarkStart w:id="67" w:name="_Toc56711397"/>
      <w:bookmarkStart w:id="68" w:name="_Toc56710959"/>
      <w:bookmarkStart w:id="69" w:name="_Toc56711150"/>
      <w:bookmarkStart w:id="70" w:name="_Toc56710852"/>
      <w:bookmarkStart w:id="71" w:name="_Toc23742"/>
      <w:r>
        <w:rPr>
          <w:rFonts w:hint="eastAsia"/>
        </w:rPr>
        <w:t>测试结果综合分析及建议</w:t>
      </w:r>
      <w:bookmarkEnd w:id="67"/>
      <w:bookmarkEnd w:id="68"/>
      <w:bookmarkEnd w:id="69"/>
      <w:bookmarkEnd w:id="70"/>
      <w:bookmarkEnd w:id="71"/>
    </w:p>
    <w:p w14:paraId="7E5313D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自动裁判功能在常规落点下的判定准确率接近 100%，对于 5cm 以内的压线球判定置信度会有所下降。目前系统在判定存疑时会自动标记为 UNKNOWN 并请求人工介入，这一设计有效维护了判罚的严肃性。建议在 UI 层面增加放大镜回放功能，让用户在纠错时能看清落点的亚像素细节。</w:t>
      </w:r>
    </w:p>
    <w:p w14:paraId="37DBC883">
      <w:pPr>
        <w:pStyle w:val="5"/>
      </w:pPr>
      <w:bookmarkStart w:id="72" w:name="_Toc56710960"/>
      <w:bookmarkStart w:id="73" w:name="_Toc56710853"/>
      <w:bookmarkStart w:id="74" w:name="_Toc56711398"/>
      <w:bookmarkStart w:id="75" w:name="_Toc56711151"/>
      <w:bookmarkStart w:id="76" w:name="_Toc3799"/>
      <w:r>
        <w:rPr>
          <w:rFonts w:hint="eastAsia"/>
        </w:rPr>
        <w:t>测试经验总</w:t>
      </w:r>
      <w:bookmarkEnd w:id="72"/>
      <w:bookmarkEnd w:id="73"/>
      <w:bookmarkEnd w:id="74"/>
      <w:bookmarkEnd w:id="75"/>
      <w:r>
        <w:rPr>
          <w:rFonts w:hint="eastAsia"/>
          <w:lang w:val="en-US" w:eastAsia="zh-CN"/>
        </w:rPr>
        <w:t>结</w:t>
      </w:r>
      <w:bookmarkEnd w:id="76"/>
    </w:p>
    <w:p w14:paraId="2EC7EE1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功能测试揭示了物理空间建模的重要性。由于单目视觉存在透视缩短效应，远端的像素误差在映射回物理坐标时会被放大，因此在场地标定环节必须保证角点提取的极端精确。</w:t>
      </w:r>
    </w:p>
    <w:p w14:paraId="088140E8">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18949AB9">
      <w:pPr>
        <w:pStyle w:val="2"/>
      </w:pPr>
      <w:bookmarkStart w:id="77" w:name="_Toc56711400"/>
      <w:bookmarkStart w:id="78" w:name="_Toc56710855"/>
      <w:bookmarkStart w:id="79" w:name="_Toc56711153"/>
      <w:bookmarkStart w:id="80" w:name="_Toc56710962"/>
      <w:bookmarkStart w:id="81" w:name="_Toc8477"/>
      <w:r>
        <w:rPr>
          <w:rFonts w:hint="eastAsia"/>
        </w:rPr>
        <w:t>系统测试</w:t>
      </w:r>
      <w:bookmarkEnd w:id="77"/>
      <w:bookmarkEnd w:id="78"/>
      <w:bookmarkEnd w:id="79"/>
      <w:bookmarkEnd w:id="80"/>
      <w:bookmarkEnd w:id="81"/>
    </w:p>
    <w:p w14:paraId="74DC89B5">
      <w:pPr>
        <w:pStyle w:val="4"/>
      </w:pPr>
      <w:bookmarkStart w:id="82" w:name="_Toc56710856"/>
      <w:bookmarkStart w:id="83" w:name="_Toc56711401"/>
      <w:bookmarkStart w:id="84" w:name="_Toc56711154"/>
      <w:bookmarkStart w:id="85" w:name="_Toc9098"/>
      <w:bookmarkStart w:id="86" w:name="_Toc56710963"/>
      <w:r>
        <w:rPr>
          <w:rFonts w:hint="eastAsia"/>
        </w:rPr>
        <w:t>模型性能测试</w:t>
      </w:r>
      <w:bookmarkEnd w:id="82"/>
      <w:bookmarkEnd w:id="83"/>
      <w:bookmarkEnd w:id="84"/>
      <w:bookmarkEnd w:id="85"/>
      <w:bookmarkEnd w:id="86"/>
    </w:p>
    <w:p w14:paraId="58EA8385">
      <w:pPr>
        <w:pStyle w:val="5"/>
      </w:pPr>
      <w:bookmarkStart w:id="87" w:name="_Toc56711402"/>
      <w:bookmarkStart w:id="88" w:name="_Toc56710857"/>
      <w:bookmarkStart w:id="89" w:name="_Toc6067"/>
      <w:bookmarkStart w:id="90" w:name="_Toc56711155"/>
      <w:bookmarkStart w:id="91" w:name="_Toc56710964"/>
      <w:r>
        <w:rPr>
          <w:rFonts w:hint="eastAsia"/>
        </w:rPr>
        <w:t>测试用例与结果分析</w:t>
      </w:r>
      <w:bookmarkEnd w:id="87"/>
      <w:bookmarkEnd w:id="88"/>
      <w:bookmarkEnd w:id="89"/>
      <w:bookmarkEnd w:id="90"/>
      <w:bookmarkEnd w:id="91"/>
    </w:p>
    <w:p w14:paraId="1EF6749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预期性能指标测试用例：ST-PERF-001</w:t>
      </w:r>
    </w:p>
    <w:p w14:paraId="078F1096">
      <w:pPr>
        <w:pStyle w:val="3"/>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b/>
          <w:bCs/>
          <w:sz w:val="24"/>
          <w:szCs w:val="24"/>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4CBB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14:paraId="1951BE6D">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用例编号</w:t>
            </w:r>
          </w:p>
        </w:tc>
        <w:tc>
          <w:tcPr>
            <w:tcW w:w="6571" w:type="dxa"/>
            <w:gridSpan w:val="4"/>
            <w:tcBorders>
              <w:top w:val="single" w:color="auto" w:sz="8" w:space="0"/>
              <w:right w:val="nil"/>
            </w:tcBorders>
          </w:tcPr>
          <w:p w14:paraId="63C5BB2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ST-PERF-001</w:t>
            </w:r>
          </w:p>
        </w:tc>
      </w:tr>
      <w:tr w14:paraId="3BCB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49386961">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性能描述</w:t>
            </w:r>
          </w:p>
        </w:tc>
        <w:tc>
          <w:tcPr>
            <w:tcW w:w="6571" w:type="dxa"/>
            <w:gridSpan w:val="4"/>
            <w:tcBorders>
              <w:right w:val="nil"/>
            </w:tcBorders>
          </w:tcPr>
          <w:p w14:paraId="0587871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端到端全链路处理延迟与并发推理性能测试</w:t>
            </w:r>
          </w:p>
        </w:tc>
      </w:tr>
      <w:tr w14:paraId="626F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2CFA7524">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用例目的</w:t>
            </w:r>
          </w:p>
        </w:tc>
        <w:tc>
          <w:tcPr>
            <w:tcW w:w="6571" w:type="dxa"/>
            <w:gridSpan w:val="4"/>
            <w:tcBorders>
              <w:right w:val="nil"/>
            </w:tcBorders>
          </w:tcPr>
          <w:p w14:paraId="57D5B0A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验证从视频切片上传到生成战术语音建议的整体耗时，确保不超过回合间隙时长</w:t>
            </w:r>
          </w:p>
        </w:tc>
      </w:tr>
      <w:tr w14:paraId="5BE2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4A8BE20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前提条件</w:t>
            </w:r>
          </w:p>
        </w:tc>
        <w:tc>
          <w:tcPr>
            <w:tcW w:w="6571" w:type="dxa"/>
            <w:gridSpan w:val="4"/>
            <w:tcBorders>
              <w:right w:val="nil"/>
            </w:tcBorders>
          </w:tcPr>
          <w:p w14:paraId="198FCB1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10 名模拟用户并发上传 30 秒的回合短视频</w:t>
            </w:r>
          </w:p>
        </w:tc>
      </w:tr>
      <w:tr w14:paraId="7915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500207E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特殊的规程说明</w:t>
            </w:r>
          </w:p>
        </w:tc>
        <w:tc>
          <w:tcPr>
            <w:tcW w:w="6571" w:type="dxa"/>
            <w:gridSpan w:val="4"/>
            <w:tcBorders>
              <w:right w:val="nil"/>
            </w:tcBorders>
          </w:tcPr>
          <w:p w14:paraId="7066F13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观测服务器 GPU 显存占用与前端渲染帧率</w:t>
            </w:r>
          </w:p>
        </w:tc>
      </w:tr>
      <w:tr w14:paraId="6225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14:paraId="7AB04E69">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用例间的依赖关系</w:t>
            </w:r>
          </w:p>
        </w:tc>
        <w:tc>
          <w:tcPr>
            <w:tcW w:w="6571" w:type="dxa"/>
            <w:gridSpan w:val="4"/>
            <w:tcBorders>
              <w:bottom w:val="single" w:color="auto" w:sz="4" w:space="0"/>
              <w:right w:val="nil"/>
            </w:tcBorders>
          </w:tcPr>
          <w:p w14:paraId="5DF440C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涉及网络传输、GPU 推理、LLM 接口响应全流程</w:t>
            </w:r>
          </w:p>
        </w:tc>
      </w:tr>
      <w:tr w14:paraId="33B4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vAlign w:val="center"/>
          </w:tcPr>
          <w:p w14:paraId="0DCE3841">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具体步骤</w:t>
            </w:r>
          </w:p>
        </w:tc>
        <w:tc>
          <w:tcPr>
            <w:tcW w:w="1457" w:type="dxa"/>
            <w:shd w:val="clear" w:color="auto" w:fill="D8D8D8" w:themeFill="background1" w:themeFillShade="D9"/>
            <w:vAlign w:val="center"/>
          </w:tcPr>
          <w:p w14:paraId="26A5103A">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输入/动作</w:t>
            </w:r>
          </w:p>
        </w:tc>
        <w:tc>
          <w:tcPr>
            <w:tcW w:w="1704" w:type="dxa"/>
            <w:shd w:val="clear" w:color="auto" w:fill="D8D8D8" w:themeFill="background1" w:themeFillShade="D9"/>
            <w:vAlign w:val="center"/>
          </w:tcPr>
          <w:p w14:paraId="65A29981">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期望的性能</w:t>
            </w:r>
          </w:p>
          <w:p w14:paraId="58DBEB62">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（平均值）</w:t>
            </w:r>
          </w:p>
        </w:tc>
        <w:tc>
          <w:tcPr>
            <w:tcW w:w="1705" w:type="dxa"/>
            <w:shd w:val="clear" w:color="auto" w:fill="D8D8D8" w:themeFill="background1" w:themeFillShade="D9"/>
            <w:vAlign w:val="center"/>
          </w:tcPr>
          <w:p w14:paraId="3CFBF1C4">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实际的性能</w:t>
            </w:r>
          </w:p>
          <w:p w14:paraId="685C7DC2">
            <w:pPr>
              <w:keepNext w:val="0"/>
              <w:keepLines w:val="0"/>
              <w:pageBreakBefore w:val="0"/>
              <w:kinsoku/>
              <w:wordWrap/>
              <w:overflowPunct/>
              <w:topLinePunct w:val="0"/>
              <w:autoSpaceDE/>
              <w:autoSpaceDN/>
              <w:bidi w:val="0"/>
              <w:adjustRightInd/>
              <w:snapToGrid/>
              <w:spacing w:beforeAutospacing="0" w:afterAutospacing="0" w:line="360" w:lineRule="auto"/>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（平均值）</w:t>
            </w:r>
          </w:p>
        </w:tc>
        <w:tc>
          <w:tcPr>
            <w:tcW w:w="1705" w:type="dxa"/>
            <w:tcBorders>
              <w:right w:val="nil"/>
            </w:tcBorders>
            <w:shd w:val="clear" w:color="auto" w:fill="D8D8D8" w:themeFill="background1" w:themeFillShade="D9"/>
            <w:vAlign w:val="center"/>
          </w:tcPr>
          <w:p w14:paraId="55C00381">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备注</w:t>
            </w:r>
          </w:p>
        </w:tc>
      </w:tr>
      <w:tr w14:paraId="7DCE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569B1F58">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1457" w:type="dxa"/>
          </w:tcPr>
          <w:p w14:paraId="7BADEAB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4" w:type="dxa"/>
          </w:tcPr>
          <w:p w14:paraId="31A6061F">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Pr>
          <w:p w14:paraId="18542B6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Borders>
              <w:right w:val="nil"/>
            </w:tcBorders>
          </w:tcPr>
          <w:p w14:paraId="4E420F6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r>
      <w:tr w14:paraId="7EEA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14:paraId="5572AA3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1457" w:type="dxa"/>
          </w:tcPr>
          <w:p w14:paraId="27836F9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4" w:type="dxa"/>
          </w:tcPr>
          <w:p w14:paraId="2A4C820D">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Pr>
          <w:p w14:paraId="7B5D0397">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c>
          <w:tcPr>
            <w:tcW w:w="1705" w:type="dxa"/>
            <w:tcBorders>
              <w:right w:val="nil"/>
            </w:tcBorders>
          </w:tcPr>
          <w:p w14:paraId="4E3CDF80">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p>
        </w:tc>
      </w:tr>
      <w:tr w14:paraId="448E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14:paraId="568E40D3">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457" w:type="dxa"/>
            <w:tcBorders>
              <w:bottom w:val="single" w:color="auto" w:sz="8" w:space="0"/>
            </w:tcBorders>
          </w:tcPr>
          <w:p w14:paraId="0265AE5A">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4" w:type="dxa"/>
            <w:tcBorders>
              <w:bottom w:val="single" w:color="auto" w:sz="8" w:space="0"/>
            </w:tcBorders>
          </w:tcPr>
          <w:p w14:paraId="6272B5BC">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5" w:type="dxa"/>
            <w:tcBorders>
              <w:bottom w:val="single" w:color="auto" w:sz="8" w:space="0"/>
            </w:tcBorders>
          </w:tcPr>
          <w:p w14:paraId="18A95BE5">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c>
          <w:tcPr>
            <w:tcW w:w="1705" w:type="dxa"/>
            <w:tcBorders>
              <w:bottom w:val="single" w:color="auto" w:sz="8" w:space="0"/>
              <w:right w:val="nil"/>
            </w:tcBorders>
          </w:tcPr>
          <w:p w14:paraId="1B2D67D9">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w:t>
            </w:r>
          </w:p>
        </w:tc>
      </w:tr>
    </w:tbl>
    <w:p w14:paraId="0AB0AAD4">
      <w:pPr>
        <w:pStyle w:val="3"/>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b/>
          <w:bCs/>
          <w:sz w:val="24"/>
          <w:szCs w:val="24"/>
        </w:rPr>
      </w:pPr>
    </w:p>
    <w:p w14:paraId="15675B24">
      <w:pPr>
        <w:pStyle w:val="3"/>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b/>
          <w:bCs/>
          <w:sz w:val="24"/>
          <w:szCs w:val="24"/>
        </w:rPr>
      </w:pPr>
      <w:r>
        <w:rPr>
          <w:rFonts w:hint="eastAsia" w:ascii="宋体" w:hAnsi="宋体" w:eastAsia="宋体" w:cs="宋体"/>
          <w:sz w:val="24"/>
          <w:szCs w:val="24"/>
        </w:rPr>
        <w:t>测试结果分析：</w:t>
      </w:r>
    </w:p>
    <w:p w14:paraId="252FA00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具体步骤：</w:t>
      </w:r>
    </w:p>
    <w:p w14:paraId="7CF85E5B">
      <w:pPr>
        <w:pStyle w:val="34"/>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启动 JMeter 模拟高并发上传任务。</w:t>
      </w:r>
    </w:p>
    <w:p w14:paraId="22E37ED6">
      <w:pPr>
        <w:pStyle w:val="34"/>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记录移动端从触发上传到接收到推送通知的平均时长。</w:t>
      </w:r>
    </w:p>
    <w:p w14:paraId="6C075E2F">
      <w:pPr>
        <w:pStyle w:val="34"/>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42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统计 DeepSeek-V3 在多模态 Prompt 下的 Token 生成速率。</w:t>
      </w:r>
    </w:p>
    <w:p w14:paraId="55D6619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预期性能：</w:t>
      </w:r>
      <w:r>
        <w:rPr>
          <w:rFonts w:hint="eastAsia" w:ascii="宋体" w:hAnsi="宋体" w:eastAsia="宋体" w:cs="宋体"/>
          <w:sz w:val="24"/>
          <w:szCs w:val="24"/>
        </w:rPr>
        <w:t xml:space="preserve"> 单回合分析总时长 &lt; 5s，平均处理延迟 &lt; 3s。 </w:t>
      </w:r>
    </w:p>
    <w:p w14:paraId="20A0E7A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实际性能：</w:t>
      </w:r>
      <w:r>
        <w:rPr>
          <w:rFonts w:hint="eastAsia" w:ascii="宋体" w:hAnsi="宋体" w:eastAsia="宋体" w:cs="宋体"/>
          <w:sz w:val="24"/>
          <w:szCs w:val="24"/>
        </w:rPr>
        <w:t xml:space="preserve"> 视频切片分析平均耗时 2.8s，战术生成耗时 1.2s，总时长稳定在 4.5s 左右。 </w:t>
      </w:r>
    </w:p>
    <w:p w14:paraId="189C82D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eastAsia" w:ascii="宋体" w:hAnsi="宋体" w:eastAsia="宋体" w:cs="宋体"/>
          <w:sz w:val="24"/>
          <w:szCs w:val="24"/>
        </w:rPr>
      </w:pPr>
      <w:r>
        <w:rPr>
          <w:rStyle w:val="59"/>
          <w:rFonts w:hint="eastAsia" w:ascii="宋体" w:hAnsi="宋体" w:eastAsia="宋体" w:cs="宋体"/>
          <w:sz w:val="24"/>
          <w:szCs w:val="24"/>
        </w:rPr>
        <w:t>备注：</w:t>
      </w:r>
      <w:r>
        <w:rPr>
          <w:rFonts w:hint="eastAsia" w:ascii="宋体" w:hAnsi="宋体" w:eastAsia="宋体" w:cs="宋体"/>
          <w:sz w:val="24"/>
          <w:szCs w:val="24"/>
        </w:rPr>
        <w:t xml:space="preserve"> 显存占用峰值控制在 12GB。</w:t>
      </w:r>
    </w:p>
    <w:p w14:paraId="00D7538F">
      <w:pPr>
        <w:ind w:firstLine="480"/>
      </w:pPr>
    </w:p>
    <w:p w14:paraId="484113EE">
      <w:pPr>
        <w:pStyle w:val="5"/>
      </w:pPr>
      <w:bookmarkStart w:id="92" w:name="_Toc56711403"/>
      <w:bookmarkStart w:id="93" w:name="_Toc56710965"/>
      <w:bookmarkStart w:id="94" w:name="_Toc4953"/>
      <w:bookmarkStart w:id="95" w:name="_Toc56710858"/>
      <w:bookmarkStart w:id="96" w:name="_Toc56711156"/>
      <w:r>
        <w:rPr>
          <w:rFonts w:hint="eastAsia"/>
        </w:rPr>
        <w:t>测试结果综合分析及建议</w:t>
      </w:r>
      <w:bookmarkEnd w:id="92"/>
      <w:bookmarkEnd w:id="93"/>
      <w:bookmarkEnd w:id="94"/>
      <w:bookmarkEnd w:id="95"/>
      <w:bookmarkEnd w:id="96"/>
    </w:p>
    <w:p w14:paraId="543FEFD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模型性能测试表明，目前的端云架构能够从容应对回合间的短时突发流量。由于采用了异步上传策略，用户并不会感觉到录制中断。然而，在弱网环境下（上传带宽 &lt; 2Mbps），视频切片的上传积压会导致反馈延迟。建议在前端增加轻量级的 265 编码器二次压缩，将单个切片大小控制在 5MB 以内。</w:t>
      </w:r>
    </w:p>
    <w:p w14:paraId="52DF3B15">
      <w:pPr>
        <w:pStyle w:val="5"/>
      </w:pPr>
      <w:bookmarkStart w:id="97" w:name="_Toc56710966"/>
      <w:bookmarkStart w:id="98" w:name="_Toc30902"/>
      <w:bookmarkStart w:id="99" w:name="_Toc56711157"/>
      <w:bookmarkStart w:id="100" w:name="_Toc56711404"/>
      <w:bookmarkStart w:id="101" w:name="_Toc56710859"/>
      <w:r>
        <w:rPr>
          <w:rFonts w:hint="eastAsia"/>
        </w:rPr>
        <w:t>测试经验总结</w:t>
      </w:r>
      <w:bookmarkEnd w:id="5"/>
      <w:bookmarkEnd w:id="6"/>
      <w:bookmarkEnd w:id="7"/>
      <w:bookmarkEnd w:id="8"/>
      <w:bookmarkEnd w:id="9"/>
      <w:bookmarkEnd w:id="10"/>
      <w:bookmarkEnd w:id="11"/>
      <w:bookmarkEnd w:id="97"/>
      <w:bookmarkEnd w:id="98"/>
      <w:bookmarkEnd w:id="99"/>
      <w:bookmarkEnd w:id="100"/>
      <w:bookmarkEnd w:id="101"/>
      <w:bookmarkStart w:id="102" w:name="_Toc255826542"/>
      <w:bookmarkEnd w:id="102"/>
    </w:p>
    <w:p w14:paraId="18DE8FB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性能测试证明了“重云端、轻端侧”架构的合理性。羽毛球项目的高频特征决定了无法在手机端完成完整的 27 通道时空卷积，通过精细的任务切分与 WebSocket 实时反馈，系统在保持了顶级精度的同时也保证了流畅的用户体验。</w:t>
      </w:r>
    </w:p>
    <w:p w14:paraId="1758B18F">
      <w:pPr>
        <w:pStyle w:val="3"/>
      </w:pPr>
    </w:p>
    <w:p w14:paraId="3E775840">
      <w:pPr>
        <w:pStyle w:val="3"/>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C0C1E4F">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3A1FA144">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16E5DEF1">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109CD">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3FF4F46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B9EBA">
    <w:pPr>
      <w:pStyle w:val="27"/>
      <w:jc w:val="both"/>
      <w:rPr>
        <w:rFonts w:cs="Times New Roman"/>
      </w:rPr>
    </w:pPr>
    <w:r>
      <w:rPr>
        <w:rFonts w:cs="Times New Roman"/>
      </w:rPr>
      <w:t xml:space="preserve">项目名称 </w:t>
    </w:r>
    <w:r>
      <w:rPr>
        <w:rFonts w:hint="eastAsia" w:cs="Times New Roman"/>
      </w:rPr>
      <w:t>EVOSMASH 视觉感知羽毛球教练系统</w:t>
    </w:r>
    <w:r>
      <w:rPr>
        <w:rFonts w:cs="Times New Roman"/>
      </w:rPr>
      <w:t xml:space="preserve">        </w:t>
    </w:r>
    <w:r>
      <w:rPr>
        <w:rFonts w:hint="eastAsia" w:cs="Times New Roman"/>
        <w:lang w:val="en-US" w:eastAsia="zh-C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w:t>
    </w:r>
    <w:r>
      <w:rPr>
        <w:rFonts w:hint="eastAsia" w:cs="Times New Roman"/>
        <w:b/>
        <w:lang w:val="en-US" w:eastAsia="zh-CN"/>
      </w:rPr>
      <w:t>北辰之光</w:t>
    </w:r>
    <w:r>
      <w:rPr>
        <w:rFonts w:cs="Times New Roman"/>
        <w:b/>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39A9A"/>
    <w:multiLevelType w:val="singleLevel"/>
    <w:tmpl w:val="A1B39A9A"/>
    <w:lvl w:ilvl="0" w:tentative="0">
      <w:start w:val="1"/>
      <w:numFmt w:val="bullet"/>
      <w:lvlText w:val=""/>
      <w:lvlJc w:val="left"/>
      <w:pPr>
        <w:ind w:left="420" w:hanging="420"/>
      </w:pPr>
      <w:rPr>
        <w:rFonts w:hint="default" w:ascii="Wingdings" w:hAnsi="Wingdings"/>
      </w:rPr>
    </w:lvl>
  </w:abstractNum>
  <w:abstractNum w:abstractNumId="1">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1F6780D6"/>
    <w:multiLevelType w:val="singleLevel"/>
    <w:tmpl w:val="1F6780D6"/>
    <w:lvl w:ilvl="0" w:tentative="0">
      <w:start w:val="1"/>
      <w:numFmt w:val="bullet"/>
      <w:lvlText w:val=""/>
      <w:lvlJc w:val="left"/>
      <w:pPr>
        <w:ind w:left="420" w:hanging="420"/>
      </w:pPr>
      <w:rPr>
        <w:rFonts w:hint="default" w:ascii="Wingdings" w:hAnsi="Wingdings"/>
      </w:rPr>
    </w:lvl>
  </w:abstractNum>
  <w:abstractNum w:abstractNumId="4">
    <w:nsid w:val="7D17333B"/>
    <w:multiLevelType w:val="singleLevel"/>
    <w:tmpl w:val="7D17333B"/>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27990"/>
    <w:rsid w:val="00030524"/>
    <w:rsid w:val="0003106A"/>
    <w:rsid w:val="00032294"/>
    <w:rsid w:val="0004232D"/>
    <w:rsid w:val="00046C66"/>
    <w:rsid w:val="00053968"/>
    <w:rsid w:val="000548EE"/>
    <w:rsid w:val="00067D4F"/>
    <w:rsid w:val="00086465"/>
    <w:rsid w:val="000911FE"/>
    <w:rsid w:val="00092D09"/>
    <w:rsid w:val="0009308D"/>
    <w:rsid w:val="000B3133"/>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42C6"/>
    <w:rsid w:val="002621E2"/>
    <w:rsid w:val="00270ED3"/>
    <w:rsid w:val="002710B8"/>
    <w:rsid w:val="00280E7C"/>
    <w:rsid w:val="00295011"/>
    <w:rsid w:val="002B6C8A"/>
    <w:rsid w:val="002E65CA"/>
    <w:rsid w:val="00311858"/>
    <w:rsid w:val="00324C0B"/>
    <w:rsid w:val="00325B43"/>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1CC8"/>
    <w:rsid w:val="00442931"/>
    <w:rsid w:val="00462EF5"/>
    <w:rsid w:val="004727BB"/>
    <w:rsid w:val="0047284F"/>
    <w:rsid w:val="00481206"/>
    <w:rsid w:val="004818D8"/>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E07F5"/>
    <w:rsid w:val="006F3270"/>
    <w:rsid w:val="006F6536"/>
    <w:rsid w:val="00702DD8"/>
    <w:rsid w:val="00716DF9"/>
    <w:rsid w:val="007347D7"/>
    <w:rsid w:val="00734FA2"/>
    <w:rsid w:val="00763107"/>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267B5"/>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A0CD2"/>
    <w:rsid w:val="00BB506C"/>
    <w:rsid w:val="00BB50C5"/>
    <w:rsid w:val="00BC39DA"/>
    <w:rsid w:val="00BE29C7"/>
    <w:rsid w:val="00BE6C09"/>
    <w:rsid w:val="00C11105"/>
    <w:rsid w:val="00C1324B"/>
    <w:rsid w:val="00C17F85"/>
    <w:rsid w:val="00C24BA2"/>
    <w:rsid w:val="00C34A2C"/>
    <w:rsid w:val="00C34D30"/>
    <w:rsid w:val="00C43822"/>
    <w:rsid w:val="00C452BE"/>
    <w:rsid w:val="00C8710B"/>
    <w:rsid w:val="00C9368B"/>
    <w:rsid w:val="00CA2EF8"/>
    <w:rsid w:val="00CA7A6C"/>
    <w:rsid w:val="00CB40CA"/>
    <w:rsid w:val="00CB4C5A"/>
    <w:rsid w:val="00CB541E"/>
    <w:rsid w:val="00CD5B54"/>
    <w:rsid w:val="00CF64C6"/>
    <w:rsid w:val="00D0172C"/>
    <w:rsid w:val="00D01DC2"/>
    <w:rsid w:val="00D059F3"/>
    <w:rsid w:val="00D254CA"/>
    <w:rsid w:val="00D341C2"/>
    <w:rsid w:val="00D479D9"/>
    <w:rsid w:val="00D5128C"/>
    <w:rsid w:val="00D5774B"/>
    <w:rsid w:val="00D679E8"/>
    <w:rsid w:val="00D712D6"/>
    <w:rsid w:val="00D84B7D"/>
    <w:rsid w:val="00D940ED"/>
    <w:rsid w:val="00D945AE"/>
    <w:rsid w:val="00D95E20"/>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5D86"/>
    <w:rsid w:val="00F06924"/>
    <w:rsid w:val="00F144DB"/>
    <w:rsid w:val="00F20B19"/>
    <w:rsid w:val="00F359AB"/>
    <w:rsid w:val="00F362E0"/>
    <w:rsid w:val="00F40B28"/>
    <w:rsid w:val="00F613F6"/>
    <w:rsid w:val="00F6541F"/>
    <w:rsid w:val="00F85D32"/>
    <w:rsid w:val="00F91C72"/>
    <w:rsid w:val="00F9660A"/>
    <w:rsid w:val="00FA7078"/>
    <w:rsid w:val="00FB7627"/>
    <w:rsid w:val="00FD7BAA"/>
    <w:rsid w:val="00FE5527"/>
    <w:rsid w:val="00FE5CA8"/>
    <w:rsid w:val="00FF7387"/>
    <w:rsid w:val="12194405"/>
    <w:rsid w:val="1ADE7DA6"/>
    <w:rsid w:val="2C665A34"/>
    <w:rsid w:val="44AF424A"/>
    <w:rsid w:val="47DC0B74"/>
    <w:rsid w:val="554D3DE6"/>
    <w:rsid w:val="637C4E07"/>
    <w:rsid w:val="67BC5E72"/>
    <w:rsid w:val="77E746F6"/>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11</Pages>
  <Words>3090</Words>
  <Characters>3713</Characters>
  <Lines>18</Lines>
  <Paragraphs>5</Paragraphs>
  <TotalTime>0</TotalTime>
  <ScaleCrop>false</ScaleCrop>
  <LinksUpToDate>false</LinksUpToDate>
  <CharactersWithSpaces>3941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王浩</cp:lastModifiedBy>
  <dcterms:modified xsi:type="dcterms:W3CDTF">2026-04-10T09:32:49Z</dcterms:modified>
  <dc:title>项目测试文档</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30D7143A308543B582B7B1B3A41B7915_12</vt:lpwstr>
  </property>
  <property fmtid="{D5CDD505-2E9C-101B-9397-08002B2CF9AE}" pid="4" name="KSOTemplateDocerSaveRecord">
    <vt:lpwstr>eyJoZGlkIjoiOTAxYzc0ZWJhOWZjMDU3NmQzZGNmZjNkMzgxOTYzZmMiLCJ1c2VySWQiOiIxNzcyODM5MDM2In0=</vt:lpwstr>
  </property>
</Properties>
</file>