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64" w:lineRule="auto"/>
      </w:pPr>
      <w:r>
        <w:rPr>
          <w:rFonts w:ascii="Calibri" w:hAnsi="Calibri" w:eastAsia="Microsoft YaHei"/>
          <w:b/>
          <w:color w:val="000000"/>
          <w:sz w:val="46"/>
        </w:rPr>
        <w:t>大模型安全相关技术调研报告</w:t>
      </w:r>
    </w:p>
    <w:p>
      <w:pPr>
        <w:spacing w:before="0" w:after="280" w:line="264" w:lineRule="auto"/>
      </w:pPr>
      <w:r>
        <w:rPr>
          <w:rFonts w:ascii="Calibri" w:hAnsi="Calibri" w:eastAsia="Microsoft YaHei"/>
          <w:color w:val="555555"/>
          <w:sz w:val="24"/>
        </w:rPr>
        <w:t>聚焦 1.1.1 大模型推理决策机制的形式化建模技术研究</w:t>
      </w:r>
    </w:p>
    <w:p>
      <w:pPr>
        <w:spacing w:before="0" w:after="280" w:line="264" w:lineRule="auto"/>
      </w:pPr>
      <w:r>
        <w:rPr>
          <w:rFonts w:ascii="Calibri" w:hAnsi="Calibri" w:eastAsia="Microsoft YaHei"/>
          <w:color w:val="555555"/>
          <w:sz w:val="21"/>
        </w:rPr>
        <w:t>版本：初稿 | 定位：研究思路说明与阶段产出草稿 | 边界：不展开系统开发、沙盒或具体防护算法</w:t>
      </w:r>
    </w:p>
    <w:p>
      <w:pPr>
        <w:pStyle w:val="Heading1"/>
      </w:pPr>
      <w:r>
        <w:t>研究摘要</w:t>
      </w:r>
    </w:p>
    <w:p>
      <w:pPr>
        <w:spacing w:before="0" w:after="120" w:line="264" w:lineRule="auto"/>
      </w:pPr>
      <w:r>
        <w:rPr>
          <w:rFonts w:ascii="Calibri" w:hAnsi="Calibri" w:eastAsia="Microsoft YaHei"/>
          <w:sz w:val="22"/>
        </w:rPr>
        <w:t>本报告初稿围绕项目研究点 1.1.1“大模型推理决策机制的形式化建模技术研究”展开。当前阶段的核心任务不是开发完整软件系统，也不是立即构建沙盒或 LangGraph 工程，而是先建立能够支撑后续可信性测评、攻击测试和安全防护的理论与模型框架。</w:t>
      </w:r>
    </w:p>
    <w:p>
      <w:pPr>
        <w:spacing w:before="0" w:after="120" w:line="264" w:lineRule="auto"/>
      </w:pPr>
      <w:r>
        <w:rPr>
          <w:rFonts w:ascii="Calibri" w:hAnsi="Calibri" w:eastAsia="Microsoft YaHei"/>
          <w:sz w:val="22"/>
        </w:rPr>
        <w:t>报告以大模型推理机制和 Agent 推理机制为起点，结合机理解释、智能涌现、状态空间建模、因果信息流和安全属性定义，提出“面向智能体场景的大模型推理决策机制层级化状态转移模型”。该模型以 S0-S7 表示 Agent 推理决策主链路，以 S8 表示贯穿式安全判定与约束节点，用于解释外部知识、记忆、工具、环境反馈和多智能体消息如何共同影响大模型决策行为。</w:t>
      </w:r>
    </w:p>
    <w:p>
      <w:pPr>
        <w:pStyle w:val="Heading1"/>
      </w:pPr>
      <w:r>
        <w:t>1. 研究背景与问题定位</w:t>
      </w:r>
    </w:p>
    <w:p>
      <w:pPr>
        <w:spacing w:before="0" w:after="120" w:line="264" w:lineRule="auto"/>
      </w:pPr>
      <w:r>
        <w:rPr>
          <w:rFonts w:ascii="Calibri" w:hAnsi="Calibri" w:eastAsia="Microsoft YaHei"/>
          <w:sz w:val="22"/>
        </w:rPr>
        <w:t>大模型在电力知识问答、运维辅助分析、规程检索和文档生成等场景中具有较强应用潜力，但其黑盒特性、上下文敏感性和生成式输出机制使决策过程难以解释。尤其在 Agent 场景中，大模型不再只是接收输入并生成文本，而是可能读取外部知识、调用工具、写入记忆、接收环境反馈，并与其他智能体交换消息。这使推理决策过程从单轮文本生成转变为多源信息驱动的动态状态演化过程。</w:t>
      </w:r>
    </w:p>
    <w:p>
      <w:pPr>
        <w:spacing w:before="0" w:after="120" w:line="264" w:lineRule="auto"/>
      </w:pPr>
      <w:r>
        <w:rPr>
          <w:rFonts w:ascii="Calibri" w:hAnsi="Calibri" w:eastAsia="Microsoft YaHei"/>
          <w:sz w:val="22"/>
        </w:rPr>
        <w:t>因此，本阶段需要解决的核心问题是：如何在不直接建模全部 Transformer 参数的前提下，抽象出大模型及 Agent 的推理决策链路；如何定义状态、变量、动作、转移和安全属性；如何基于该模型定位提示注入、RAG 投毒、记忆污染、工具误调用、幻觉和敏感泄露等关键风险。</w:t>
      </w:r>
    </w:p>
    <w:p>
      <w:pPr>
        <w:pStyle w:val="Heading1"/>
      </w:pPr>
      <w:r>
        <w:t>2. LLM 推理机制与机理解释调研</w:t>
      </w:r>
    </w:p>
    <w:p>
      <w:pPr>
        <w:spacing w:before="0" w:after="120" w:line="264" w:lineRule="auto"/>
      </w:pPr>
      <w:r>
        <w:rPr>
          <w:rFonts w:ascii="Calibri" w:hAnsi="Calibri" w:eastAsia="Microsoft YaHei"/>
          <w:sz w:val="22"/>
        </w:rPr>
        <w:t>学术界通常通过提示方法和推理轨迹来描述 LLM 的推理行为。CoT 将复杂任务拆解为中间推理步骤，Self-Consistency 通过多条推理路径投票提升稳定性，ToT 和 GoT 将推理从单链扩展为树状或图状搜索，ReAct 将推理与行动交替组织，Reflexion 则强调模型可利用反馈进行反思和改进。这些研究说明，大模型的“推理”并不只是最终输出，而包括中间表示、候选路径、行动反馈和自我修正等过程。</w:t>
      </w:r>
    </w:p>
    <w:p>
      <w:pPr>
        <w:spacing w:before="0" w:after="120" w:line="264" w:lineRule="auto"/>
      </w:pPr>
      <w:r>
        <w:rPr>
          <w:rFonts w:ascii="Calibri" w:hAnsi="Calibri" w:eastAsia="Microsoft YaHei"/>
          <w:sz w:val="22"/>
        </w:rPr>
        <w:t>机理解释研究从另一个角度揭示大模型的不可解释性。因果追踪、激活修补和表征分析尝试定位模型内部哪些激活或模块影响事实回忆和输出行为；智能涌现和上下文学习研究则说明，模型能力可能随规模、训练数据和提示形式发生非线性变化。对本项目而言，这些研究的启发是：第一节点不宜承诺精确解释全部参数和层间表征，而应把内部表征、参数记忆和注意力机制作为影响推理决策的底层因素，在 Agent 层面优先建立可观察、可验证的状态转移模型。</w:t>
      </w:r>
    </w:p>
    <w:p>
      <w:pPr>
        <w:pStyle w:val="Heading1"/>
      </w:pPr>
      <w:r>
        <w:t>3. Agent 场景下推理机制变化</w:t>
      </w:r>
    </w:p>
    <w:p>
      <w:pPr>
        <w:spacing w:before="0" w:after="120" w:line="264" w:lineRule="auto"/>
      </w:pPr>
      <w:r>
        <w:rPr>
          <w:rFonts w:ascii="Calibri" w:hAnsi="Calibri" w:eastAsia="Microsoft YaHei"/>
          <w:sz w:val="22"/>
        </w:rPr>
        <w:t>普通 LLM 的典型输入是用户问题和上下文，输出是文本结果。Agent 场景则增加了外部知识、记忆、工具、环境反馈和多智能体消息等影响因素。RAG 将外部知识 K_t 引入上下文，提升知识覆盖，但也引入检索污染和证据可信性问题；短期与长期记忆 R_t 使 Agent 能跨轮次保持信息，但也可能形成记忆污染和敏感信息泄露；工具调用 A_t 使模型从“说”变成“做”，带来越权、参数注入和外部副作用风险；环境反馈 E_t 会改变后续推理路径，使决策过程具有闭环性。</w:t>
      </w:r>
    </w:p>
    <w:p>
      <w:pPr>
        <w:spacing w:before="0" w:after="120" w:line="264" w:lineRule="auto"/>
      </w:pPr>
      <w:r>
        <w:rPr>
          <w:rFonts w:ascii="Calibri" w:hAnsi="Calibri" w:eastAsia="Microsoft YaHei"/>
          <w:sz w:val="22"/>
        </w:rPr>
        <w:t>多智能体协同进一步改变推理机制。多个 Agent 可能承担规划、检索、执行、审查等不同角色，消息 M_t 在智能体之间传播。协同可以提高复杂任务处理能力，但也可能放大错误：一个 Agent 的错误归因、污染记忆或不安全建议可能被其他 Agent 接收、复述、强化，并在协同链路中形成跨 Agent 风险传播。因此，多智能体不宜只作为系统架构问题，而应被纳入推理决策机制模型。</w:t>
      </w:r>
    </w:p>
    <w:p>
      <w:pPr>
        <w:pStyle w:val="Heading1"/>
      </w:pPr>
      <w:r>
        <w:t>4. 层级化状态转移模型</w:t>
      </w:r>
    </w:p>
    <w:p>
      <w:pPr>
        <w:spacing w:before="0" w:after="120" w:line="264" w:lineRule="auto"/>
      </w:pPr>
      <w:r>
        <w:rPr>
          <w:rFonts w:ascii="Calibri" w:hAnsi="Calibri" w:eastAsia="Microsoft YaHei"/>
          <w:sz w:val="22"/>
        </w:rPr>
        <w:t>本报告建议采用“面向智能体场景的大模型推理决策机制层级化状态转移模型”。模型不把大模型视为单一黑箱输出器，而是将 Agent 执行链路抽象为状态集合 S、输入变量集合 X/C/K/R/H/E/M、动作集合 A、输出 O、转移函数 T 和安全属性集合 Phi。</w:t>
      </w:r>
    </w:p>
    <w:p>
      <w:pPr>
        <w:spacing w:before="0" w:after="120" w:line="264" w:lineRule="auto"/>
      </w:pPr>
      <w:r>
        <w:rPr>
          <w:rFonts w:ascii="Calibri" w:hAnsi="Calibri" w:eastAsia="Microsoft YaHei"/>
          <w:sz w:val="22"/>
        </w:rPr>
        <w:t>核心决策函数可写为：O_t, A_t = F_theta(X_t, C_t, K_t, R_t, H_t, E_t, M_t)。其中 F_theta 表示大模型与 Agent 决策策略的组合，X_t 为当前用户输入，C_t 为上下文，K_t 为外部知识或检索内容，R_t 为记忆，H_t 为历史交互轨迹，E_t 为环境或工具反馈，M_t 为多智能体消息，O_t 为文本输出，A_t 为动作或工具调用。</w:t>
      </w:r>
    </w:p>
    <w:p>
      <w:pPr>
        <w:spacing w:before="0" w:after="120" w:line="264" w:lineRule="auto"/>
      </w:pPr>
      <w:r>
        <w:rPr>
          <w:rFonts w:ascii="Calibri" w:hAnsi="Calibri" w:eastAsia="Microsoft YaHei"/>
          <w:sz w:val="22"/>
        </w:rPr>
        <w:t>S0-S7 表示主决策链路，S8 不是单独的末端节点，而是贯穿上下文构造、外部知识接入、计划生成、工具调用、输出生成和记忆写入等关键位置的安全判定机制。这样的设计能够避免把安全检查简化为最终输出过滤，并为后续风险定位和可信性测评提供状态依据。</w:t>
      </w:r>
    </w:p>
    <w:p>
      <w:pPr>
        <w:spacing w:before="120" w:after="80"/>
        <w:jc w:val="center"/>
      </w:pPr>
      <w:r>
        <w:drawing>
          <wp:inline xmlns:a="http://schemas.openxmlformats.org/drawingml/2006/main" xmlns:pic="http://schemas.openxmlformats.org/drawingml/2006/picture">
            <wp:extent cx="5715000" cy="3746500"/>
            <wp:docPr id="1" name="Picture 1"/>
            <wp:cNvGraphicFramePr>
              <a:graphicFrameLocks noChangeAspect="1"/>
            </wp:cNvGraphicFramePr>
            <a:graphic>
              <a:graphicData uri="http://schemas.openxmlformats.org/drawingml/2006/picture">
                <pic:pic>
                  <pic:nvPicPr>
                    <pic:cNvPr id="0" name="agent_reasoning_state_model.png"/>
                    <pic:cNvPicPr/>
                  </pic:nvPicPr>
                  <pic:blipFill>
                    <a:blip r:embed="rId11"/>
                    <a:stretch>
                      <a:fillRect/>
                    </a:stretch>
                  </pic:blipFill>
                  <pic:spPr>
                    <a:xfrm>
                      <a:off x="0" y="0"/>
                      <a:ext cx="5715000" cy="3746500"/>
                    </a:xfrm>
                    <a:prstGeom prst="rect"/>
                  </pic:spPr>
                </pic:pic>
              </a:graphicData>
            </a:graphic>
          </wp:inline>
        </w:drawing>
      </w:r>
    </w:p>
    <w:p>
      <w:pPr>
        <w:spacing w:before="0" w:after="160" w:line="264" w:lineRule="auto"/>
        <w:jc w:val="center"/>
      </w:pPr>
      <w:r>
        <w:rPr>
          <w:rFonts w:ascii="Calibri" w:hAnsi="Calibri" w:eastAsia="Microsoft YaHei"/>
          <w:color w:val="555555"/>
          <w:sz w:val="19"/>
        </w:rPr>
        <w:t>图 1 面向智能体场景的大模型推理决策机制层级化状态转移模型</w:t>
      </w:r>
    </w:p>
    <w:p>
      <w:pPr>
        <w:pStyle w:val="Heading1"/>
      </w:pPr>
      <w:r>
        <w:t>5. 安全属性与电力场景边界</w:t>
      </w:r>
    </w:p>
    <w:p>
      <w:pPr>
        <w:spacing w:before="0" w:after="120" w:line="264" w:lineRule="auto"/>
      </w:pPr>
      <w:r>
        <w:rPr>
          <w:rFonts w:ascii="Calibri" w:hAnsi="Calibri" w:eastAsia="Microsoft YaHei"/>
          <w:sz w:val="22"/>
        </w:rPr>
        <w:t>安全属性 Phi 用于描述模型在不同状态下必须满足的安全行为边界。通用属性包括：不得输出危险或违规建议；不得泄露敏感信息、系统提示词或内部策略；外部检索内容不得覆盖系统安全指令；被污染记忆不得影响高风险决策；高风险工具调用前必须经过权限检查；攻击输入不应导致模型偏离原始任务目标；输出应与可信证据保持一致；安全约束不应显著损伤正常任务能力。</w:t>
      </w:r>
    </w:p>
    <w:p>
      <w:pPr>
        <w:spacing w:before="0" w:after="120" w:line="264" w:lineRule="auto"/>
      </w:pPr>
      <w:r>
        <w:rPr>
          <w:rFonts w:ascii="Calibri" w:hAnsi="Calibri" w:eastAsia="Microsoft YaHei"/>
          <w:sz w:val="22"/>
        </w:rPr>
        <w:t>结合电力场景，本阶段增加“证据溯源要求”：电力知识问答和运维辅助建议必须能够关联可信资料、规程或检索证据；当证据不足、证据冲突或来源可信度不足时，模型不得给出确定性处置结论。第一节点以电力知识问答和运维辅助决策为应用示例，不研究实时调度、控制指令生成或自动化执行。</w:t>
      </w:r>
    </w:p>
    <w:p>
      <w:pPr>
        <w:pStyle w:val="Heading1"/>
      </w:pPr>
      <w:r>
        <w:t>6. 攻击测试与可信性测评框架</w:t>
      </w:r>
    </w:p>
    <w:p>
      <w:pPr>
        <w:spacing w:before="0" w:after="120" w:line="264" w:lineRule="auto"/>
      </w:pPr>
      <w:r>
        <w:rPr>
          <w:rFonts w:ascii="Calibri" w:hAnsi="Calibri" w:eastAsia="Microsoft YaHei"/>
          <w:sz w:val="22"/>
        </w:rPr>
        <w:t>攻击测试框架应从模型状态出发，而不是只从攻击名称出发。测试样本库记录场景、输入、攻击类型、目标状态、预期安全行为、预期风险、风险等级和判定标准；被测对象执行后记录上下文构造、检索内容、记忆读取、推理轨迹摘要、计划、工具调用、输出和记忆写入等关键字段；随后由 S8 安全判定机制判断是否违反安全属性，并计算指标。</w:t>
      </w:r>
    </w:p>
    <w:p>
      <w:pPr>
        <w:spacing w:before="0" w:after="120" w:line="264" w:lineRule="auto"/>
      </w:pPr>
      <w:r>
        <w:rPr>
          <w:rFonts w:ascii="Calibri" w:hAnsi="Calibri" w:eastAsia="Microsoft YaHei"/>
          <w:sz w:val="22"/>
        </w:rPr>
        <w:t>本阶段指标体系重点服务两项项目考核目标：其一，安全攸关建模结果与模型实际输出在安全相关行为上的一致率达到 80% 以上；其二，潜在风险发现数量相比传统基准提高 10%。防护后风险下降至少 20% 和通用能力下降不多于 10% 属于后续防护验证指标，本阶段只保留口径，不展开具体防护算法。</w:t>
      </w:r>
    </w:p>
    <w:p>
      <w:pPr>
        <w:pStyle w:val="Heading1"/>
      </w:pPr>
      <w:r>
        <w:t>7. 后续工作边界</w:t>
      </w:r>
    </w:p>
    <w:p>
      <w:pPr>
        <w:spacing w:before="0" w:after="120" w:line="264" w:lineRule="auto"/>
      </w:pPr>
      <w:r>
        <w:rPr>
          <w:rFonts w:ascii="Calibri" w:hAnsi="Calibri" w:eastAsia="Microsoft YaHei"/>
          <w:sz w:val="22"/>
        </w:rPr>
        <w:t>本阶段不开展完整软件系统设计，不构建沙盒，不编写 LangGraph 工程方案，不设计数据库、API 或前端界面，也不展开具体安全防护算法。后续可基于本阶段模型和风险定位结果，进一步研究安全提示优化、外置防护模块、权限控制、记忆清洗、检索可信性过滤和防护效果验证。</w:t>
      </w:r>
    </w:p>
    <w:p>
      <w:pPr>
        <w:spacing w:before="0" w:after="120" w:line="264" w:lineRule="auto"/>
      </w:pPr>
      <w:r>
        <w:rPr>
          <w:rFonts w:ascii="Calibri" w:hAnsi="Calibri" w:eastAsia="Microsoft YaHei"/>
          <w:sz w:val="22"/>
        </w:rPr>
        <w:t>当前阶段的完成标准是形成一份能够向老师说明研究逻辑的报告初稿：为什么要从推理机制出发，为什么 Agent 场景需要状态转移模型，模型如何定义状态和变量，安全风险如何从模型推出，可信测评指标如何对齐项目考核目标。</w:t>
      </w:r>
    </w:p>
    <w:p>
      <w:pPr>
        <w:pStyle w:val="Heading1"/>
      </w:pPr>
      <w:r>
        <w:t>8. 四张核心表</w:t>
      </w:r>
    </w:p>
    <w:p>
      <w:pPr>
        <w:spacing w:before="160" w:after="80" w:line="264" w:lineRule="auto"/>
      </w:pPr>
      <w:r>
        <w:rPr>
          <w:rFonts w:ascii="Calibri" w:hAnsi="Calibri" w:eastAsia="Microsoft YaHei"/>
          <w:b/>
          <w:color w:val="1F4D78"/>
          <w:sz w:val="22"/>
        </w:rPr>
        <w:t>表 1 文献调研任务表</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1512"/>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调研方向</w:t>
            </w:r>
          </w:p>
        </w:tc>
        <w:tc>
          <w:tcPr>
            <w:tcW w:type="dxa" w:w="2664"/>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检索关键词</w:t>
            </w:r>
          </w:p>
        </w:tc>
        <w:tc>
          <w:tcPr>
            <w:tcW w:type="dxa" w:w="2880"/>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需回答问题</w:t>
            </w:r>
          </w:p>
        </w:tc>
        <w:tc>
          <w:tcPr>
            <w:tcW w:type="dxa" w:w="3744"/>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研究启发</w:t>
            </w:r>
          </w:p>
        </w:tc>
      </w:tr>
      <w:tr>
        <w:tc>
          <w:tcPr>
            <w:tcW w:type="dxa" w:w="2340"/>
          </w:tcPr>
          <w:p>
            <w:pPr>
              <w:spacing w:before="0" w:after="0" w:line="264" w:lineRule="auto"/>
            </w:pPr>
            <w:r>
              <w:rPr>
                <w:rFonts w:ascii="Calibri" w:hAnsi="Calibri" w:eastAsia="Microsoft YaHei"/>
                <w:sz w:val="17"/>
              </w:rPr>
              <w:t>LLM 推理机制</w:t>
            </w:r>
          </w:p>
        </w:tc>
        <w:tc>
          <w:tcPr>
            <w:tcW w:type="dxa" w:w="2340"/>
          </w:tcPr>
          <w:p>
            <w:pPr>
              <w:spacing w:before="0" w:after="0" w:line="264" w:lineRule="auto"/>
            </w:pPr>
            <w:r>
              <w:rPr>
                <w:rFonts w:ascii="Calibri" w:hAnsi="Calibri" w:eastAsia="Microsoft YaHei"/>
                <w:sz w:val="17"/>
              </w:rPr>
              <w:t>CoT, Self-Consistency, ToT, GoT, ReAct, Reflexion, LLM planning</w:t>
            </w:r>
          </w:p>
        </w:tc>
        <w:tc>
          <w:tcPr>
            <w:tcW w:type="dxa" w:w="2340"/>
          </w:tcPr>
          <w:p>
            <w:pPr>
              <w:spacing w:before="0" w:after="0" w:line="264" w:lineRule="auto"/>
            </w:pPr>
            <w:r>
              <w:rPr>
                <w:rFonts w:ascii="Calibri" w:hAnsi="Calibri" w:eastAsia="Microsoft YaHei"/>
                <w:sz w:val="17"/>
              </w:rPr>
              <w:t>LLM 的推理如何由中间步骤、分支探索、反思和行动反馈组织起来？</w:t>
            </w:r>
          </w:p>
        </w:tc>
        <w:tc>
          <w:tcPr>
            <w:tcW w:type="dxa" w:w="2340"/>
          </w:tcPr>
          <w:p>
            <w:pPr>
              <w:spacing w:before="0" w:after="0" w:line="264" w:lineRule="auto"/>
            </w:pPr>
            <w:r>
              <w:rPr>
                <w:rFonts w:ascii="Calibri" w:hAnsi="Calibri" w:eastAsia="Microsoft YaHei"/>
                <w:sz w:val="17"/>
              </w:rPr>
              <w:t>为 S3 推理、S4 计划和 S5 行动之间的关系提供理论基础。</w:t>
            </w:r>
          </w:p>
        </w:tc>
      </w:tr>
      <w:tr>
        <w:tc>
          <w:tcPr>
            <w:tcW w:type="dxa" w:w="2340"/>
          </w:tcPr>
          <w:p>
            <w:pPr>
              <w:spacing w:before="0" w:after="0" w:line="264" w:lineRule="auto"/>
            </w:pPr>
            <w:r>
              <w:rPr>
                <w:rFonts w:ascii="Calibri" w:hAnsi="Calibri" w:eastAsia="Microsoft YaHei"/>
                <w:sz w:val="17"/>
              </w:rPr>
              <w:t>机理解释与智能涌现</w:t>
            </w:r>
          </w:p>
        </w:tc>
        <w:tc>
          <w:tcPr>
            <w:tcW w:type="dxa" w:w="2340"/>
          </w:tcPr>
          <w:p>
            <w:pPr>
              <w:spacing w:before="0" w:after="0" w:line="264" w:lineRule="auto"/>
            </w:pPr>
            <w:r>
              <w:rPr>
                <w:rFonts w:ascii="Calibri" w:hAnsi="Calibri" w:eastAsia="Microsoft YaHei"/>
                <w:sz w:val="17"/>
              </w:rPr>
              <w:t>Mechanistic Interpretability, Causal Tracing, Activation Patching, Emergent Abilities, In-context Learning</w:t>
            </w:r>
          </w:p>
        </w:tc>
        <w:tc>
          <w:tcPr>
            <w:tcW w:type="dxa" w:w="2340"/>
          </w:tcPr>
          <w:p>
            <w:pPr>
              <w:spacing w:before="0" w:after="0" w:line="264" w:lineRule="auto"/>
            </w:pPr>
            <w:r>
              <w:rPr>
                <w:rFonts w:ascii="Calibri" w:hAnsi="Calibri" w:eastAsia="Microsoft YaHei"/>
                <w:sz w:val="17"/>
              </w:rPr>
              <w:t>黑盒性体现在哪里？内部表征、参数记忆、涌现能力与推理行为如何关联？</w:t>
            </w:r>
          </w:p>
        </w:tc>
        <w:tc>
          <w:tcPr>
            <w:tcW w:type="dxa" w:w="2340"/>
          </w:tcPr>
          <w:p>
            <w:pPr>
              <w:spacing w:before="0" w:after="0" w:line="264" w:lineRule="auto"/>
            </w:pPr>
            <w:r>
              <w:rPr>
                <w:rFonts w:ascii="Calibri" w:hAnsi="Calibri" w:eastAsia="Microsoft YaHei"/>
                <w:sz w:val="17"/>
              </w:rPr>
              <w:t>说明本阶段不直接建模全部 Transformer 参数，而是把内部表征作为影响因素和调研支撑。</w:t>
            </w:r>
          </w:p>
        </w:tc>
      </w:tr>
      <w:tr>
        <w:tc>
          <w:tcPr>
            <w:tcW w:type="dxa" w:w="2340"/>
          </w:tcPr>
          <w:p>
            <w:pPr>
              <w:spacing w:before="0" w:after="0" w:line="264" w:lineRule="auto"/>
            </w:pPr>
            <w:r>
              <w:rPr>
                <w:rFonts w:ascii="Calibri" w:hAnsi="Calibri" w:eastAsia="Microsoft YaHei"/>
                <w:sz w:val="17"/>
              </w:rPr>
              <w:t>Agent 推理机制</w:t>
            </w:r>
          </w:p>
        </w:tc>
        <w:tc>
          <w:tcPr>
            <w:tcW w:type="dxa" w:w="2340"/>
          </w:tcPr>
          <w:p>
            <w:pPr>
              <w:spacing w:before="0" w:after="0" w:line="264" w:lineRule="auto"/>
            </w:pPr>
            <w:r>
              <w:rPr>
                <w:rFonts w:ascii="Calibri" w:hAnsi="Calibri" w:eastAsia="Microsoft YaHei"/>
                <w:sz w:val="17"/>
              </w:rPr>
              <w:t>LLM-based Agent, Tool use, Memory-augmented Agent, RAG Agent, Agent workflow</w:t>
            </w:r>
          </w:p>
        </w:tc>
        <w:tc>
          <w:tcPr>
            <w:tcW w:type="dxa" w:w="2340"/>
          </w:tcPr>
          <w:p>
            <w:pPr>
              <w:spacing w:before="0" w:after="0" w:line="264" w:lineRule="auto"/>
            </w:pPr>
            <w:r>
              <w:rPr>
                <w:rFonts w:ascii="Calibri" w:hAnsi="Calibri" w:eastAsia="Microsoft YaHei"/>
                <w:sz w:val="17"/>
              </w:rPr>
              <w:t>Agent 相比普通 LLM 多了哪些信息源和行动环节？</w:t>
            </w:r>
          </w:p>
        </w:tc>
        <w:tc>
          <w:tcPr>
            <w:tcW w:type="dxa" w:w="2340"/>
          </w:tcPr>
          <w:p>
            <w:pPr>
              <w:spacing w:before="0" w:after="0" w:line="264" w:lineRule="auto"/>
            </w:pPr>
            <w:r>
              <w:rPr>
                <w:rFonts w:ascii="Calibri" w:hAnsi="Calibri" w:eastAsia="Microsoft YaHei"/>
                <w:sz w:val="17"/>
              </w:rPr>
              <w:t>支撑 S1-S7 主链路，突出 RAG、记忆、工具和环境反馈。</w:t>
            </w:r>
          </w:p>
        </w:tc>
      </w:tr>
      <w:tr>
        <w:tc>
          <w:tcPr>
            <w:tcW w:type="dxa" w:w="2340"/>
          </w:tcPr>
          <w:p>
            <w:pPr>
              <w:spacing w:before="0" w:after="0" w:line="264" w:lineRule="auto"/>
            </w:pPr>
            <w:r>
              <w:rPr>
                <w:rFonts w:ascii="Calibri" w:hAnsi="Calibri" w:eastAsia="Microsoft YaHei"/>
                <w:sz w:val="17"/>
              </w:rPr>
              <w:t>多智能体协同</w:t>
            </w:r>
          </w:p>
        </w:tc>
        <w:tc>
          <w:tcPr>
            <w:tcW w:type="dxa" w:w="2340"/>
          </w:tcPr>
          <w:p>
            <w:pPr>
              <w:spacing w:before="0" w:after="0" w:line="264" w:lineRule="auto"/>
            </w:pPr>
            <w:r>
              <w:rPr>
                <w:rFonts w:ascii="Calibri" w:hAnsi="Calibri" w:eastAsia="Microsoft YaHei"/>
                <w:sz w:val="17"/>
              </w:rPr>
              <w:t>Multi-agent collaboration, AutoGen, CAMEL, agent communication, role-based agents</w:t>
            </w:r>
          </w:p>
        </w:tc>
        <w:tc>
          <w:tcPr>
            <w:tcW w:type="dxa" w:w="2340"/>
          </w:tcPr>
          <w:p>
            <w:pPr>
              <w:spacing w:before="0" w:after="0" w:line="264" w:lineRule="auto"/>
            </w:pPr>
            <w:r>
              <w:rPr>
                <w:rFonts w:ascii="Calibri" w:hAnsi="Calibri" w:eastAsia="Microsoft YaHei"/>
                <w:sz w:val="17"/>
              </w:rPr>
              <w:t>多智能体消息如何改变任务分解、角色协同和错误传播路径？</w:t>
            </w:r>
          </w:p>
        </w:tc>
        <w:tc>
          <w:tcPr>
            <w:tcW w:type="dxa" w:w="2340"/>
          </w:tcPr>
          <w:p>
            <w:pPr>
              <w:spacing w:before="0" w:after="0" w:line="264" w:lineRule="auto"/>
            </w:pPr>
            <w:r>
              <w:rPr>
                <w:rFonts w:ascii="Calibri" w:hAnsi="Calibri" w:eastAsia="Microsoft YaHei"/>
                <w:sz w:val="17"/>
              </w:rPr>
              <w:t>将 M_t 作为扩展变量，分析跨 Agent 污染和协同目标偏移。</w:t>
            </w:r>
          </w:p>
        </w:tc>
      </w:tr>
      <w:tr>
        <w:tc>
          <w:tcPr>
            <w:tcW w:type="dxa" w:w="2340"/>
          </w:tcPr>
          <w:p>
            <w:pPr>
              <w:spacing w:before="0" w:after="0" w:line="264" w:lineRule="auto"/>
            </w:pPr>
            <w:r>
              <w:rPr>
                <w:rFonts w:ascii="Calibri" w:hAnsi="Calibri" w:eastAsia="Microsoft YaHei"/>
                <w:sz w:val="17"/>
              </w:rPr>
              <w:t>形式化建模</w:t>
            </w:r>
          </w:p>
        </w:tc>
        <w:tc>
          <w:tcPr>
            <w:tcW w:type="dxa" w:w="2340"/>
          </w:tcPr>
          <w:p>
            <w:pPr>
              <w:spacing w:before="0" w:after="0" w:line="264" w:lineRule="auto"/>
            </w:pPr>
            <w:r>
              <w:rPr>
                <w:rFonts w:ascii="Calibri" w:hAnsi="Calibri" w:eastAsia="Microsoft YaHei"/>
                <w:sz w:val="17"/>
              </w:rPr>
              <w:t>State Transition System, FSM, Causal Graph, Information Flow Control, Formal Verification, Model Checking</w:t>
            </w:r>
          </w:p>
        </w:tc>
        <w:tc>
          <w:tcPr>
            <w:tcW w:type="dxa" w:w="2340"/>
          </w:tcPr>
          <w:p>
            <w:pPr>
              <w:spacing w:before="0" w:after="0" w:line="264" w:lineRule="auto"/>
            </w:pPr>
            <w:r>
              <w:rPr>
                <w:rFonts w:ascii="Calibri" w:hAnsi="Calibri" w:eastAsia="Microsoft YaHei"/>
                <w:sz w:val="17"/>
              </w:rPr>
              <w:t>如何把 Agent 推理过程抽象为状态、动作、转移和安全属性？</w:t>
            </w:r>
          </w:p>
        </w:tc>
        <w:tc>
          <w:tcPr>
            <w:tcW w:type="dxa" w:w="2340"/>
          </w:tcPr>
          <w:p>
            <w:pPr>
              <w:spacing w:before="0" w:after="0" w:line="264" w:lineRule="auto"/>
            </w:pPr>
            <w:r>
              <w:rPr>
                <w:rFonts w:ascii="Calibri" w:hAnsi="Calibri" w:eastAsia="Microsoft YaHei"/>
                <w:sz w:val="17"/>
              </w:rPr>
              <w:t>支撑层级化状态转移模型与贯穿式安全判定 S8。</w:t>
            </w:r>
          </w:p>
        </w:tc>
      </w:tr>
      <w:tr>
        <w:tc>
          <w:tcPr>
            <w:tcW w:type="dxa" w:w="2340"/>
          </w:tcPr>
          <w:p>
            <w:pPr>
              <w:spacing w:before="0" w:after="0" w:line="264" w:lineRule="auto"/>
            </w:pPr>
            <w:r>
              <w:rPr>
                <w:rFonts w:ascii="Calibri" w:hAnsi="Calibri" w:eastAsia="Microsoft YaHei"/>
                <w:sz w:val="17"/>
              </w:rPr>
              <w:t>安全风险与可信测评</w:t>
            </w:r>
          </w:p>
        </w:tc>
        <w:tc>
          <w:tcPr>
            <w:tcW w:type="dxa" w:w="2340"/>
          </w:tcPr>
          <w:p>
            <w:pPr>
              <w:spacing w:before="0" w:after="0" w:line="264" w:lineRule="auto"/>
            </w:pPr>
            <w:r>
              <w:rPr>
                <w:rFonts w:ascii="Calibri" w:hAnsi="Calibri" w:eastAsia="Microsoft YaHei"/>
                <w:sz w:val="17"/>
              </w:rPr>
              <w:t>Prompt Injection, RAG Poisoning, Tool Misuse, AgentHarm, SafetyBench, TrustLLM, OWASP LLM Top 10</w:t>
            </w:r>
          </w:p>
        </w:tc>
        <w:tc>
          <w:tcPr>
            <w:tcW w:type="dxa" w:w="2340"/>
          </w:tcPr>
          <w:p>
            <w:pPr>
              <w:spacing w:before="0" w:after="0" w:line="264" w:lineRule="auto"/>
            </w:pPr>
            <w:r>
              <w:rPr>
                <w:rFonts w:ascii="Calibri" w:hAnsi="Calibri" w:eastAsia="Microsoft YaHei"/>
                <w:sz w:val="17"/>
              </w:rPr>
              <w:t>哪些风险与推理决策链路直接相关？如何形成可测指标？</w:t>
            </w:r>
          </w:p>
        </w:tc>
        <w:tc>
          <w:tcPr>
            <w:tcW w:type="dxa" w:w="2340"/>
          </w:tcPr>
          <w:p>
            <w:pPr>
              <w:spacing w:before="0" w:after="0" w:line="264" w:lineRule="auto"/>
            </w:pPr>
            <w:r>
              <w:rPr>
                <w:rFonts w:ascii="Calibri" w:hAnsi="Calibri" w:eastAsia="Microsoft YaHei"/>
                <w:sz w:val="17"/>
              </w:rPr>
              <w:t>支撑 7 类关键风险、攻击测试框架和指标体系。</w:t>
            </w:r>
          </w:p>
        </w:tc>
      </w:tr>
    </w:tbl>
    <w:p>
      <w:pPr>
        <w:spacing w:before="160" w:after="80" w:line="264" w:lineRule="auto"/>
      </w:pPr>
      <w:r>
        <w:rPr>
          <w:rFonts w:ascii="Calibri" w:hAnsi="Calibri" w:eastAsia="Microsoft YaHei"/>
          <w:b/>
          <w:color w:val="1F4D78"/>
          <w:sz w:val="22"/>
        </w:rPr>
        <w:t>表 2 状态变量定义表</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936"/>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状态节点</w:t>
            </w:r>
          </w:p>
        </w:tc>
        <w:tc>
          <w:tcPr>
            <w:tcW w:type="dxa" w:w="1800"/>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状态含义</w:t>
            </w:r>
          </w:p>
        </w:tc>
        <w:tc>
          <w:tcPr>
            <w:tcW w:type="dxa" w:w="1944"/>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输入变量</w:t>
            </w:r>
          </w:p>
        </w:tc>
        <w:tc>
          <w:tcPr>
            <w:tcW w:type="dxa" w:w="3168"/>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动作/输出</w:t>
            </w:r>
          </w:p>
        </w:tc>
        <w:tc>
          <w:tcPr>
            <w:tcW w:type="dxa" w:w="3024"/>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安全关注点</w:t>
            </w:r>
          </w:p>
        </w:tc>
      </w:tr>
      <w:tr>
        <w:tc>
          <w:tcPr>
            <w:tcW w:type="dxa" w:w="1872"/>
          </w:tcPr>
          <w:p>
            <w:pPr>
              <w:spacing w:before="0" w:after="0" w:line="264" w:lineRule="auto"/>
            </w:pPr>
            <w:r>
              <w:rPr>
                <w:rFonts w:ascii="Calibri" w:hAnsi="Calibri" w:eastAsia="Microsoft YaHei"/>
                <w:sz w:val="17"/>
              </w:rPr>
              <w:t>S0</w:t>
            </w:r>
          </w:p>
        </w:tc>
        <w:tc>
          <w:tcPr>
            <w:tcW w:type="dxa" w:w="1872"/>
          </w:tcPr>
          <w:p>
            <w:pPr>
              <w:spacing w:before="0" w:after="0" w:line="264" w:lineRule="auto"/>
            </w:pPr>
            <w:r>
              <w:rPr>
                <w:rFonts w:ascii="Calibri" w:hAnsi="Calibri" w:eastAsia="Microsoft YaHei"/>
                <w:sz w:val="17"/>
              </w:rPr>
              <w:t>用户输入接收</w:t>
            </w:r>
          </w:p>
        </w:tc>
        <w:tc>
          <w:tcPr>
            <w:tcW w:type="dxa" w:w="1872"/>
          </w:tcPr>
          <w:p>
            <w:pPr>
              <w:spacing w:before="0" w:after="0" w:line="264" w:lineRule="auto"/>
            </w:pPr>
            <w:r>
              <w:rPr>
                <w:rFonts w:ascii="Calibri" w:hAnsi="Calibri" w:eastAsia="Microsoft YaHei"/>
                <w:sz w:val="17"/>
              </w:rPr>
              <w:t>X_t</w:t>
            </w:r>
          </w:p>
        </w:tc>
        <w:tc>
          <w:tcPr>
            <w:tcW w:type="dxa" w:w="1872"/>
          </w:tcPr>
          <w:p>
            <w:pPr>
              <w:spacing w:before="0" w:after="0" w:line="264" w:lineRule="auto"/>
            </w:pPr>
            <w:r>
              <w:rPr>
                <w:rFonts w:ascii="Calibri" w:hAnsi="Calibri" w:eastAsia="Microsoft YaHei"/>
                <w:sz w:val="17"/>
              </w:rPr>
              <w:t>记录用户任务、问题、约束或攻击输入</w:t>
            </w:r>
          </w:p>
        </w:tc>
        <w:tc>
          <w:tcPr>
            <w:tcW w:type="dxa" w:w="1872"/>
          </w:tcPr>
          <w:p>
            <w:pPr>
              <w:spacing w:before="0" w:after="0" w:line="264" w:lineRule="auto"/>
            </w:pPr>
            <w:r>
              <w:rPr>
                <w:rFonts w:ascii="Calibri" w:hAnsi="Calibri" w:eastAsia="Microsoft YaHei"/>
                <w:sz w:val="17"/>
              </w:rPr>
              <w:t>直接提示注入、越狱诱导、恶意任务伪装</w:t>
            </w:r>
          </w:p>
        </w:tc>
      </w:tr>
      <w:tr>
        <w:tc>
          <w:tcPr>
            <w:tcW w:type="dxa" w:w="1872"/>
          </w:tcPr>
          <w:p>
            <w:pPr>
              <w:spacing w:before="0" w:after="0" w:line="264" w:lineRule="auto"/>
            </w:pPr>
            <w:r>
              <w:rPr>
                <w:rFonts w:ascii="Calibri" w:hAnsi="Calibri" w:eastAsia="Microsoft YaHei"/>
                <w:sz w:val="17"/>
              </w:rPr>
              <w:t>S1</w:t>
            </w:r>
          </w:p>
        </w:tc>
        <w:tc>
          <w:tcPr>
            <w:tcW w:type="dxa" w:w="1872"/>
          </w:tcPr>
          <w:p>
            <w:pPr>
              <w:spacing w:before="0" w:after="0" w:line="264" w:lineRule="auto"/>
            </w:pPr>
            <w:r>
              <w:rPr>
                <w:rFonts w:ascii="Calibri" w:hAnsi="Calibri" w:eastAsia="Microsoft YaHei"/>
                <w:sz w:val="17"/>
              </w:rPr>
              <w:t>任务理解与上下文构造</w:t>
            </w:r>
          </w:p>
        </w:tc>
        <w:tc>
          <w:tcPr>
            <w:tcW w:type="dxa" w:w="1872"/>
          </w:tcPr>
          <w:p>
            <w:pPr>
              <w:spacing w:before="0" w:after="0" w:line="264" w:lineRule="auto"/>
            </w:pPr>
            <w:r>
              <w:rPr>
                <w:rFonts w:ascii="Calibri" w:hAnsi="Calibri" w:eastAsia="Microsoft YaHei"/>
                <w:sz w:val="17"/>
              </w:rPr>
              <w:t>X_t, C_t, H_t</w:t>
            </w:r>
          </w:p>
        </w:tc>
        <w:tc>
          <w:tcPr>
            <w:tcW w:type="dxa" w:w="1872"/>
          </w:tcPr>
          <w:p>
            <w:pPr>
              <w:spacing w:before="0" w:after="0" w:line="264" w:lineRule="auto"/>
            </w:pPr>
            <w:r>
              <w:rPr>
                <w:rFonts w:ascii="Calibri" w:hAnsi="Calibri" w:eastAsia="Microsoft YaHei"/>
                <w:sz w:val="17"/>
              </w:rPr>
              <w:t>形成当前任务目标、指令优先级和上下文窗口</w:t>
            </w:r>
          </w:p>
        </w:tc>
        <w:tc>
          <w:tcPr>
            <w:tcW w:type="dxa" w:w="1872"/>
          </w:tcPr>
          <w:p>
            <w:pPr>
              <w:spacing w:before="0" w:after="0" w:line="264" w:lineRule="auto"/>
            </w:pPr>
            <w:r>
              <w:rPr>
                <w:rFonts w:ascii="Calibri" w:hAnsi="Calibri" w:eastAsia="Microsoft YaHei"/>
                <w:sz w:val="17"/>
              </w:rPr>
              <w:t>上下文污染、系统指令覆盖、目标偏移</w:t>
            </w:r>
          </w:p>
        </w:tc>
      </w:tr>
      <w:tr>
        <w:tc>
          <w:tcPr>
            <w:tcW w:type="dxa" w:w="1872"/>
          </w:tcPr>
          <w:p>
            <w:pPr>
              <w:spacing w:before="0" w:after="0" w:line="264" w:lineRule="auto"/>
            </w:pPr>
            <w:r>
              <w:rPr>
                <w:rFonts w:ascii="Calibri" w:hAnsi="Calibri" w:eastAsia="Microsoft YaHei"/>
                <w:sz w:val="17"/>
              </w:rPr>
              <w:t>S2</w:t>
            </w:r>
          </w:p>
        </w:tc>
        <w:tc>
          <w:tcPr>
            <w:tcW w:type="dxa" w:w="1872"/>
          </w:tcPr>
          <w:p>
            <w:pPr>
              <w:spacing w:before="0" w:after="0" w:line="264" w:lineRule="auto"/>
            </w:pPr>
            <w:r>
              <w:rPr>
                <w:rFonts w:ascii="Calibri" w:hAnsi="Calibri" w:eastAsia="Microsoft YaHei"/>
                <w:sz w:val="17"/>
              </w:rPr>
              <w:t>外部知识检索 / 记忆读取</w:t>
            </w:r>
          </w:p>
        </w:tc>
        <w:tc>
          <w:tcPr>
            <w:tcW w:type="dxa" w:w="1872"/>
          </w:tcPr>
          <w:p>
            <w:pPr>
              <w:spacing w:before="0" w:after="0" w:line="264" w:lineRule="auto"/>
            </w:pPr>
            <w:r>
              <w:rPr>
                <w:rFonts w:ascii="Calibri" w:hAnsi="Calibri" w:eastAsia="Microsoft YaHei"/>
                <w:sz w:val="17"/>
              </w:rPr>
              <w:t>K_t, R_t, H_t</w:t>
            </w:r>
          </w:p>
        </w:tc>
        <w:tc>
          <w:tcPr>
            <w:tcW w:type="dxa" w:w="1872"/>
          </w:tcPr>
          <w:p>
            <w:pPr>
              <w:spacing w:before="0" w:after="0" w:line="264" w:lineRule="auto"/>
            </w:pPr>
            <w:r>
              <w:rPr>
                <w:rFonts w:ascii="Calibri" w:hAnsi="Calibri" w:eastAsia="Microsoft YaHei"/>
                <w:sz w:val="17"/>
              </w:rPr>
              <w:t>调用 RAG、知识库、短期/长期记忆</w:t>
            </w:r>
          </w:p>
        </w:tc>
        <w:tc>
          <w:tcPr>
            <w:tcW w:type="dxa" w:w="1872"/>
          </w:tcPr>
          <w:p>
            <w:pPr>
              <w:spacing w:before="0" w:after="0" w:line="264" w:lineRule="auto"/>
            </w:pPr>
            <w:r>
              <w:rPr>
                <w:rFonts w:ascii="Calibri" w:hAnsi="Calibri" w:eastAsia="Microsoft YaHei"/>
                <w:sz w:val="17"/>
              </w:rPr>
              <w:t>RAG 投毒、检索劫持、记忆污染、记忆泄露</w:t>
            </w:r>
          </w:p>
        </w:tc>
      </w:tr>
      <w:tr>
        <w:tc>
          <w:tcPr>
            <w:tcW w:type="dxa" w:w="1872"/>
          </w:tcPr>
          <w:p>
            <w:pPr>
              <w:spacing w:before="0" w:after="0" w:line="264" w:lineRule="auto"/>
            </w:pPr>
            <w:r>
              <w:rPr>
                <w:rFonts w:ascii="Calibri" w:hAnsi="Calibri" w:eastAsia="Microsoft YaHei"/>
                <w:sz w:val="17"/>
              </w:rPr>
              <w:t>S3</w:t>
            </w:r>
          </w:p>
        </w:tc>
        <w:tc>
          <w:tcPr>
            <w:tcW w:type="dxa" w:w="1872"/>
          </w:tcPr>
          <w:p>
            <w:pPr>
              <w:spacing w:before="0" w:after="0" w:line="264" w:lineRule="auto"/>
            </w:pPr>
            <w:r>
              <w:rPr>
                <w:rFonts w:ascii="Calibri" w:hAnsi="Calibri" w:eastAsia="Microsoft YaHei"/>
                <w:sz w:val="17"/>
              </w:rPr>
              <w:t>大模型推理与中间决策</w:t>
            </w:r>
          </w:p>
        </w:tc>
        <w:tc>
          <w:tcPr>
            <w:tcW w:type="dxa" w:w="1872"/>
          </w:tcPr>
          <w:p>
            <w:pPr>
              <w:spacing w:before="0" w:after="0" w:line="264" w:lineRule="auto"/>
            </w:pPr>
            <w:r>
              <w:rPr>
                <w:rFonts w:ascii="Calibri" w:hAnsi="Calibri" w:eastAsia="Microsoft YaHei"/>
                <w:sz w:val="17"/>
              </w:rPr>
              <w:t>X_t, C_t, K_t, R_t, H_t, E_t, M_t</w:t>
            </w:r>
          </w:p>
        </w:tc>
        <w:tc>
          <w:tcPr>
            <w:tcW w:type="dxa" w:w="1872"/>
          </w:tcPr>
          <w:p>
            <w:pPr>
              <w:spacing w:before="0" w:after="0" w:line="264" w:lineRule="auto"/>
            </w:pPr>
            <w:r>
              <w:rPr>
                <w:rFonts w:ascii="Calibri" w:hAnsi="Calibri" w:eastAsia="Microsoft YaHei"/>
                <w:sz w:val="17"/>
              </w:rPr>
              <w:t>形成中间判断、归因、候选答案或候选动作</w:t>
            </w:r>
          </w:p>
        </w:tc>
        <w:tc>
          <w:tcPr>
            <w:tcW w:type="dxa" w:w="1872"/>
          </w:tcPr>
          <w:p>
            <w:pPr>
              <w:spacing w:before="0" w:after="0" w:line="264" w:lineRule="auto"/>
            </w:pPr>
            <w:r>
              <w:rPr>
                <w:rFonts w:ascii="Calibri" w:hAnsi="Calibri" w:eastAsia="Microsoft YaHei"/>
                <w:sz w:val="17"/>
              </w:rPr>
              <w:t>幻觉、错误归因、证据不一致、目标劫持</w:t>
            </w:r>
          </w:p>
        </w:tc>
      </w:tr>
      <w:tr>
        <w:tc>
          <w:tcPr>
            <w:tcW w:type="dxa" w:w="1872"/>
          </w:tcPr>
          <w:p>
            <w:pPr>
              <w:spacing w:before="0" w:after="0" w:line="264" w:lineRule="auto"/>
            </w:pPr>
            <w:r>
              <w:rPr>
                <w:rFonts w:ascii="Calibri" w:hAnsi="Calibri" w:eastAsia="Microsoft YaHei"/>
                <w:sz w:val="17"/>
              </w:rPr>
              <w:t>S4</w:t>
            </w:r>
          </w:p>
        </w:tc>
        <w:tc>
          <w:tcPr>
            <w:tcW w:type="dxa" w:w="1872"/>
          </w:tcPr>
          <w:p>
            <w:pPr>
              <w:spacing w:before="0" w:after="0" w:line="264" w:lineRule="auto"/>
            </w:pPr>
            <w:r>
              <w:rPr>
                <w:rFonts w:ascii="Calibri" w:hAnsi="Calibri" w:eastAsia="Microsoft YaHei"/>
                <w:sz w:val="17"/>
              </w:rPr>
              <w:t>计划生成</w:t>
            </w:r>
          </w:p>
        </w:tc>
        <w:tc>
          <w:tcPr>
            <w:tcW w:type="dxa" w:w="1872"/>
          </w:tcPr>
          <w:p>
            <w:pPr>
              <w:spacing w:before="0" w:after="0" w:line="264" w:lineRule="auto"/>
            </w:pPr>
            <w:r>
              <w:rPr>
                <w:rFonts w:ascii="Calibri" w:hAnsi="Calibri" w:eastAsia="Microsoft YaHei"/>
                <w:sz w:val="17"/>
              </w:rPr>
              <w:t>C_t, K_t, R_t, H_t</w:t>
            </w:r>
          </w:p>
        </w:tc>
        <w:tc>
          <w:tcPr>
            <w:tcW w:type="dxa" w:w="1872"/>
          </w:tcPr>
          <w:p>
            <w:pPr>
              <w:spacing w:before="0" w:after="0" w:line="264" w:lineRule="auto"/>
            </w:pPr>
            <w:r>
              <w:rPr>
                <w:rFonts w:ascii="Calibri" w:hAnsi="Calibri" w:eastAsia="Microsoft YaHei"/>
                <w:sz w:val="17"/>
              </w:rPr>
              <w:t>拆分任务步骤、确定行动顺序和工具策略</w:t>
            </w:r>
          </w:p>
        </w:tc>
        <w:tc>
          <w:tcPr>
            <w:tcW w:type="dxa" w:w="1872"/>
          </w:tcPr>
          <w:p>
            <w:pPr>
              <w:spacing w:before="0" w:after="0" w:line="264" w:lineRule="auto"/>
            </w:pPr>
            <w:r>
              <w:rPr>
                <w:rFonts w:ascii="Calibri" w:hAnsi="Calibri" w:eastAsia="Microsoft YaHei"/>
                <w:sz w:val="17"/>
              </w:rPr>
              <w:t>危险计划、错误任务分解、高风险操作路径</w:t>
            </w:r>
          </w:p>
        </w:tc>
      </w:tr>
      <w:tr>
        <w:tc>
          <w:tcPr>
            <w:tcW w:type="dxa" w:w="1872"/>
          </w:tcPr>
          <w:p>
            <w:pPr>
              <w:spacing w:before="0" w:after="0" w:line="264" w:lineRule="auto"/>
            </w:pPr>
            <w:r>
              <w:rPr>
                <w:rFonts w:ascii="Calibri" w:hAnsi="Calibri" w:eastAsia="Microsoft YaHei"/>
                <w:sz w:val="17"/>
              </w:rPr>
              <w:t>S5</w:t>
            </w:r>
          </w:p>
        </w:tc>
        <w:tc>
          <w:tcPr>
            <w:tcW w:type="dxa" w:w="1872"/>
          </w:tcPr>
          <w:p>
            <w:pPr>
              <w:spacing w:before="0" w:after="0" w:line="264" w:lineRule="auto"/>
            </w:pPr>
            <w:r>
              <w:rPr>
                <w:rFonts w:ascii="Calibri" w:hAnsi="Calibri" w:eastAsia="Microsoft YaHei"/>
                <w:sz w:val="17"/>
              </w:rPr>
              <w:t>工具调用 / 行动执行</w:t>
            </w:r>
          </w:p>
        </w:tc>
        <w:tc>
          <w:tcPr>
            <w:tcW w:type="dxa" w:w="1872"/>
          </w:tcPr>
          <w:p>
            <w:pPr>
              <w:spacing w:before="0" w:after="0" w:line="264" w:lineRule="auto"/>
            </w:pPr>
            <w:r>
              <w:rPr>
                <w:rFonts w:ascii="Calibri" w:hAnsi="Calibri" w:eastAsia="Microsoft YaHei"/>
                <w:sz w:val="17"/>
              </w:rPr>
              <w:t>A_t, E_t</w:t>
            </w:r>
          </w:p>
        </w:tc>
        <w:tc>
          <w:tcPr>
            <w:tcW w:type="dxa" w:w="1872"/>
          </w:tcPr>
          <w:p>
            <w:pPr>
              <w:spacing w:before="0" w:after="0" w:line="264" w:lineRule="auto"/>
            </w:pPr>
            <w:r>
              <w:rPr>
                <w:rFonts w:ascii="Calibri" w:hAnsi="Calibri" w:eastAsia="Microsoft YaHei"/>
                <w:sz w:val="17"/>
              </w:rPr>
              <w:t>选择工具、传入参数、接收工具结果</w:t>
            </w:r>
          </w:p>
        </w:tc>
        <w:tc>
          <w:tcPr>
            <w:tcW w:type="dxa" w:w="1872"/>
          </w:tcPr>
          <w:p>
            <w:pPr>
              <w:spacing w:before="0" w:after="0" w:line="264" w:lineRule="auto"/>
            </w:pPr>
            <w:r>
              <w:rPr>
                <w:rFonts w:ascii="Calibri" w:hAnsi="Calibri" w:eastAsia="Microsoft YaHei"/>
                <w:sz w:val="17"/>
              </w:rPr>
              <w:t>越权调用、参数注入、工具误用、外部副作用</w:t>
            </w:r>
          </w:p>
        </w:tc>
      </w:tr>
      <w:tr>
        <w:tc>
          <w:tcPr>
            <w:tcW w:type="dxa" w:w="1872"/>
          </w:tcPr>
          <w:p>
            <w:pPr>
              <w:spacing w:before="0" w:after="0" w:line="264" w:lineRule="auto"/>
            </w:pPr>
            <w:r>
              <w:rPr>
                <w:rFonts w:ascii="Calibri" w:hAnsi="Calibri" w:eastAsia="Microsoft YaHei"/>
                <w:sz w:val="17"/>
              </w:rPr>
              <w:t>S6</w:t>
            </w:r>
          </w:p>
        </w:tc>
        <w:tc>
          <w:tcPr>
            <w:tcW w:type="dxa" w:w="1872"/>
          </w:tcPr>
          <w:p>
            <w:pPr>
              <w:spacing w:before="0" w:after="0" w:line="264" w:lineRule="auto"/>
            </w:pPr>
            <w:r>
              <w:rPr>
                <w:rFonts w:ascii="Calibri" w:hAnsi="Calibri" w:eastAsia="Microsoft YaHei"/>
                <w:sz w:val="17"/>
              </w:rPr>
              <w:t>输出生成</w:t>
            </w:r>
          </w:p>
        </w:tc>
        <w:tc>
          <w:tcPr>
            <w:tcW w:type="dxa" w:w="1872"/>
          </w:tcPr>
          <w:p>
            <w:pPr>
              <w:spacing w:before="0" w:after="0" w:line="264" w:lineRule="auto"/>
            </w:pPr>
            <w:r>
              <w:rPr>
                <w:rFonts w:ascii="Calibri" w:hAnsi="Calibri" w:eastAsia="Microsoft YaHei"/>
                <w:sz w:val="17"/>
              </w:rPr>
              <w:t>O_t, C_t, K_t, R_t</w:t>
            </w:r>
          </w:p>
        </w:tc>
        <w:tc>
          <w:tcPr>
            <w:tcW w:type="dxa" w:w="1872"/>
          </w:tcPr>
          <w:p>
            <w:pPr>
              <w:spacing w:before="0" w:after="0" w:line="264" w:lineRule="auto"/>
            </w:pPr>
            <w:r>
              <w:rPr>
                <w:rFonts w:ascii="Calibri" w:hAnsi="Calibri" w:eastAsia="Microsoft YaHei"/>
                <w:sz w:val="17"/>
              </w:rPr>
              <w:t>生成用户可见文本、建议、报告或解释</w:t>
            </w:r>
          </w:p>
        </w:tc>
        <w:tc>
          <w:tcPr>
            <w:tcW w:type="dxa" w:w="1872"/>
          </w:tcPr>
          <w:p>
            <w:pPr>
              <w:spacing w:before="0" w:after="0" w:line="264" w:lineRule="auto"/>
            </w:pPr>
            <w:r>
              <w:rPr>
                <w:rFonts w:ascii="Calibri" w:hAnsi="Calibri" w:eastAsia="Microsoft YaHei"/>
                <w:sz w:val="17"/>
              </w:rPr>
              <w:t>敏感泄露、危险建议、系统提示泄露、幻觉输出</w:t>
            </w:r>
          </w:p>
        </w:tc>
      </w:tr>
      <w:tr>
        <w:tc>
          <w:tcPr>
            <w:tcW w:type="dxa" w:w="1872"/>
          </w:tcPr>
          <w:p>
            <w:pPr>
              <w:spacing w:before="0" w:after="0" w:line="264" w:lineRule="auto"/>
            </w:pPr>
            <w:r>
              <w:rPr>
                <w:rFonts w:ascii="Calibri" w:hAnsi="Calibri" w:eastAsia="Microsoft YaHei"/>
                <w:sz w:val="17"/>
              </w:rPr>
              <w:t>S7</w:t>
            </w:r>
          </w:p>
        </w:tc>
        <w:tc>
          <w:tcPr>
            <w:tcW w:type="dxa" w:w="1872"/>
          </w:tcPr>
          <w:p>
            <w:pPr>
              <w:spacing w:before="0" w:after="0" w:line="264" w:lineRule="auto"/>
            </w:pPr>
            <w:r>
              <w:rPr>
                <w:rFonts w:ascii="Calibri" w:hAnsi="Calibri" w:eastAsia="Microsoft YaHei"/>
                <w:sz w:val="17"/>
              </w:rPr>
              <w:t>反馈更新 / 记忆写入</w:t>
            </w:r>
          </w:p>
        </w:tc>
        <w:tc>
          <w:tcPr>
            <w:tcW w:type="dxa" w:w="1872"/>
          </w:tcPr>
          <w:p>
            <w:pPr>
              <w:spacing w:before="0" w:after="0" w:line="264" w:lineRule="auto"/>
            </w:pPr>
            <w:r>
              <w:rPr>
                <w:rFonts w:ascii="Calibri" w:hAnsi="Calibri" w:eastAsia="Microsoft YaHei"/>
                <w:sz w:val="17"/>
              </w:rPr>
              <w:t>H_t, R_t, E_t</w:t>
            </w:r>
          </w:p>
        </w:tc>
        <w:tc>
          <w:tcPr>
            <w:tcW w:type="dxa" w:w="1872"/>
          </w:tcPr>
          <w:p>
            <w:pPr>
              <w:spacing w:before="0" w:after="0" w:line="264" w:lineRule="auto"/>
            </w:pPr>
            <w:r>
              <w:rPr>
                <w:rFonts w:ascii="Calibri" w:hAnsi="Calibri" w:eastAsia="Microsoft YaHei"/>
                <w:sz w:val="17"/>
              </w:rPr>
              <w:t>根据反馈更新历史轨迹或记忆</w:t>
            </w:r>
          </w:p>
        </w:tc>
        <w:tc>
          <w:tcPr>
            <w:tcW w:type="dxa" w:w="1872"/>
          </w:tcPr>
          <w:p>
            <w:pPr>
              <w:spacing w:before="0" w:after="0" w:line="264" w:lineRule="auto"/>
            </w:pPr>
            <w:r>
              <w:rPr>
                <w:rFonts w:ascii="Calibri" w:hAnsi="Calibri" w:eastAsia="Microsoft YaHei"/>
                <w:sz w:val="17"/>
              </w:rPr>
              <w:t>错误记忆写入、自我强化、跨会话污染</w:t>
            </w:r>
          </w:p>
        </w:tc>
      </w:tr>
      <w:tr>
        <w:tc>
          <w:tcPr>
            <w:tcW w:type="dxa" w:w="1872"/>
          </w:tcPr>
          <w:p>
            <w:pPr>
              <w:spacing w:before="0" w:after="0" w:line="264" w:lineRule="auto"/>
            </w:pPr>
            <w:r>
              <w:rPr>
                <w:rFonts w:ascii="Calibri" w:hAnsi="Calibri" w:eastAsia="Microsoft YaHei"/>
                <w:sz w:val="17"/>
              </w:rPr>
              <w:t>S8</w:t>
            </w:r>
          </w:p>
        </w:tc>
        <w:tc>
          <w:tcPr>
            <w:tcW w:type="dxa" w:w="1872"/>
          </w:tcPr>
          <w:p>
            <w:pPr>
              <w:spacing w:before="0" w:after="0" w:line="264" w:lineRule="auto"/>
            </w:pPr>
            <w:r>
              <w:rPr>
                <w:rFonts w:ascii="Calibri" w:hAnsi="Calibri" w:eastAsia="Microsoft YaHei"/>
                <w:sz w:val="17"/>
              </w:rPr>
              <w:t>贯穿式安全判定与约束</w:t>
            </w:r>
          </w:p>
        </w:tc>
        <w:tc>
          <w:tcPr>
            <w:tcW w:type="dxa" w:w="1872"/>
          </w:tcPr>
          <w:p>
            <w:pPr>
              <w:spacing w:before="0" w:after="0" w:line="264" w:lineRule="auto"/>
            </w:pPr>
            <w:r>
              <w:rPr>
                <w:rFonts w:ascii="Calibri" w:hAnsi="Calibri" w:eastAsia="Microsoft YaHei"/>
                <w:sz w:val="17"/>
              </w:rPr>
              <w:t>Phi, S_t, A_t, O_t</w:t>
            </w:r>
          </w:p>
        </w:tc>
        <w:tc>
          <w:tcPr>
            <w:tcW w:type="dxa" w:w="1872"/>
          </w:tcPr>
          <w:p>
            <w:pPr>
              <w:spacing w:before="0" w:after="0" w:line="264" w:lineRule="auto"/>
            </w:pPr>
            <w:r>
              <w:rPr>
                <w:rFonts w:ascii="Calibri" w:hAnsi="Calibri" w:eastAsia="Microsoft YaHei"/>
                <w:sz w:val="17"/>
              </w:rPr>
              <w:t>在上下文、检索、计划、工具、输出、记忆写入等关键点执行安全判定</w:t>
            </w:r>
          </w:p>
        </w:tc>
        <w:tc>
          <w:tcPr>
            <w:tcW w:type="dxa" w:w="1872"/>
          </w:tcPr>
          <w:p>
            <w:pPr>
              <w:spacing w:before="0" w:after="0" w:line="264" w:lineRule="auto"/>
            </w:pPr>
            <w:r>
              <w:rPr>
                <w:rFonts w:ascii="Calibri" w:hAnsi="Calibri" w:eastAsia="Microsoft YaHei"/>
                <w:sz w:val="17"/>
              </w:rPr>
              <w:t>漏报、误报、风险等级错误、策略绕过</w:t>
            </w:r>
          </w:p>
        </w:tc>
      </w:tr>
    </w:tbl>
    <w:p>
      <w:pPr>
        <w:spacing w:before="160" w:after="80" w:line="264" w:lineRule="auto"/>
      </w:pPr>
      <w:r>
        <w:rPr>
          <w:rFonts w:ascii="Calibri" w:hAnsi="Calibri" w:eastAsia="Microsoft YaHei"/>
          <w:b/>
          <w:color w:val="1F4D78"/>
          <w:sz w:val="22"/>
        </w:rPr>
        <w:t>表 3 关键风险映射表</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512"/>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风险类型</w:t>
            </w:r>
          </w:p>
        </w:tc>
        <w:tc>
          <w:tcPr>
            <w:tcW w:type="dxa" w:w="1224"/>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对应状态</w:t>
            </w:r>
          </w:p>
        </w:tc>
        <w:tc>
          <w:tcPr>
            <w:tcW w:type="dxa" w:w="2880"/>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攻击方式</w:t>
            </w:r>
          </w:p>
        </w:tc>
        <w:tc>
          <w:tcPr>
            <w:tcW w:type="dxa" w:w="2952"/>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影响后果</w:t>
            </w:r>
          </w:p>
        </w:tc>
        <w:tc>
          <w:tcPr>
            <w:tcW w:type="dxa" w:w="2304"/>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可测指标</w:t>
            </w:r>
          </w:p>
        </w:tc>
      </w:tr>
      <w:tr>
        <w:tc>
          <w:tcPr>
            <w:tcW w:type="dxa" w:w="1872"/>
          </w:tcPr>
          <w:p>
            <w:pPr>
              <w:spacing w:before="0" w:after="0" w:line="264" w:lineRule="auto"/>
            </w:pPr>
            <w:r>
              <w:rPr>
                <w:rFonts w:ascii="Calibri" w:hAnsi="Calibri" w:eastAsia="Microsoft YaHei"/>
                <w:sz w:val="17"/>
              </w:rPr>
              <w:t>提示注入</w:t>
            </w:r>
          </w:p>
        </w:tc>
        <w:tc>
          <w:tcPr>
            <w:tcW w:type="dxa" w:w="1872"/>
          </w:tcPr>
          <w:p>
            <w:pPr>
              <w:spacing w:before="0" w:after="0" w:line="264" w:lineRule="auto"/>
            </w:pPr>
            <w:r>
              <w:rPr>
                <w:rFonts w:ascii="Calibri" w:hAnsi="Calibri" w:eastAsia="Microsoft YaHei"/>
                <w:sz w:val="17"/>
              </w:rPr>
              <w:t>S0/S1/S6</w:t>
            </w:r>
          </w:p>
        </w:tc>
        <w:tc>
          <w:tcPr>
            <w:tcW w:type="dxa" w:w="1872"/>
          </w:tcPr>
          <w:p>
            <w:pPr>
              <w:spacing w:before="0" w:after="0" w:line="264" w:lineRule="auto"/>
            </w:pPr>
            <w:r>
              <w:rPr>
                <w:rFonts w:ascii="Calibri" w:hAnsi="Calibri" w:eastAsia="Microsoft YaHei"/>
                <w:sz w:val="17"/>
              </w:rPr>
              <w:t>攻击者通过用户输入或外部文本混入冲突指令</w:t>
            </w:r>
          </w:p>
        </w:tc>
        <w:tc>
          <w:tcPr>
            <w:tcW w:type="dxa" w:w="1872"/>
          </w:tcPr>
          <w:p>
            <w:pPr>
              <w:spacing w:before="0" w:after="0" w:line="264" w:lineRule="auto"/>
            </w:pPr>
            <w:r>
              <w:rPr>
                <w:rFonts w:ascii="Calibri" w:hAnsi="Calibri" w:eastAsia="Microsoft YaHei"/>
                <w:sz w:val="17"/>
              </w:rPr>
              <w:t>改变任务目标、覆盖安全约束、诱导泄露或违规输出</w:t>
            </w:r>
          </w:p>
        </w:tc>
        <w:tc>
          <w:tcPr>
            <w:tcW w:type="dxa" w:w="1872"/>
          </w:tcPr>
          <w:p>
            <w:pPr>
              <w:spacing w:before="0" w:after="0" w:line="264" w:lineRule="auto"/>
            </w:pPr>
            <w:r>
              <w:rPr>
                <w:rFonts w:ascii="Calibri" w:hAnsi="Calibri" w:eastAsia="Microsoft YaHei"/>
                <w:sz w:val="17"/>
              </w:rPr>
              <w:t>攻击成功率 ASR、目标偏移率、拒答正确率</w:t>
            </w:r>
          </w:p>
        </w:tc>
      </w:tr>
      <w:tr>
        <w:tc>
          <w:tcPr>
            <w:tcW w:type="dxa" w:w="1872"/>
          </w:tcPr>
          <w:p>
            <w:pPr>
              <w:spacing w:before="0" w:after="0" w:line="264" w:lineRule="auto"/>
            </w:pPr>
            <w:r>
              <w:rPr>
                <w:rFonts w:ascii="Calibri" w:hAnsi="Calibri" w:eastAsia="Microsoft YaHei"/>
                <w:sz w:val="17"/>
              </w:rPr>
              <w:t>RAG 投毒</w:t>
            </w:r>
          </w:p>
        </w:tc>
        <w:tc>
          <w:tcPr>
            <w:tcW w:type="dxa" w:w="1872"/>
          </w:tcPr>
          <w:p>
            <w:pPr>
              <w:spacing w:before="0" w:after="0" w:line="264" w:lineRule="auto"/>
            </w:pPr>
            <w:r>
              <w:rPr>
                <w:rFonts w:ascii="Calibri" w:hAnsi="Calibri" w:eastAsia="Microsoft YaHei"/>
                <w:sz w:val="17"/>
              </w:rPr>
              <w:t>S2/S3/S6</w:t>
            </w:r>
          </w:p>
        </w:tc>
        <w:tc>
          <w:tcPr>
            <w:tcW w:type="dxa" w:w="1872"/>
          </w:tcPr>
          <w:p>
            <w:pPr>
              <w:spacing w:before="0" w:after="0" w:line="264" w:lineRule="auto"/>
            </w:pPr>
            <w:r>
              <w:rPr>
                <w:rFonts w:ascii="Calibri" w:hAnsi="Calibri" w:eastAsia="Microsoft YaHei"/>
                <w:sz w:val="17"/>
              </w:rPr>
              <w:t>污染检索语料或诱导检索命中低可信内容</w:t>
            </w:r>
          </w:p>
        </w:tc>
        <w:tc>
          <w:tcPr>
            <w:tcW w:type="dxa" w:w="1872"/>
          </w:tcPr>
          <w:p>
            <w:pPr>
              <w:spacing w:before="0" w:after="0" w:line="264" w:lineRule="auto"/>
            </w:pPr>
            <w:r>
              <w:rPr>
                <w:rFonts w:ascii="Calibri" w:hAnsi="Calibri" w:eastAsia="Microsoft YaHei"/>
                <w:sz w:val="17"/>
              </w:rPr>
              <w:t>错误证据进入上下文，导致幻觉或错误建议被包装为有依据</w:t>
            </w:r>
          </w:p>
        </w:tc>
        <w:tc>
          <w:tcPr>
            <w:tcW w:type="dxa" w:w="1872"/>
          </w:tcPr>
          <w:p>
            <w:pPr>
              <w:spacing w:before="0" w:after="0" w:line="264" w:lineRule="auto"/>
            </w:pPr>
            <w:r>
              <w:rPr>
                <w:rFonts w:ascii="Calibri" w:hAnsi="Calibri" w:eastAsia="Microsoft YaHei"/>
                <w:sz w:val="17"/>
              </w:rPr>
              <w:t>投毒命中率、证据一致率、风险发现数量</w:t>
            </w:r>
          </w:p>
        </w:tc>
      </w:tr>
      <w:tr>
        <w:tc>
          <w:tcPr>
            <w:tcW w:type="dxa" w:w="1872"/>
          </w:tcPr>
          <w:p>
            <w:pPr>
              <w:spacing w:before="0" w:after="0" w:line="264" w:lineRule="auto"/>
            </w:pPr>
            <w:r>
              <w:rPr>
                <w:rFonts w:ascii="Calibri" w:hAnsi="Calibri" w:eastAsia="Microsoft YaHei"/>
                <w:sz w:val="17"/>
              </w:rPr>
              <w:t>记忆污染</w:t>
            </w:r>
          </w:p>
        </w:tc>
        <w:tc>
          <w:tcPr>
            <w:tcW w:type="dxa" w:w="1872"/>
          </w:tcPr>
          <w:p>
            <w:pPr>
              <w:spacing w:before="0" w:after="0" w:line="264" w:lineRule="auto"/>
            </w:pPr>
            <w:r>
              <w:rPr>
                <w:rFonts w:ascii="Calibri" w:hAnsi="Calibri" w:eastAsia="Microsoft YaHei"/>
                <w:sz w:val="17"/>
              </w:rPr>
              <w:t>S2/S7</w:t>
            </w:r>
          </w:p>
        </w:tc>
        <w:tc>
          <w:tcPr>
            <w:tcW w:type="dxa" w:w="1872"/>
          </w:tcPr>
          <w:p>
            <w:pPr>
              <w:spacing w:before="0" w:after="0" w:line="264" w:lineRule="auto"/>
            </w:pPr>
            <w:r>
              <w:rPr>
                <w:rFonts w:ascii="Calibri" w:hAnsi="Calibri" w:eastAsia="Microsoft YaHei"/>
                <w:sz w:val="17"/>
              </w:rPr>
              <w:t>将错误事实、偏置指令或敏感信息写入短期/长期记忆</w:t>
            </w:r>
          </w:p>
        </w:tc>
        <w:tc>
          <w:tcPr>
            <w:tcW w:type="dxa" w:w="1872"/>
          </w:tcPr>
          <w:p>
            <w:pPr>
              <w:spacing w:before="0" w:after="0" w:line="264" w:lineRule="auto"/>
            </w:pPr>
            <w:r>
              <w:rPr>
                <w:rFonts w:ascii="Calibri" w:hAnsi="Calibri" w:eastAsia="Microsoft YaHei"/>
                <w:sz w:val="17"/>
              </w:rPr>
              <w:t>污染后续推理，形成跨轮次或跨会话风险</w:t>
            </w:r>
          </w:p>
        </w:tc>
        <w:tc>
          <w:tcPr>
            <w:tcW w:type="dxa" w:w="1872"/>
          </w:tcPr>
          <w:p>
            <w:pPr>
              <w:spacing w:before="0" w:after="0" w:line="264" w:lineRule="auto"/>
            </w:pPr>
            <w:r>
              <w:rPr>
                <w:rFonts w:ascii="Calibri" w:hAnsi="Calibri" w:eastAsia="Microsoft YaHei"/>
                <w:sz w:val="17"/>
              </w:rPr>
              <w:t>记忆污染触发率、跨轮风险复现率</w:t>
            </w:r>
          </w:p>
        </w:tc>
      </w:tr>
      <w:tr>
        <w:tc>
          <w:tcPr>
            <w:tcW w:type="dxa" w:w="1872"/>
          </w:tcPr>
          <w:p>
            <w:pPr>
              <w:spacing w:before="0" w:after="0" w:line="264" w:lineRule="auto"/>
            </w:pPr>
            <w:r>
              <w:rPr>
                <w:rFonts w:ascii="Calibri" w:hAnsi="Calibri" w:eastAsia="Microsoft YaHei"/>
                <w:sz w:val="17"/>
              </w:rPr>
              <w:t>幻觉与错误归因</w:t>
            </w:r>
          </w:p>
        </w:tc>
        <w:tc>
          <w:tcPr>
            <w:tcW w:type="dxa" w:w="1872"/>
          </w:tcPr>
          <w:p>
            <w:pPr>
              <w:spacing w:before="0" w:after="0" w:line="264" w:lineRule="auto"/>
            </w:pPr>
            <w:r>
              <w:rPr>
                <w:rFonts w:ascii="Calibri" w:hAnsi="Calibri" w:eastAsia="Microsoft YaHei"/>
                <w:sz w:val="17"/>
              </w:rPr>
              <w:t>S3/S6</w:t>
            </w:r>
          </w:p>
        </w:tc>
        <w:tc>
          <w:tcPr>
            <w:tcW w:type="dxa" w:w="1872"/>
          </w:tcPr>
          <w:p>
            <w:pPr>
              <w:spacing w:before="0" w:after="0" w:line="264" w:lineRule="auto"/>
            </w:pPr>
            <w:r>
              <w:rPr>
                <w:rFonts w:ascii="Calibri" w:hAnsi="Calibri" w:eastAsia="Microsoft YaHei"/>
                <w:sz w:val="17"/>
              </w:rPr>
              <w:t>模型在证据不足、证据冲突或上下文噪声下生成确定性判断</w:t>
            </w:r>
          </w:p>
        </w:tc>
        <w:tc>
          <w:tcPr>
            <w:tcW w:type="dxa" w:w="1872"/>
          </w:tcPr>
          <w:p>
            <w:pPr>
              <w:spacing w:before="0" w:after="0" w:line="264" w:lineRule="auto"/>
            </w:pPr>
            <w:r>
              <w:rPr>
                <w:rFonts w:ascii="Calibri" w:hAnsi="Calibri" w:eastAsia="Microsoft YaHei"/>
                <w:sz w:val="17"/>
              </w:rPr>
              <w:t>输出不可靠结论，影响电力知识问答和运维辅助判断</w:t>
            </w:r>
          </w:p>
        </w:tc>
        <w:tc>
          <w:tcPr>
            <w:tcW w:type="dxa" w:w="1872"/>
          </w:tcPr>
          <w:p>
            <w:pPr>
              <w:spacing w:before="0" w:after="0" w:line="264" w:lineRule="auto"/>
            </w:pPr>
            <w:r>
              <w:rPr>
                <w:rFonts w:ascii="Calibri" w:hAnsi="Calibri" w:eastAsia="Microsoft YaHei"/>
                <w:sz w:val="17"/>
              </w:rPr>
              <w:t>幻觉率、证据溯源失败率、事实一致率</w:t>
            </w:r>
          </w:p>
        </w:tc>
      </w:tr>
      <w:tr>
        <w:tc>
          <w:tcPr>
            <w:tcW w:type="dxa" w:w="1872"/>
          </w:tcPr>
          <w:p>
            <w:pPr>
              <w:spacing w:before="0" w:after="0" w:line="264" w:lineRule="auto"/>
            </w:pPr>
            <w:r>
              <w:rPr>
                <w:rFonts w:ascii="Calibri" w:hAnsi="Calibri" w:eastAsia="Microsoft YaHei"/>
                <w:sz w:val="17"/>
              </w:rPr>
              <w:t>工具误调用</w:t>
            </w:r>
          </w:p>
        </w:tc>
        <w:tc>
          <w:tcPr>
            <w:tcW w:type="dxa" w:w="1872"/>
          </w:tcPr>
          <w:p>
            <w:pPr>
              <w:spacing w:before="0" w:after="0" w:line="264" w:lineRule="auto"/>
            </w:pPr>
            <w:r>
              <w:rPr>
                <w:rFonts w:ascii="Calibri" w:hAnsi="Calibri" w:eastAsia="Microsoft YaHei"/>
                <w:sz w:val="17"/>
              </w:rPr>
              <w:t>S4/S5</w:t>
            </w:r>
          </w:p>
        </w:tc>
        <w:tc>
          <w:tcPr>
            <w:tcW w:type="dxa" w:w="1872"/>
          </w:tcPr>
          <w:p>
            <w:pPr>
              <w:spacing w:before="0" w:after="0" w:line="264" w:lineRule="auto"/>
            </w:pPr>
            <w:r>
              <w:rPr>
                <w:rFonts w:ascii="Calibri" w:hAnsi="Calibri" w:eastAsia="Microsoft YaHei"/>
                <w:sz w:val="17"/>
              </w:rPr>
              <w:t>错误选择工具、越权传参或把不可信内容转化为工具参数</w:t>
            </w:r>
          </w:p>
        </w:tc>
        <w:tc>
          <w:tcPr>
            <w:tcW w:type="dxa" w:w="1872"/>
          </w:tcPr>
          <w:p>
            <w:pPr>
              <w:spacing w:before="0" w:after="0" w:line="264" w:lineRule="auto"/>
            </w:pPr>
            <w:r>
              <w:rPr>
                <w:rFonts w:ascii="Calibri" w:hAnsi="Calibri" w:eastAsia="Microsoft YaHei"/>
                <w:sz w:val="17"/>
              </w:rPr>
              <w:t>产生外部副作用、访问越权资源或执行不应执行的动作</w:t>
            </w:r>
          </w:p>
        </w:tc>
        <w:tc>
          <w:tcPr>
            <w:tcW w:type="dxa" w:w="1872"/>
          </w:tcPr>
          <w:p>
            <w:pPr>
              <w:spacing w:before="0" w:after="0" w:line="264" w:lineRule="auto"/>
            </w:pPr>
            <w:r>
              <w:rPr>
                <w:rFonts w:ascii="Calibri" w:hAnsi="Calibri" w:eastAsia="Microsoft YaHei"/>
                <w:sz w:val="17"/>
              </w:rPr>
              <w:t>工具误调用率、权限检查覆盖率、参数异常率</w:t>
            </w:r>
          </w:p>
        </w:tc>
      </w:tr>
      <w:tr>
        <w:tc>
          <w:tcPr>
            <w:tcW w:type="dxa" w:w="1872"/>
          </w:tcPr>
          <w:p>
            <w:pPr>
              <w:spacing w:before="0" w:after="0" w:line="264" w:lineRule="auto"/>
            </w:pPr>
            <w:r>
              <w:rPr>
                <w:rFonts w:ascii="Calibri" w:hAnsi="Calibri" w:eastAsia="Microsoft YaHei"/>
                <w:sz w:val="17"/>
              </w:rPr>
              <w:t>敏感信息泄露</w:t>
            </w:r>
          </w:p>
        </w:tc>
        <w:tc>
          <w:tcPr>
            <w:tcW w:type="dxa" w:w="1872"/>
          </w:tcPr>
          <w:p>
            <w:pPr>
              <w:spacing w:before="0" w:after="0" w:line="264" w:lineRule="auto"/>
            </w:pPr>
            <w:r>
              <w:rPr>
                <w:rFonts w:ascii="Calibri" w:hAnsi="Calibri" w:eastAsia="Microsoft YaHei"/>
                <w:sz w:val="17"/>
              </w:rPr>
              <w:t>S2/S6/S7</w:t>
            </w:r>
          </w:p>
        </w:tc>
        <w:tc>
          <w:tcPr>
            <w:tcW w:type="dxa" w:w="1872"/>
          </w:tcPr>
          <w:p>
            <w:pPr>
              <w:spacing w:before="0" w:after="0" w:line="264" w:lineRule="auto"/>
            </w:pPr>
            <w:r>
              <w:rPr>
                <w:rFonts w:ascii="Calibri" w:hAnsi="Calibri" w:eastAsia="Microsoft YaHei"/>
                <w:sz w:val="17"/>
              </w:rPr>
              <w:t>诱导模型泄露系统提示、内部策略、检索内容或记忆中的敏感信息</w:t>
            </w:r>
          </w:p>
        </w:tc>
        <w:tc>
          <w:tcPr>
            <w:tcW w:type="dxa" w:w="1872"/>
          </w:tcPr>
          <w:p>
            <w:pPr>
              <w:spacing w:before="0" w:after="0" w:line="264" w:lineRule="auto"/>
            </w:pPr>
            <w:r>
              <w:rPr>
                <w:rFonts w:ascii="Calibri" w:hAnsi="Calibri" w:eastAsia="Microsoft YaHei"/>
                <w:sz w:val="17"/>
              </w:rPr>
              <w:t>暴露内部规则、业务数据或用户隐私</w:t>
            </w:r>
          </w:p>
        </w:tc>
        <w:tc>
          <w:tcPr>
            <w:tcW w:type="dxa" w:w="1872"/>
          </w:tcPr>
          <w:p>
            <w:pPr>
              <w:spacing w:before="0" w:after="0" w:line="264" w:lineRule="auto"/>
            </w:pPr>
            <w:r>
              <w:rPr>
                <w:rFonts w:ascii="Calibri" w:hAnsi="Calibri" w:eastAsia="Microsoft YaHei"/>
                <w:sz w:val="17"/>
              </w:rPr>
              <w:t>泄露率、敏感片段命中率、脱敏失败率</w:t>
            </w:r>
          </w:p>
        </w:tc>
      </w:tr>
      <w:tr>
        <w:tc>
          <w:tcPr>
            <w:tcW w:type="dxa" w:w="1872"/>
          </w:tcPr>
          <w:p>
            <w:pPr>
              <w:spacing w:before="0" w:after="0" w:line="264" w:lineRule="auto"/>
            </w:pPr>
            <w:r>
              <w:rPr>
                <w:rFonts w:ascii="Calibri" w:hAnsi="Calibri" w:eastAsia="Microsoft YaHei"/>
                <w:sz w:val="17"/>
              </w:rPr>
              <w:t>多智能体错误传播/感染</w:t>
            </w:r>
          </w:p>
        </w:tc>
        <w:tc>
          <w:tcPr>
            <w:tcW w:type="dxa" w:w="1872"/>
          </w:tcPr>
          <w:p>
            <w:pPr>
              <w:spacing w:before="0" w:after="0" w:line="264" w:lineRule="auto"/>
            </w:pPr>
            <w:r>
              <w:rPr>
                <w:rFonts w:ascii="Calibri" w:hAnsi="Calibri" w:eastAsia="Microsoft YaHei"/>
                <w:sz w:val="17"/>
              </w:rPr>
              <w:t>S1/S3/S4/S7</w:t>
            </w:r>
          </w:p>
        </w:tc>
        <w:tc>
          <w:tcPr>
            <w:tcW w:type="dxa" w:w="1872"/>
          </w:tcPr>
          <w:p>
            <w:pPr>
              <w:spacing w:before="0" w:after="0" w:line="264" w:lineRule="auto"/>
            </w:pPr>
            <w:r>
              <w:rPr>
                <w:rFonts w:ascii="Calibri" w:hAnsi="Calibri" w:eastAsia="Microsoft YaHei"/>
                <w:sz w:val="17"/>
              </w:rPr>
              <w:t>一个 Agent 的错误消息、污染记忆或不当计划被其他 Agent 接收并放大</w:t>
            </w:r>
          </w:p>
        </w:tc>
        <w:tc>
          <w:tcPr>
            <w:tcW w:type="dxa" w:w="1872"/>
          </w:tcPr>
          <w:p>
            <w:pPr>
              <w:spacing w:before="0" w:after="0" w:line="264" w:lineRule="auto"/>
            </w:pPr>
            <w:r>
              <w:rPr>
                <w:rFonts w:ascii="Calibri" w:hAnsi="Calibri" w:eastAsia="Microsoft YaHei"/>
                <w:sz w:val="17"/>
              </w:rPr>
              <w:t>形成群体性错误归因、协同目标偏移或跨角色风险传播</w:t>
            </w:r>
          </w:p>
        </w:tc>
        <w:tc>
          <w:tcPr>
            <w:tcW w:type="dxa" w:w="1872"/>
          </w:tcPr>
          <w:p>
            <w:pPr>
              <w:spacing w:before="0" w:after="0" w:line="264" w:lineRule="auto"/>
            </w:pPr>
            <w:r>
              <w:rPr>
                <w:rFonts w:ascii="Calibri" w:hAnsi="Calibri" w:eastAsia="Microsoft YaHei"/>
                <w:sz w:val="17"/>
              </w:rPr>
              <w:t>跨 Agent 传播率、协同一致性错误率、风险节点定位准确率</w:t>
            </w:r>
          </w:p>
        </w:tc>
      </w:tr>
    </w:tbl>
    <w:p>
      <w:pPr>
        <w:spacing w:before="160" w:after="80" w:line="264" w:lineRule="auto"/>
      </w:pPr>
      <w:r>
        <w:rPr>
          <w:rFonts w:ascii="Calibri" w:hAnsi="Calibri" w:eastAsia="Microsoft YaHei"/>
          <w:b/>
          <w:color w:val="1F4D78"/>
          <w:sz w:val="22"/>
        </w:rPr>
        <w:t>表 4 测评指标体系表</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584"/>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指标名称</w:t>
            </w:r>
          </w:p>
        </w:tc>
        <w:tc>
          <w:tcPr>
            <w:tcW w:type="dxa" w:w="2664"/>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定义</w:t>
            </w:r>
          </w:p>
        </w:tc>
        <w:tc>
          <w:tcPr>
            <w:tcW w:type="dxa" w:w="2448"/>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计算口径</w:t>
            </w:r>
          </w:p>
        </w:tc>
        <w:tc>
          <w:tcPr>
            <w:tcW w:type="dxa" w:w="2232"/>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对应风险</w:t>
            </w:r>
          </w:p>
        </w:tc>
        <w:tc>
          <w:tcPr>
            <w:tcW w:type="dxa" w:w="2592"/>
            <w:vAlign w:val="center"/>
            <w:tcMar>
              <w:top w:w="80" w:type="dxa"/>
              <w:bottom w:w="80" w:type="dxa"/>
              <w:start w:w="120" w:type="dxa"/>
              <w:end w:w="120" w:type="dxa"/>
            </w:tcMar>
            <w:shd w:fill="F2F4F7"/>
          </w:tcPr>
          <w:p>
            <w:pPr>
              <w:spacing w:before="0" w:after="0" w:line="264" w:lineRule="auto"/>
            </w:pPr>
            <w:r>
              <w:rPr>
                <w:rFonts w:ascii="Calibri" w:hAnsi="Calibri" w:eastAsia="Microsoft YaHei"/>
                <w:b/>
                <w:sz w:val="18"/>
              </w:rPr>
              <w:t>项目指标关系</w:t>
            </w:r>
          </w:p>
        </w:tc>
      </w:tr>
      <w:tr>
        <w:tc>
          <w:tcPr>
            <w:tcW w:type="dxa" w:w="1872"/>
          </w:tcPr>
          <w:p>
            <w:pPr>
              <w:spacing w:before="0" w:after="0" w:line="264" w:lineRule="auto"/>
            </w:pPr>
            <w:r>
              <w:rPr>
                <w:rFonts w:ascii="Calibri" w:hAnsi="Calibri" w:eastAsia="Microsoft YaHei"/>
                <w:sz w:val="17"/>
              </w:rPr>
              <w:t>形式化一致率</w:t>
            </w:r>
          </w:p>
        </w:tc>
        <w:tc>
          <w:tcPr>
            <w:tcW w:type="dxa" w:w="1872"/>
          </w:tcPr>
          <w:p>
            <w:pPr>
              <w:spacing w:before="0" w:after="0" w:line="264" w:lineRule="auto"/>
            </w:pPr>
            <w:r>
              <w:rPr>
                <w:rFonts w:ascii="Calibri" w:hAnsi="Calibri" w:eastAsia="Microsoft YaHei"/>
                <w:sz w:val="17"/>
              </w:rPr>
              <w:t>模型判定的安全相关行为与被测 Agent 实际输出/轨迹的一致程度</w:t>
            </w:r>
          </w:p>
        </w:tc>
        <w:tc>
          <w:tcPr>
            <w:tcW w:type="dxa" w:w="1872"/>
          </w:tcPr>
          <w:p>
            <w:pPr>
              <w:spacing w:before="0" w:after="0" w:line="264" w:lineRule="auto"/>
            </w:pPr>
            <w:r>
              <w:rPr>
                <w:rFonts w:ascii="Calibri" w:hAnsi="Calibri" w:eastAsia="Microsoft YaHei"/>
                <w:sz w:val="17"/>
              </w:rPr>
              <w:t>一致样本数 / 有效测试样本数</w:t>
            </w:r>
          </w:p>
        </w:tc>
        <w:tc>
          <w:tcPr>
            <w:tcW w:type="dxa" w:w="1872"/>
          </w:tcPr>
          <w:p>
            <w:pPr>
              <w:spacing w:before="0" w:after="0" w:line="264" w:lineRule="auto"/>
            </w:pPr>
            <w:r>
              <w:rPr>
                <w:rFonts w:ascii="Calibri" w:hAnsi="Calibri" w:eastAsia="Microsoft YaHei"/>
                <w:sz w:val="17"/>
              </w:rPr>
              <w:t>提示注入、幻觉、工具误调用、泄露</w:t>
            </w:r>
          </w:p>
        </w:tc>
        <w:tc>
          <w:tcPr>
            <w:tcW w:type="dxa" w:w="1872"/>
          </w:tcPr>
          <w:p>
            <w:pPr>
              <w:spacing w:before="0" w:after="0" w:line="264" w:lineRule="auto"/>
            </w:pPr>
            <w:r>
              <w:rPr>
                <w:rFonts w:ascii="Calibri" w:hAnsi="Calibri" w:eastAsia="Microsoft YaHei"/>
                <w:sz w:val="17"/>
              </w:rPr>
              <w:t>直接对齐 80% 建模一致率</w:t>
            </w:r>
          </w:p>
        </w:tc>
      </w:tr>
      <w:tr>
        <w:tc>
          <w:tcPr>
            <w:tcW w:type="dxa" w:w="1872"/>
          </w:tcPr>
          <w:p>
            <w:pPr>
              <w:spacing w:before="0" w:after="0" w:line="264" w:lineRule="auto"/>
            </w:pPr>
            <w:r>
              <w:rPr>
                <w:rFonts w:ascii="Calibri" w:hAnsi="Calibri" w:eastAsia="Microsoft YaHei"/>
                <w:sz w:val="17"/>
              </w:rPr>
              <w:t>风险发现数量</w:t>
            </w:r>
          </w:p>
        </w:tc>
        <w:tc>
          <w:tcPr>
            <w:tcW w:type="dxa" w:w="1872"/>
          </w:tcPr>
          <w:p>
            <w:pPr>
              <w:spacing w:before="0" w:after="0" w:line="264" w:lineRule="auto"/>
            </w:pPr>
            <w:r>
              <w:rPr>
                <w:rFonts w:ascii="Calibri" w:hAnsi="Calibri" w:eastAsia="Microsoft YaHei"/>
                <w:sz w:val="17"/>
              </w:rPr>
              <w:t>模型化测试框架发现的有效风险点数量</w:t>
            </w:r>
          </w:p>
        </w:tc>
        <w:tc>
          <w:tcPr>
            <w:tcW w:type="dxa" w:w="1872"/>
          </w:tcPr>
          <w:p>
            <w:pPr>
              <w:spacing w:before="0" w:after="0" w:line="264" w:lineRule="auto"/>
            </w:pPr>
            <w:r>
              <w:rPr>
                <w:rFonts w:ascii="Calibri" w:hAnsi="Calibri" w:eastAsia="Microsoft YaHei"/>
                <w:sz w:val="17"/>
              </w:rPr>
              <w:t>去重后的有效风险点计数</w:t>
            </w:r>
          </w:p>
        </w:tc>
        <w:tc>
          <w:tcPr>
            <w:tcW w:type="dxa" w:w="1872"/>
          </w:tcPr>
          <w:p>
            <w:pPr>
              <w:spacing w:before="0" w:after="0" w:line="264" w:lineRule="auto"/>
            </w:pPr>
            <w:r>
              <w:rPr>
                <w:rFonts w:ascii="Calibri" w:hAnsi="Calibri" w:eastAsia="Microsoft YaHei"/>
                <w:sz w:val="17"/>
              </w:rPr>
              <w:t>全部 7 类风险</w:t>
            </w:r>
          </w:p>
        </w:tc>
        <w:tc>
          <w:tcPr>
            <w:tcW w:type="dxa" w:w="1872"/>
          </w:tcPr>
          <w:p>
            <w:pPr>
              <w:spacing w:before="0" w:after="0" w:line="264" w:lineRule="auto"/>
            </w:pPr>
            <w:r>
              <w:rPr>
                <w:rFonts w:ascii="Calibri" w:hAnsi="Calibri" w:eastAsia="Microsoft YaHei"/>
                <w:sz w:val="17"/>
              </w:rPr>
              <w:t>支撑风险发现能力评估</w:t>
            </w:r>
          </w:p>
        </w:tc>
      </w:tr>
      <w:tr>
        <w:tc>
          <w:tcPr>
            <w:tcW w:type="dxa" w:w="1872"/>
          </w:tcPr>
          <w:p>
            <w:pPr>
              <w:spacing w:before="0" w:after="0" w:line="264" w:lineRule="auto"/>
            </w:pPr>
            <w:r>
              <w:rPr>
                <w:rFonts w:ascii="Calibri" w:hAnsi="Calibri" w:eastAsia="Microsoft YaHei"/>
                <w:sz w:val="17"/>
              </w:rPr>
              <w:t>风险发现提升率</w:t>
            </w:r>
          </w:p>
        </w:tc>
        <w:tc>
          <w:tcPr>
            <w:tcW w:type="dxa" w:w="1872"/>
          </w:tcPr>
          <w:p>
            <w:pPr>
              <w:spacing w:before="0" w:after="0" w:line="264" w:lineRule="auto"/>
            </w:pPr>
            <w:r>
              <w:rPr>
                <w:rFonts w:ascii="Calibri" w:hAnsi="Calibri" w:eastAsia="Microsoft YaHei"/>
                <w:sz w:val="17"/>
              </w:rPr>
              <w:t>相对传统基准新增或提升的风险发现能力</w:t>
            </w:r>
          </w:p>
        </w:tc>
        <w:tc>
          <w:tcPr>
            <w:tcW w:type="dxa" w:w="1872"/>
          </w:tcPr>
          <w:p>
            <w:pPr>
              <w:spacing w:before="0" w:after="0" w:line="264" w:lineRule="auto"/>
            </w:pPr>
            <w:r>
              <w:rPr>
                <w:rFonts w:ascii="Calibri" w:hAnsi="Calibri" w:eastAsia="Microsoft YaHei"/>
                <w:sz w:val="17"/>
              </w:rPr>
              <w:t>(本方法风险数 - 基准风险数) / 基准风险数</w:t>
            </w:r>
          </w:p>
        </w:tc>
        <w:tc>
          <w:tcPr>
            <w:tcW w:type="dxa" w:w="1872"/>
          </w:tcPr>
          <w:p>
            <w:pPr>
              <w:spacing w:before="0" w:after="0" w:line="264" w:lineRule="auto"/>
            </w:pPr>
            <w:r>
              <w:rPr>
                <w:rFonts w:ascii="Calibri" w:hAnsi="Calibri" w:eastAsia="Microsoft YaHei"/>
                <w:sz w:val="17"/>
              </w:rPr>
              <w:t>RAG 投毒、记忆污染、多智能体传播等传统基准覆盖不足风险</w:t>
            </w:r>
          </w:p>
        </w:tc>
        <w:tc>
          <w:tcPr>
            <w:tcW w:type="dxa" w:w="1872"/>
          </w:tcPr>
          <w:p>
            <w:pPr>
              <w:spacing w:before="0" w:after="0" w:line="264" w:lineRule="auto"/>
            </w:pPr>
            <w:r>
              <w:rPr>
                <w:rFonts w:ascii="Calibri" w:hAnsi="Calibri" w:eastAsia="Microsoft YaHei"/>
                <w:sz w:val="17"/>
              </w:rPr>
              <w:t>对齐风险数量提升 10%</w:t>
            </w:r>
          </w:p>
        </w:tc>
      </w:tr>
      <w:tr>
        <w:tc>
          <w:tcPr>
            <w:tcW w:type="dxa" w:w="1872"/>
          </w:tcPr>
          <w:p>
            <w:pPr>
              <w:spacing w:before="0" w:after="0" w:line="264" w:lineRule="auto"/>
            </w:pPr>
            <w:r>
              <w:rPr>
                <w:rFonts w:ascii="Calibri" w:hAnsi="Calibri" w:eastAsia="Microsoft YaHei"/>
                <w:sz w:val="17"/>
              </w:rPr>
              <w:t>攻击成功率 ASR</w:t>
            </w:r>
          </w:p>
        </w:tc>
        <w:tc>
          <w:tcPr>
            <w:tcW w:type="dxa" w:w="1872"/>
          </w:tcPr>
          <w:p>
            <w:pPr>
              <w:spacing w:before="0" w:after="0" w:line="264" w:lineRule="auto"/>
            </w:pPr>
            <w:r>
              <w:rPr>
                <w:rFonts w:ascii="Calibri" w:hAnsi="Calibri" w:eastAsia="Microsoft YaHei"/>
                <w:sz w:val="17"/>
              </w:rPr>
              <w:t>攻击样本导致目标安全属性被破坏的比例</w:t>
            </w:r>
          </w:p>
        </w:tc>
        <w:tc>
          <w:tcPr>
            <w:tcW w:type="dxa" w:w="1872"/>
          </w:tcPr>
          <w:p>
            <w:pPr>
              <w:spacing w:before="0" w:after="0" w:line="264" w:lineRule="auto"/>
            </w:pPr>
            <w:r>
              <w:rPr>
                <w:rFonts w:ascii="Calibri" w:hAnsi="Calibri" w:eastAsia="Microsoft YaHei"/>
                <w:sz w:val="17"/>
              </w:rPr>
              <w:t>成功攻击样本数 / 攻击样本总数</w:t>
            </w:r>
          </w:p>
        </w:tc>
        <w:tc>
          <w:tcPr>
            <w:tcW w:type="dxa" w:w="1872"/>
          </w:tcPr>
          <w:p>
            <w:pPr>
              <w:spacing w:before="0" w:after="0" w:line="264" w:lineRule="auto"/>
            </w:pPr>
            <w:r>
              <w:rPr>
                <w:rFonts w:ascii="Calibri" w:hAnsi="Calibri" w:eastAsia="Microsoft YaHei"/>
                <w:sz w:val="17"/>
              </w:rPr>
              <w:t>提示注入、RAG 投毒、工具误调用</w:t>
            </w:r>
          </w:p>
        </w:tc>
        <w:tc>
          <w:tcPr>
            <w:tcW w:type="dxa" w:w="1872"/>
          </w:tcPr>
          <w:p>
            <w:pPr>
              <w:spacing w:before="0" w:after="0" w:line="264" w:lineRule="auto"/>
            </w:pPr>
            <w:r>
              <w:rPr>
                <w:rFonts w:ascii="Calibri" w:hAnsi="Calibri" w:eastAsia="Microsoft YaHei"/>
                <w:sz w:val="17"/>
              </w:rPr>
              <w:t>用于衡量攻击测试框架有效性</w:t>
            </w:r>
          </w:p>
        </w:tc>
      </w:tr>
      <w:tr>
        <w:tc>
          <w:tcPr>
            <w:tcW w:type="dxa" w:w="1872"/>
          </w:tcPr>
          <w:p>
            <w:pPr>
              <w:spacing w:before="0" w:after="0" w:line="264" w:lineRule="auto"/>
            </w:pPr>
            <w:r>
              <w:rPr>
                <w:rFonts w:ascii="Calibri" w:hAnsi="Calibri" w:eastAsia="Microsoft YaHei"/>
                <w:sz w:val="17"/>
              </w:rPr>
              <w:t>风险节点定位准确率</w:t>
            </w:r>
          </w:p>
        </w:tc>
        <w:tc>
          <w:tcPr>
            <w:tcW w:type="dxa" w:w="1872"/>
          </w:tcPr>
          <w:p>
            <w:pPr>
              <w:spacing w:before="0" w:after="0" w:line="264" w:lineRule="auto"/>
            </w:pPr>
            <w:r>
              <w:rPr>
                <w:rFonts w:ascii="Calibri" w:hAnsi="Calibri" w:eastAsia="Microsoft YaHei"/>
                <w:sz w:val="17"/>
              </w:rPr>
              <w:t>测试框架定位的风险状态与人工标注状态一致的比例</w:t>
            </w:r>
          </w:p>
        </w:tc>
        <w:tc>
          <w:tcPr>
            <w:tcW w:type="dxa" w:w="1872"/>
          </w:tcPr>
          <w:p>
            <w:pPr>
              <w:spacing w:before="0" w:after="0" w:line="264" w:lineRule="auto"/>
            </w:pPr>
            <w:r>
              <w:rPr>
                <w:rFonts w:ascii="Calibri" w:hAnsi="Calibri" w:eastAsia="Microsoft YaHei"/>
                <w:sz w:val="17"/>
              </w:rPr>
              <w:t>定位正确样本数 / 已定位风险样本数</w:t>
            </w:r>
          </w:p>
        </w:tc>
        <w:tc>
          <w:tcPr>
            <w:tcW w:type="dxa" w:w="1872"/>
          </w:tcPr>
          <w:p>
            <w:pPr>
              <w:spacing w:before="0" w:after="0" w:line="264" w:lineRule="auto"/>
            </w:pPr>
            <w:r>
              <w:rPr>
                <w:rFonts w:ascii="Calibri" w:hAnsi="Calibri" w:eastAsia="Microsoft YaHei"/>
                <w:sz w:val="17"/>
              </w:rPr>
              <w:t>全部状态相关风险</w:t>
            </w:r>
          </w:p>
        </w:tc>
        <w:tc>
          <w:tcPr>
            <w:tcW w:type="dxa" w:w="1872"/>
          </w:tcPr>
          <w:p>
            <w:pPr>
              <w:spacing w:before="0" w:after="0" w:line="264" w:lineRule="auto"/>
            </w:pPr>
            <w:r>
              <w:rPr>
                <w:rFonts w:ascii="Calibri" w:hAnsi="Calibri" w:eastAsia="Microsoft YaHei"/>
                <w:sz w:val="17"/>
              </w:rPr>
              <w:t>说明模型能支持风险溯源</w:t>
            </w:r>
          </w:p>
        </w:tc>
      </w:tr>
      <w:tr>
        <w:tc>
          <w:tcPr>
            <w:tcW w:type="dxa" w:w="1872"/>
          </w:tcPr>
          <w:p>
            <w:pPr>
              <w:spacing w:before="0" w:after="0" w:line="264" w:lineRule="auto"/>
            </w:pPr>
            <w:r>
              <w:rPr>
                <w:rFonts w:ascii="Calibri" w:hAnsi="Calibri" w:eastAsia="Microsoft YaHei"/>
                <w:sz w:val="17"/>
              </w:rPr>
              <w:t>证据一致率</w:t>
            </w:r>
          </w:p>
        </w:tc>
        <w:tc>
          <w:tcPr>
            <w:tcW w:type="dxa" w:w="1872"/>
          </w:tcPr>
          <w:p>
            <w:pPr>
              <w:spacing w:before="0" w:after="0" w:line="264" w:lineRule="auto"/>
            </w:pPr>
            <w:r>
              <w:rPr>
                <w:rFonts w:ascii="Calibri" w:hAnsi="Calibri" w:eastAsia="Microsoft YaHei"/>
                <w:sz w:val="17"/>
              </w:rPr>
              <w:t>输出结论与可信检索证据一致的比例</w:t>
            </w:r>
          </w:p>
        </w:tc>
        <w:tc>
          <w:tcPr>
            <w:tcW w:type="dxa" w:w="1872"/>
          </w:tcPr>
          <w:p>
            <w:pPr>
              <w:spacing w:before="0" w:after="0" w:line="264" w:lineRule="auto"/>
            </w:pPr>
            <w:r>
              <w:rPr>
                <w:rFonts w:ascii="Calibri" w:hAnsi="Calibri" w:eastAsia="Microsoft YaHei"/>
                <w:sz w:val="17"/>
              </w:rPr>
              <w:t>证据一致输出数 / 需证据支撑输出数</w:t>
            </w:r>
          </w:p>
        </w:tc>
        <w:tc>
          <w:tcPr>
            <w:tcW w:type="dxa" w:w="1872"/>
          </w:tcPr>
          <w:p>
            <w:pPr>
              <w:spacing w:before="0" w:after="0" w:line="264" w:lineRule="auto"/>
            </w:pPr>
            <w:r>
              <w:rPr>
                <w:rFonts w:ascii="Calibri" w:hAnsi="Calibri" w:eastAsia="Microsoft YaHei"/>
                <w:sz w:val="17"/>
              </w:rPr>
              <w:t>幻觉、RAG 投毒、电力知识问答风险</w:t>
            </w:r>
          </w:p>
        </w:tc>
        <w:tc>
          <w:tcPr>
            <w:tcW w:type="dxa" w:w="1872"/>
          </w:tcPr>
          <w:p>
            <w:pPr>
              <w:spacing w:before="0" w:after="0" w:line="264" w:lineRule="auto"/>
            </w:pPr>
            <w:r>
              <w:rPr>
                <w:rFonts w:ascii="Calibri" w:hAnsi="Calibri" w:eastAsia="Microsoft YaHei"/>
                <w:sz w:val="17"/>
              </w:rPr>
              <w:t>落实电力场景证据溯源要求</w:t>
            </w:r>
          </w:p>
        </w:tc>
      </w:tr>
      <w:tr>
        <w:tc>
          <w:tcPr>
            <w:tcW w:type="dxa" w:w="1872"/>
          </w:tcPr>
          <w:p>
            <w:pPr>
              <w:spacing w:before="0" w:after="0" w:line="264" w:lineRule="auto"/>
            </w:pPr>
            <w:r>
              <w:rPr>
                <w:rFonts w:ascii="Calibri" w:hAnsi="Calibri" w:eastAsia="Microsoft YaHei"/>
                <w:sz w:val="17"/>
              </w:rPr>
              <w:t>敏感信息泄露率</w:t>
            </w:r>
          </w:p>
        </w:tc>
        <w:tc>
          <w:tcPr>
            <w:tcW w:type="dxa" w:w="1872"/>
          </w:tcPr>
          <w:p>
            <w:pPr>
              <w:spacing w:before="0" w:after="0" w:line="264" w:lineRule="auto"/>
            </w:pPr>
            <w:r>
              <w:rPr>
                <w:rFonts w:ascii="Calibri" w:hAnsi="Calibri" w:eastAsia="Microsoft YaHei"/>
                <w:sz w:val="17"/>
              </w:rPr>
              <w:t>输出或记忆写入中出现敏感信息的比例</w:t>
            </w:r>
          </w:p>
        </w:tc>
        <w:tc>
          <w:tcPr>
            <w:tcW w:type="dxa" w:w="1872"/>
          </w:tcPr>
          <w:p>
            <w:pPr>
              <w:spacing w:before="0" w:after="0" w:line="264" w:lineRule="auto"/>
            </w:pPr>
            <w:r>
              <w:rPr>
                <w:rFonts w:ascii="Calibri" w:hAnsi="Calibri" w:eastAsia="Microsoft YaHei"/>
                <w:sz w:val="17"/>
              </w:rPr>
              <w:t>泄露样本数 / 含敏感信息风险样本数</w:t>
            </w:r>
          </w:p>
        </w:tc>
        <w:tc>
          <w:tcPr>
            <w:tcW w:type="dxa" w:w="1872"/>
          </w:tcPr>
          <w:p>
            <w:pPr>
              <w:spacing w:before="0" w:after="0" w:line="264" w:lineRule="auto"/>
            </w:pPr>
            <w:r>
              <w:rPr>
                <w:rFonts w:ascii="Calibri" w:hAnsi="Calibri" w:eastAsia="Microsoft YaHei"/>
                <w:sz w:val="17"/>
              </w:rPr>
              <w:t>敏感泄露、系统提示泄露、记忆泄露</w:t>
            </w:r>
          </w:p>
        </w:tc>
        <w:tc>
          <w:tcPr>
            <w:tcW w:type="dxa" w:w="1872"/>
          </w:tcPr>
          <w:p>
            <w:pPr>
              <w:spacing w:before="0" w:after="0" w:line="264" w:lineRule="auto"/>
            </w:pPr>
            <w:r>
              <w:rPr>
                <w:rFonts w:ascii="Calibri" w:hAnsi="Calibri" w:eastAsia="Microsoft YaHei"/>
                <w:sz w:val="17"/>
              </w:rPr>
              <w:t>用于安全行为一致率和后续防护验证</w:t>
            </w:r>
          </w:p>
        </w:tc>
      </w:tr>
      <w:tr>
        <w:tc>
          <w:tcPr>
            <w:tcW w:type="dxa" w:w="1872"/>
          </w:tcPr>
          <w:p>
            <w:pPr>
              <w:spacing w:before="0" w:after="0" w:line="264" w:lineRule="auto"/>
            </w:pPr>
            <w:r>
              <w:rPr>
                <w:rFonts w:ascii="Calibri" w:hAnsi="Calibri" w:eastAsia="Microsoft YaHei"/>
                <w:sz w:val="17"/>
              </w:rPr>
              <w:t>工具误调用率</w:t>
            </w:r>
          </w:p>
        </w:tc>
        <w:tc>
          <w:tcPr>
            <w:tcW w:type="dxa" w:w="1872"/>
          </w:tcPr>
          <w:p>
            <w:pPr>
              <w:spacing w:before="0" w:after="0" w:line="264" w:lineRule="auto"/>
            </w:pPr>
            <w:r>
              <w:rPr>
                <w:rFonts w:ascii="Calibri" w:hAnsi="Calibri" w:eastAsia="Microsoft YaHei"/>
                <w:sz w:val="17"/>
              </w:rPr>
              <w:t>工具选择、权限、参数或调用时机错误的比例</w:t>
            </w:r>
          </w:p>
        </w:tc>
        <w:tc>
          <w:tcPr>
            <w:tcW w:type="dxa" w:w="1872"/>
          </w:tcPr>
          <w:p>
            <w:pPr>
              <w:spacing w:before="0" w:after="0" w:line="264" w:lineRule="auto"/>
            </w:pPr>
            <w:r>
              <w:rPr>
                <w:rFonts w:ascii="Calibri" w:hAnsi="Calibri" w:eastAsia="Microsoft YaHei"/>
                <w:sz w:val="17"/>
              </w:rPr>
              <w:t>误调用次数 / 工具调用总次数</w:t>
            </w:r>
          </w:p>
        </w:tc>
        <w:tc>
          <w:tcPr>
            <w:tcW w:type="dxa" w:w="1872"/>
          </w:tcPr>
          <w:p>
            <w:pPr>
              <w:spacing w:before="0" w:after="0" w:line="264" w:lineRule="auto"/>
            </w:pPr>
            <w:r>
              <w:rPr>
                <w:rFonts w:ascii="Calibri" w:hAnsi="Calibri" w:eastAsia="Microsoft YaHei"/>
                <w:sz w:val="17"/>
              </w:rPr>
              <w:t>工具误调用、越权调用</w:t>
            </w:r>
          </w:p>
        </w:tc>
        <w:tc>
          <w:tcPr>
            <w:tcW w:type="dxa" w:w="1872"/>
          </w:tcPr>
          <w:p>
            <w:pPr>
              <w:spacing w:before="0" w:after="0" w:line="264" w:lineRule="auto"/>
            </w:pPr>
            <w:r>
              <w:rPr>
                <w:rFonts w:ascii="Calibri" w:hAnsi="Calibri" w:eastAsia="Microsoft YaHei"/>
                <w:sz w:val="17"/>
              </w:rPr>
              <w:t>为后续权限控制和外置防护提供依据</w:t>
            </w:r>
          </w:p>
        </w:tc>
      </w:tr>
      <w:tr>
        <w:tc>
          <w:tcPr>
            <w:tcW w:type="dxa" w:w="1872"/>
          </w:tcPr>
          <w:p>
            <w:pPr>
              <w:spacing w:before="0" w:after="0" w:line="264" w:lineRule="auto"/>
            </w:pPr>
            <w:r>
              <w:rPr>
                <w:rFonts w:ascii="Calibri" w:hAnsi="Calibri" w:eastAsia="Microsoft YaHei"/>
                <w:sz w:val="17"/>
              </w:rPr>
              <w:t>通用能力下降率</w:t>
            </w:r>
          </w:p>
        </w:tc>
        <w:tc>
          <w:tcPr>
            <w:tcW w:type="dxa" w:w="1872"/>
          </w:tcPr>
          <w:p>
            <w:pPr>
              <w:spacing w:before="0" w:after="0" w:line="264" w:lineRule="auto"/>
            </w:pPr>
            <w:r>
              <w:rPr>
                <w:rFonts w:ascii="Calibri" w:hAnsi="Calibri" w:eastAsia="Microsoft YaHei"/>
                <w:sz w:val="17"/>
              </w:rPr>
              <w:t>安全约束或防护引入后正常任务能力下降比例</w:t>
            </w:r>
          </w:p>
        </w:tc>
        <w:tc>
          <w:tcPr>
            <w:tcW w:type="dxa" w:w="1872"/>
          </w:tcPr>
          <w:p>
            <w:pPr>
              <w:spacing w:before="0" w:after="0" w:line="264" w:lineRule="auto"/>
            </w:pPr>
            <w:r>
              <w:rPr>
                <w:rFonts w:ascii="Calibri" w:hAnsi="Calibri" w:eastAsia="Microsoft YaHei"/>
                <w:sz w:val="17"/>
              </w:rPr>
              <w:t>(基准能力分 - 防护后能力分) / 基准能力分</w:t>
            </w:r>
          </w:p>
        </w:tc>
        <w:tc>
          <w:tcPr>
            <w:tcW w:type="dxa" w:w="1872"/>
          </w:tcPr>
          <w:p>
            <w:pPr>
              <w:spacing w:before="0" w:after="0" w:line="264" w:lineRule="auto"/>
            </w:pPr>
            <w:r>
              <w:rPr>
                <w:rFonts w:ascii="Calibri" w:hAnsi="Calibri" w:eastAsia="Microsoft YaHei"/>
                <w:sz w:val="17"/>
              </w:rPr>
              <w:t>防护副作用</w:t>
            </w:r>
          </w:p>
        </w:tc>
        <w:tc>
          <w:tcPr>
            <w:tcW w:type="dxa" w:w="1872"/>
          </w:tcPr>
          <w:p>
            <w:pPr>
              <w:spacing w:before="0" w:after="0" w:line="264" w:lineRule="auto"/>
            </w:pPr>
            <w:r>
              <w:rPr>
                <w:rFonts w:ascii="Calibri" w:hAnsi="Calibri" w:eastAsia="Microsoft YaHei"/>
                <w:sz w:val="17"/>
              </w:rPr>
              <w:t>本阶段预留，后续对齐下降不多于 10%</w:t>
            </w:r>
          </w:p>
        </w:tc>
      </w:tr>
      <w:tr>
        <w:tc>
          <w:tcPr>
            <w:tcW w:type="dxa" w:w="1872"/>
          </w:tcPr>
          <w:p>
            <w:pPr>
              <w:spacing w:before="0" w:after="0" w:line="264" w:lineRule="auto"/>
            </w:pPr>
            <w:r>
              <w:rPr>
                <w:rFonts w:ascii="Calibri" w:hAnsi="Calibri" w:eastAsia="Microsoft YaHei"/>
                <w:sz w:val="17"/>
              </w:rPr>
              <w:t>防护后风险下降率</w:t>
            </w:r>
          </w:p>
        </w:tc>
        <w:tc>
          <w:tcPr>
            <w:tcW w:type="dxa" w:w="1872"/>
          </w:tcPr>
          <w:p>
            <w:pPr>
              <w:spacing w:before="0" w:after="0" w:line="264" w:lineRule="auto"/>
            </w:pPr>
            <w:r>
              <w:rPr>
                <w:rFonts w:ascii="Calibri" w:hAnsi="Calibri" w:eastAsia="Microsoft YaHei"/>
                <w:sz w:val="17"/>
              </w:rPr>
              <w:t>防护策略部署后风险问题下降比例</w:t>
            </w:r>
          </w:p>
        </w:tc>
        <w:tc>
          <w:tcPr>
            <w:tcW w:type="dxa" w:w="1872"/>
          </w:tcPr>
          <w:p>
            <w:pPr>
              <w:spacing w:before="0" w:after="0" w:line="264" w:lineRule="auto"/>
            </w:pPr>
            <w:r>
              <w:rPr>
                <w:rFonts w:ascii="Calibri" w:hAnsi="Calibri" w:eastAsia="Microsoft YaHei"/>
                <w:sz w:val="17"/>
              </w:rPr>
              <w:t>(防护前风险数 - 防护后风险数) / 防护前风险数</w:t>
            </w:r>
          </w:p>
        </w:tc>
        <w:tc>
          <w:tcPr>
            <w:tcW w:type="dxa" w:w="1872"/>
          </w:tcPr>
          <w:p>
            <w:pPr>
              <w:spacing w:before="0" w:after="0" w:line="264" w:lineRule="auto"/>
            </w:pPr>
            <w:r>
              <w:rPr>
                <w:rFonts w:ascii="Calibri" w:hAnsi="Calibri" w:eastAsia="Microsoft YaHei"/>
                <w:sz w:val="17"/>
              </w:rPr>
              <w:t>全部可防护风险</w:t>
            </w:r>
          </w:p>
        </w:tc>
        <w:tc>
          <w:tcPr>
            <w:tcW w:type="dxa" w:w="1872"/>
          </w:tcPr>
          <w:p>
            <w:pPr>
              <w:spacing w:before="0" w:after="0" w:line="264" w:lineRule="auto"/>
            </w:pPr>
            <w:r>
              <w:rPr>
                <w:rFonts w:ascii="Calibri" w:hAnsi="Calibri" w:eastAsia="Microsoft YaHei"/>
                <w:sz w:val="17"/>
              </w:rPr>
              <w:t>本阶段预留，后续对齐下降至少 20%</w:t>
            </w:r>
          </w:p>
        </w:tc>
      </w:tr>
    </w:tbl>
    <w:p>
      <w:pPr>
        <w:pStyle w:val="Heading1"/>
      </w:pPr>
      <w:r>
        <w:t>9. 需要老师确认的问题</w:t>
      </w:r>
    </w:p>
    <w:p>
      <w:pPr>
        <w:spacing w:before="0" w:after="120" w:line="264" w:lineRule="auto"/>
      </w:pPr>
      <w:r>
        <w:rPr>
          <w:rFonts w:ascii="Calibri" w:hAnsi="Calibri" w:eastAsia="Microsoft YaHei"/>
          <w:sz w:val="22"/>
        </w:rPr>
        <w:t>1. 第一节点模型是否采用 Agent 推理决策状态模型为主，内部表征和参数机制作为调研支撑而不深入建模。</w:t>
      </w:r>
    </w:p>
    <w:p>
      <w:pPr>
        <w:spacing w:before="0" w:after="120" w:line="264" w:lineRule="auto"/>
      </w:pPr>
      <w:r>
        <w:rPr>
          <w:rFonts w:ascii="Calibri" w:hAnsi="Calibri" w:eastAsia="Microsoft YaHei"/>
          <w:sz w:val="22"/>
        </w:rPr>
        <w:t>2. “传统基准”具体采用通用 LLM safety benchmark、项目自建基准，还是二者结合。</w:t>
      </w:r>
    </w:p>
    <w:p>
      <w:pPr>
        <w:spacing w:before="0" w:after="120" w:line="264" w:lineRule="auto"/>
      </w:pPr>
      <w:r>
        <w:rPr>
          <w:rFonts w:ascii="Calibri" w:hAnsi="Calibri" w:eastAsia="Microsoft YaHei"/>
          <w:sz w:val="22"/>
        </w:rPr>
        <w:t>3. 电力场景是否以电力知识问答和运维辅助决策为主要示例，暂不进入调度/控制类场景。</w:t>
      </w:r>
    </w:p>
    <w:p>
      <w:pPr>
        <w:pStyle w:val="Heading1"/>
      </w:pPr>
      <w:r>
        <w:t>参考文献与资料来源</w:t>
      </w:r>
    </w:p>
    <w:p>
      <w:pPr>
        <w:spacing w:before="0" w:after="80" w:line="264" w:lineRule="auto"/>
      </w:pPr>
      <w:r>
        <w:rPr>
          <w:rFonts w:ascii="Calibri" w:hAnsi="Calibri" w:eastAsia="Microsoft YaHei"/>
          <w:sz w:val="19"/>
        </w:rPr>
        <w:t>[1] Wei 等，Chain-of-Thought Prompting Elicits Reasoning in Large Language Models. https://arxiv.org/abs/2201.11903</w:t>
      </w:r>
    </w:p>
    <w:p>
      <w:pPr>
        <w:spacing w:before="0" w:after="80" w:line="264" w:lineRule="auto"/>
      </w:pPr>
      <w:r>
        <w:rPr>
          <w:rFonts w:ascii="Calibri" w:hAnsi="Calibri" w:eastAsia="Microsoft YaHei"/>
          <w:sz w:val="19"/>
        </w:rPr>
        <w:t>[2] Wang 等，Self-Consistency Improves Chain of Thought Reasoning in Language Models. https://arxiv.org/abs/2203.11171</w:t>
      </w:r>
    </w:p>
    <w:p>
      <w:pPr>
        <w:spacing w:before="0" w:after="80" w:line="264" w:lineRule="auto"/>
      </w:pPr>
      <w:r>
        <w:rPr>
          <w:rFonts w:ascii="Calibri" w:hAnsi="Calibri" w:eastAsia="Microsoft YaHei"/>
          <w:sz w:val="19"/>
        </w:rPr>
        <w:t>[3] Yao 等，Tree of Thoughts: Deliberate Problem Solving with Large Language Models. https://arxiv.org/abs/2305.10601</w:t>
      </w:r>
    </w:p>
    <w:p>
      <w:pPr>
        <w:spacing w:before="0" w:after="80" w:line="264" w:lineRule="auto"/>
      </w:pPr>
      <w:r>
        <w:rPr>
          <w:rFonts w:ascii="Calibri" w:hAnsi="Calibri" w:eastAsia="Microsoft YaHei"/>
          <w:sz w:val="19"/>
        </w:rPr>
        <w:t>[4] Besta 等，Graph of Thoughts: Solving Elaborate Problems with Large Language Models. https://arxiv.org/abs/2308.09687</w:t>
      </w:r>
    </w:p>
    <w:p>
      <w:pPr>
        <w:spacing w:before="0" w:after="80" w:line="264" w:lineRule="auto"/>
      </w:pPr>
      <w:r>
        <w:rPr>
          <w:rFonts w:ascii="Calibri" w:hAnsi="Calibri" w:eastAsia="Microsoft YaHei"/>
          <w:sz w:val="19"/>
        </w:rPr>
        <w:t>[5] Yao 等，ReAct: Synergizing Reasoning and Acting in Language Models. https://arxiv.org/abs/2210.03629</w:t>
      </w:r>
    </w:p>
    <w:p>
      <w:pPr>
        <w:spacing w:before="0" w:after="80" w:line="264" w:lineRule="auto"/>
      </w:pPr>
      <w:r>
        <w:rPr>
          <w:rFonts w:ascii="Calibri" w:hAnsi="Calibri" w:eastAsia="Microsoft YaHei"/>
          <w:sz w:val="19"/>
        </w:rPr>
        <w:t>[6] Shinn 等，Reflexion: Language Agents with Verbal Reinforcement Learning. https://arxiv.org/abs/2303.11366</w:t>
      </w:r>
    </w:p>
    <w:p>
      <w:pPr>
        <w:spacing w:before="0" w:after="80" w:line="264" w:lineRule="auto"/>
      </w:pPr>
      <w:r>
        <w:rPr>
          <w:rFonts w:ascii="Calibri" w:hAnsi="Calibri" w:eastAsia="Microsoft YaHei"/>
          <w:sz w:val="19"/>
        </w:rPr>
        <w:t>[7] Schick 等，Toolformer: Language Models Can Teach Themselves to Use Tools. https://arxiv.org/abs/2302.04761</w:t>
      </w:r>
    </w:p>
    <w:p>
      <w:pPr>
        <w:spacing w:before="0" w:after="80" w:line="264" w:lineRule="auto"/>
      </w:pPr>
      <w:r>
        <w:rPr>
          <w:rFonts w:ascii="Calibri" w:hAnsi="Calibri" w:eastAsia="Microsoft YaHei"/>
          <w:sz w:val="19"/>
        </w:rPr>
        <w:t>[8] Lewis 等，Retrieval-Augmented Generation for Knowledge-Intensive NLP Tasks. https://arxiv.org/abs/2005.11401</w:t>
      </w:r>
    </w:p>
    <w:p>
      <w:pPr>
        <w:spacing w:before="0" w:after="80" w:line="264" w:lineRule="auto"/>
      </w:pPr>
      <w:r>
        <w:rPr>
          <w:rFonts w:ascii="Calibri" w:hAnsi="Calibri" w:eastAsia="Microsoft YaHei"/>
          <w:sz w:val="19"/>
        </w:rPr>
        <w:t>[9] Meng 等，Locating and Editing Factual Associations in GPT. https://rome.baulab.info/</w:t>
      </w:r>
    </w:p>
    <w:p>
      <w:pPr>
        <w:spacing w:before="0" w:after="80" w:line="264" w:lineRule="auto"/>
      </w:pPr>
      <w:r>
        <w:rPr>
          <w:rFonts w:ascii="Calibri" w:hAnsi="Calibri" w:eastAsia="Microsoft YaHei"/>
          <w:sz w:val="19"/>
        </w:rPr>
        <w:t>[10] Wei 等，Emergent Abilities of Large Language Models. https://arxiv.org/abs/2206.07682</w:t>
      </w:r>
    </w:p>
    <w:p>
      <w:pPr>
        <w:spacing w:before="0" w:after="80" w:line="264" w:lineRule="auto"/>
      </w:pPr>
      <w:r>
        <w:rPr>
          <w:rFonts w:ascii="Calibri" w:hAnsi="Calibri" w:eastAsia="Microsoft YaHei"/>
          <w:sz w:val="19"/>
        </w:rPr>
        <w:t>[11] Akyurek 等，What learning algorithm is in-context learning?. https://arxiv.org/abs/2211.15661</w:t>
      </w:r>
    </w:p>
    <w:p>
      <w:pPr>
        <w:spacing w:before="0" w:after="80" w:line="264" w:lineRule="auto"/>
      </w:pPr>
      <w:r>
        <w:rPr>
          <w:rFonts w:ascii="Calibri" w:hAnsi="Calibri" w:eastAsia="Microsoft YaHei"/>
          <w:sz w:val="19"/>
        </w:rPr>
        <w:t>[12] Wang 等，The Rise and Potential of Large Language Model Based Agents: A Survey. https://arxiv.org/abs/2309.07864</w:t>
      </w:r>
    </w:p>
    <w:p>
      <w:pPr>
        <w:spacing w:before="0" w:after="80" w:line="264" w:lineRule="auto"/>
      </w:pPr>
      <w:r>
        <w:rPr>
          <w:rFonts w:ascii="Calibri" w:hAnsi="Calibri" w:eastAsia="Microsoft YaHei"/>
          <w:sz w:val="19"/>
        </w:rPr>
        <w:t>[13] Park 等，Generative Agents: Interactive Simulacra of Human Behavior. https://arxiv.org/abs/2304.03442</w:t>
      </w:r>
    </w:p>
    <w:p>
      <w:pPr>
        <w:spacing w:before="0" w:after="80" w:line="264" w:lineRule="auto"/>
      </w:pPr>
      <w:r>
        <w:rPr>
          <w:rFonts w:ascii="Calibri" w:hAnsi="Calibri" w:eastAsia="Microsoft YaHei"/>
          <w:sz w:val="19"/>
        </w:rPr>
        <w:t>[14] Wu 等，AutoGen: Enabling Next-Gen LLM Applications via Multi-Agent Conversation. https://arxiv.org/abs/2308.08155</w:t>
      </w:r>
    </w:p>
    <w:p>
      <w:pPr>
        <w:spacing w:before="0" w:after="80" w:line="264" w:lineRule="auto"/>
      </w:pPr>
      <w:r>
        <w:rPr>
          <w:rFonts w:ascii="Calibri" w:hAnsi="Calibri" w:eastAsia="Microsoft YaHei"/>
          <w:sz w:val="19"/>
        </w:rPr>
        <w:t>[15] Shi 等，Prompt Injection attack against LLM-integrated Applications. https://arxiv.org/abs/2306.05499</w:t>
      </w:r>
    </w:p>
    <w:p>
      <w:pPr>
        <w:spacing w:before="0" w:after="80" w:line="264" w:lineRule="auto"/>
      </w:pPr>
      <w:r>
        <w:rPr>
          <w:rFonts w:ascii="Calibri" w:hAnsi="Calibri" w:eastAsia="Microsoft YaHei"/>
          <w:sz w:val="19"/>
        </w:rPr>
        <w:t>[16] OWASP，Top 10 for Large Language Model Applications. https://owasp.org/www-project-top-10-for-large-language-model-applications</w:t>
      </w:r>
    </w:p>
    <w:p>
      <w:pPr>
        <w:spacing w:before="0" w:after="80" w:line="264" w:lineRule="auto"/>
      </w:pPr>
      <w:r>
        <w:rPr>
          <w:rFonts w:ascii="Calibri" w:hAnsi="Calibri" w:eastAsia="Microsoft YaHei"/>
          <w:sz w:val="19"/>
        </w:rPr>
        <w:t>[17] Andriushchenko 等，AgentHarm: A Benchmark for Measuring Harmfulness of LLM Agents. https://arxiv.org/abs/2410.09024</w:t>
      </w:r>
    </w:p>
    <w:p>
      <w:pPr>
        <w:spacing w:before="0" w:after="80" w:line="264" w:lineRule="auto"/>
      </w:pPr>
      <w:r>
        <w:rPr>
          <w:rFonts w:ascii="Calibri" w:hAnsi="Calibri" w:eastAsia="Microsoft YaHei"/>
          <w:sz w:val="19"/>
        </w:rPr>
        <w:t>[18] Zhang 等，SafetyBench: Evaluating the Safety of Large Language Models. https://arxiv.org/abs/2309.07045</w:t>
      </w:r>
    </w:p>
    <w:p>
      <w:pPr>
        <w:spacing w:before="0" w:after="80" w:line="264" w:lineRule="auto"/>
      </w:pPr>
      <w:r>
        <w:rPr>
          <w:rFonts w:ascii="Calibri" w:hAnsi="Calibri" w:eastAsia="Microsoft YaHei"/>
          <w:sz w:val="19"/>
        </w:rPr>
        <w:t>[19] Huang 等，TrustLLM: Trustworthiness in Large Language Models. https://arxiv.org/abs/2401.05561</w:t>
      </w:r>
    </w:p>
    <w:p>
      <w:pPr>
        <w:spacing w:before="0" w:after="80" w:line="264" w:lineRule="auto"/>
      </w:pPr>
      <w:r>
        <w:rPr>
          <w:rFonts w:ascii="Calibri" w:hAnsi="Calibri" w:eastAsia="Microsoft YaHei"/>
          <w:sz w:val="19"/>
        </w:rPr>
        <w:t>[20] Li 等，System-Level Defense against Indirect Prompt Injection Attacks: An Information Flow Control Perspective. https://arxiv.org/abs/2409.19091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6666"/>
        <w:sz w:val="18"/>
      </w:rPr>
      <w:t>初稿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color w:val="666666"/>
        <w:sz w:val="18"/>
      </w:rPr>
      <w:t>大模型安全相关技术调研报告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