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D37D" w14:textId="77777777" w:rsidR="00F077B7" w:rsidRDefault="00F077B7" w:rsidP="002A20D2">
      <w:pPr>
        <w:keepLines w:val="0"/>
        <w:spacing w:after="0" w:line="240" w:lineRule="auto"/>
        <w:jc w:val="center"/>
        <w:rPr>
          <w:color w:val="auto"/>
          <w:szCs w:val="24"/>
          <w:lang w:val="es-ES" w:eastAsia="zh-CN" w:bidi="ar-SA"/>
        </w:rPr>
      </w:pPr>
    </w:p>
    <w:p w14:paraId="727CC957" w14:textId="6FF1FB62" w:rsidR="002A20D2" w:rsidRPr="00CC12BF" w:rsidRDefault="002A20D2" w:rsidP="002A20D2">
      <w:pPr>
        <w:keepLines w:val="0"/>
        <w:spacing w:after="0" w:line="240" w:lineRule="auto"/>
        <w:jc w:val="center"/>
        <w:rPr>
          <w:color w:val="auto"/>
          <w:szCs w:val="24"/>
          <w:lang w:val="es-ES" w:eastAsia="zh-CN" w:bidi="ar-SA"/>
        </w:rPr>
      </w:pPr>
    </w:p>
    <w:p w14:paraId="219DC8D4" w14:textId="33788DE2" w:rsidR="00D93D42" w:rsidRDefault="00F077B7" w:rsidP="00D93D42">
      <w:pPr>
        <w:keepLines w:val="0"/>
        <w:spacing w:before="693" w:after="0" w:line="480" w:lineRule="auto"/>
        <w:ind w:left="1475" w:right="755" w:firstLine="649"/>
        <w:rPr>
          <w:b/>
          <w:bCs/>
          <w:szCs w:val="24"/>
          <w:lang w:val="es-ES" w:eastAsia="zh-CN" w:bidi="ar-SA"/>
        </w:rPr>
      </w:pPr>
      <w:r w:rsidRPr="00CC12BF">
        <w:rPr>
          <w:rFonts w:ascii="Arial" w:hAnsi="Arial" w:cs="Arial"/>
          <w:noProof/>
          <w:sz w:val="22"/>
          <w:bdr w:val="none" w:sz="0" w:space="0" w:color="auto" w:frame="1"/>
          <w:lang w:val="es-ES" w:eastAsia="zh-CN" w:bidi="ar-SA"/>
        </w:rPr>
        <w:drawing>
          <wp:inline distT="0" distB="0" distL="0" distR="0" wp14:anchorId="68FCBC67" wp14:editId="42D4A272">
            <wp:extent cx="2404110" cy="2079625"/>
            <wp:effectExtent l="0" t="0" r="0" b="3175"/>
            <wp:docPr id="7"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Logotip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4110" cy="2079625"/>
                    </a:xfrm>
                    <a:prstGeom prst="rect">
                      <a:avLst/>
                    </a:prstGeom>
                    <a:noFill/>
                    <a:ln>
                      <a:noFill/>
                    </a:ln>
                  </pic:spPr>
                </pic:pic>
              </a:graphicData>
            </a:graphic>
          </wp:inline>
        </w:drawing>
      </w:r>
    </w:p>
    <w:p w14:paraId="2099C815" w14:textId="1747D1EF" w:rsidR="00D93D42" w:rsidRPr="00D93D42" w:rsidRDefault="002A20D2" w:rsidP="00D93D42">
      <w:pPr>
        <w:keepLines w:val="0"/>
        <w:spacing w:before="693" w:after="0" w:line="480" w:lineRule="auto"/>
        <w:ind w:left="767" w:right="755"/>
        <w:jc w:val="center"/>
        <w:rPr>
          <w:b/>
          <w:bCs/>
          <w:szCs w:val="24"/>
          <w:lang w:val="es-ES" w:eastAsia="zh-CN" w:bidi="ar-SA"/>
        </w:rPr>
      </w:pPr>
      <w:r w:rsidRPr="00CC12BF">
        <w:rPr>
          <w:b/>
          <w:bCs/>
          <w:szCs w:val="24"/>
          <w:lang w:val="es-ES" w:eastAsia="zh-CN" w:bidi="ar-SA"/>
        </w:rPr>
        <w:t xml:space="preserve">FACULTAD DE CIENCIAS ECONÓMICAS Y EMPRESARIALES GRADO EN </w:t>
      </w:r>
      <w:r w:rsidR="00D93D42">
        <w:rPr>
          <w:b/>
          <w:bCs/>
          <w:szCs w:val="24"/>
          <w:lang w:val="es-ES" w:eastAsia="zh-CN" w:bidi="ar-SA"/>
        </w:rPr>
        <w:t>FINANZAS, BANCA Y SEGUROS</w:t>
      </w:r>
    </w:p>
    <w:p w14:paraId="50E3FF49" w14:textId="31484758" w:rsidR="002A20D2" w:rsidRDefault="00E67F5F" w:rsidP="00E67F5F">
      <w:pPr>
        <w:keepLines w:val="0"/>
        <w:spacing w:before="480" w:after="0" w:line="240" w:lineRule="auto"/>
        <w:ind w:left="281" w:right="207"/>
        <w:jc w:val="center"/>
        <w:rPr>
          <w:b/>
          <w:bCs/>
          <w:sz w:val="44"/>
          <w:szCs w:val="44"/>
          <w:lang w:val="es-ES" w:eastAsia="zh-CN" w:bidi="ar-SA"/>
        </w:rPr>
      </w:pPr>
      <w:r>
        <w:rPr>
          <w:b/>
          <w:bCs/>
          <w:sz w:val="44"/>
          <w:szCs w:val="44"/>
          <w:lang w:val="es-ES" w:eastAsia="zh-CN" w:bidi="ar-SA"/>
        </w:rPr>
        <w:t>La sostenibilidad como factor de valoración de activos</w:t>
      </w:r>
    </w:p>
    <w:p w14:paraId="538FEF81" w14:textId="74E15772" w:rsidR="00E67F5F" w:rsidRPr="00CC12BF" w:rsidRDefault="00E67F5F" w:rsidP="00E67F5F">
      <w:pPr>
        <w:keepLines w:val="0"/>
        <w:spacing w:before="480" w:after="0" w:line="240" w:lineRule="auto"/>
        <w:ind w:left="281" w:right="207"/>
        <w:jc w:val="center"/>
        <w:rPr>
          <w:color w:val="auto"/>
          <w:szCs w:val="24"/>
          <w:lang w:val="es-ES" w:eastAsia="zh-CN" w:bidi="ar-SA"/>
        </w:rPr>
      </w:pPr>
      <w:r>
        <w:rPr>
          <w:b/>
          <w:bCs/>
          <w:sz w:val="44"/>
          <w:szCs w:val="44"/>
          <w:lang w:val="es-ES" w:eastAsia="zh-CN" w:bidi="ar-SA"/>
        </w:rPr>
        <w:t>Ampliación del modelo de tres factores de Fama y French mediante un factor Green Minus Brown</w:t>
      </w:r>
    </w:p>
    <w:p w14:paraId="55C566EA" w14:textId="72D8F11D" w:rsidR="002A20D2" w:rsidRPr="00CC12BF" w:rsidRDefault="002A20D2" w:rsidP="00E67F5F">
      <w:pPr>
        <w:keepLines w:val="0"/>
        <w:spacing w:before="1581" w:after="0" w:line="240" w:lineRule="auto"/>
        <w:jc w:val="left"/>
        <w:rPr>
          <w:color w:val="auto"/>
          <w:szCs w:val="24"/>
          <w:lang w:val="es-ES" w:eastAsia="zh-CN" w:bidi="ar-SA"/>
        </w:rPr>
      </w:pPr>
      <w:r w:rsidRPr="00CC12BF">
        <w:rPr>
          <w:b/>
          <w:bCs/>
          <w:szCs w:val="24"/>
          <w:lang w:val="es-ES" w:eastAsia="zh-CN" w:bidi="ar-SA"/>
        </w:rPr>
        <w:t xml:space="preserve">Autor: </w:t>
      </w:r>
      <w:proofErr w:type="spellStart"/>
      <w:r w:rsidR="00D93D42">
        <w:rPr>
          <w:b/>
          <w:bCs/>
          <w:i/>
          <w:iCs/>
          <w:szCs w:val="24"/>
          <w:lang w:val="es-ES" w:eastAsia="zh-CN" w:bidi="ar-SA"/>
        </w:rPr>
        <w:t>Jiajun</w:t>
      </w:r>
      <w:proofErr w:type="spellEnd"/>
      <w:r w:rsidR="00D93D42">
        <w:rPr>
          <w:b/>
          <w:bCs/>
          <w:i/>
          <w:iCs/>
          <w:szCs w:val="24"/>
          <w:lang w:val="es-ES" w:eastAsia="zh-CN" w:bidi="ar-SA"/>
        </w:rPr>
        <w:t xml:space="preserve"> Jorge Ni Zhou</w:t>
      </w:r>
      <w:r w:rsidRPr="00CC12BF">
        <w:rPr>
          <w:b/>
          <w:bCs/>
          <w:i/>
          <w:iCs/>
          <w:szCs w:val="24"/>
          <w:lang w:val="es-ES" w:eastAsia="zh-CN" w:bidi="ar-SA"/>
        </w:rPr>
        <w:t> </w:t>
      </w:r>
    </w:p>
    <w:p w14:paraId="32CB22FB" w14:textId="7ED70CA2" w:rsidR="00D93D42" w:rsidRPr="00D93D42" w:rsidRDefault="002A20D2" w:rsidP="00E67F5F">
      <w:pPr>
        <w:keepLines w:val="0"/>
        <w:spacing w:before="200" w:after="0" w:line="240" w:lineRule="auto"/>
        <w:jc w:val="left"/>
        <w:rPr>
          <w:b/>
          <w:bCs/>
          <w:i/>
          <w:iCs/>
          <w:szCs w:val="24"/>
          <w:lang w:val="es-ES" w:eastAsia="zh-CN" w:bidi="ar-SA"/>
        </w:rPr>
      </w:pPr>
      <w:r w:rsidRPr="00CC12BF">
        <w:rPr>
          <w:b/>
          <w:bCs/>
          <w:szCs w:val="24"/>
          <w:lang w:val="es-ES" w:eastAsia="zh-CN" w:bidi="ar-SA"/>
        </w:rPr>
        <w:t>Tutor</w:t>
      </w:r>
      <w:r w:rsidR="00D93D42">
        <w:rPr>
          <w:b/>
          <w:bCs/>
          <w:szCs w:val="24"/>
          <w:lang w:val="es-ES" w:eastAsia="zh-CN" w:bidi="ar-SA"/>
        </w:rPr>
        <w:t>es</w:t>
      </w:r>
      <w:r>
        <w:rPr>
          <w:b/>
          <w:bCs/>
          <w:szCs w:val="24"/>
          <w:lang w:val="es-ES" w:eastAsia="zh-CN" w:bidi="ar-SA"/>
        </w:rPr>
        <w:t xml:space="preserve"> académico</w:t>
      </w:r>
      <w:r w:rsidR="00D93D42">
        <w:rPr>
          <w:b/>
          <w:bCs/>
          <w:szCs w:val="24"/>
          <w:lang w:val="es-ES" w:eastAsia="zh-CN" w:bidi="ar-SA"/>
        </w:rPr>
        <w:t>s</w:t>
      </w:r>
      <w:r w:rsidRPr="00CC12BF">
        <w:rPr>
          <w:b/>
          <w:bCs/>
          <w:szCs w:val="24"/>
          <w:lang w:val="es-ES" w:eastAsia="zh-CN" w:bidi="ar-SA"/>
        </w:rPr>
        <w:t xml:space="preserve">: </w:t>
      </w:r>
      <w:r w:rsidR="00462672">
        <w:rPr>
          <w:b/>
          <w:bCs/>
          <w:i/>
          <w:iCs/>
          <w:szCs w:val="24"/>
          <w:lang w:val="es-ES" w:eastAsia="zh-CN" w:bidi="ar-SA"/>
        </w:rPr>
        <w:t>Víctor</w:t>
      </w:r>
      <w:r w:rsidR="00D93D42">
        <w:rPr>
          <w:b/>
          <w:bCs/>
          <w:i/>
          <w:iCs/>
          <w:szCs w:val="24"/>
          <w:lang w:val="es-ES" w:eastAsia="zh-CN" w:bidi="ar-SA"/>
        </w:rPr>
        <w:t xml:space="preserve"> Gonzalo y </w:t>
      </w:r>
      <w:proofErr w:type="spellStart"/>
      <w:r w:rsidR="00D93D42">
        <w:rPr>
          <w:b/>
          <w:bCs/>
          <w:i/>
          <w:iCs/>
          <w:szCs w:val="24"/>
          <w:lang w:val="es-ES" w:eastAsia="zh-CN" w:bidi="ar-SA"/>
        </w:rPr>
        <w:t>Marcello</w:t>
      </w:r>
      <w:proofErr w:type="spellEnd"/>
      <w:r w:rsidR="00D93D42">
        <w:rPr>
          <w:b/>
          <w:bCs/>
          <w:i/>
          <w:iCs/>
          <w:szCs w:val="24"/>
          <w:lang w:val="es-ES" w:eastAsia="zh-CN" w:bidi="ar-SA"/>
        </w:rPr>
        <w:t xml:space="preserve"> Sartarelli</w:t>
      </w:r>
    </w:p>
    <w:p w14:paraId="5465274D" w14:textId="77777777" w:rsidR="00D93D42" w:rsidRDefault="002A20D2" w:rsidP="00E67F5F">
      <w:pPr>
        <w:keepLines w:val="0"/>
        <w:spacing w:before="200" w:after="0" w:line="240" w:lineRule="auto"/>
        <w:jc w:val="left"/>
        <w:rPr>
          <w:b/>
          <w:bCs/>
          <w:i/>
          <w:iCs/>
          <w:szCs w:val="24"/>
          <w:lang w:val="es-ES" w:eastAsia="zh-CN" w:bidi="ar-SA"/>
        </w:rPr>
      </w:pPr>
      <w:r w:rsidRPr="00CC12BF">
        <w:rPr>
          <w:b/>
          <w:bCs/>
          <w:szCs w:val="24"/>
          <w:lang w:val="es-ES" w:eastAsia="zh-CN" w:bidi="ar-SA"/>
        </w:rPr>
        <w:t>Curso Académico</w:t>
      </w:r>
      <w:r w:rsidRPr="00CC12BF">
        <w:rPr>
          <w:b/>
          <w:bCs/>
          <w:i/>
          <w:iCs/>
          <w:szCs w:val="24"/>
          <w:lang w:val="es-ES" w:eastAsia="zh-CN" w:bidi="ar-SA"/>
        </w:rPr>
        <w:t>: 2025/2026 </w:t>
      </w:r>
    </w:p>
    <w:p w14:paraId="38BF2407" w14:textId="77777777" w:rsidR="00E67F5F" w:rsidRDefault="00D93D42">
      <w:pPr>
        <w:keepLines w:val="0"/>
        <w:spacing w:after="160" w:line="278" w:lineRule="auto"/>
        <w:jc w:val="left"/>
        <w:rPr>
          <w:b/>
          <w:bCs/>
          <w:i/>
          <w:iCs/>
          <w:szCs w:val="24"/>
          <w:lang w:val="es-ES" w:eastAsia="zh-CN" w:bidi="ar-SA"/>
        </w:rPr>
      </w:pPr>
      <w:r>
        <w:rPr>
          <w:b/>
          <w:bCs/>
          <w:szCs w:val="24"/>
          <w:lang w:val="es-ES" w:eastAsia="zh-CN" w:bidi="ar-SA"/>
        </w:rPr>
        <w:t>Convocatoria</w:t>
      </w:r>
      <w:r w:rsidRPr="00D93D42">
        <w:t>:</w:t>
      </w:r>
      <w:r>
        <w:t xml:space="preserve"> </w:t>
      </w:r>
      <w:r w:rsidRPr="00D93D42">
        <w:rPr>
          <w:b/>
          <w:bCs/>
          <w:i/>
          <w:iCs/>
          <w:szCs w:val="24"/>
          <w:lang w:val="es-ES" w:eastAsia="zh-CN" w:bidi="ar-SA"/>
        </w:rPr>
        <w:t>Julio</w:t>
      </w:r>
    </w:p>
    <w:p w14:paraId="0A2B2899" w14:textId="77777777" w:rsidR="00E67F5F" w:rsidRPr="00462672" w:rsidRDefault="00E67F5F" w:rsidP="00462672">
      <w:pPr>
        <w:rPr>
          <w:rFonts w:asciiTheme="majorHAnsi" w:hAnsiTheme="majorHAnsi"/>
          <w:b/>
          <w:bCs/>
          <w:color w:val="0F4761" w:themeColor="accent1" w:themeShade="BF"/>
          <w:sz w:val="40"/>
          <w:szCs w:val="40"/>
        </w:rPr>
      </w:pPr>
      <w:r w:rsidRPr="00462672">
        <w:rPr>
          <w:rFonts w:asciiTheme="majorHAnsi" w:hAnsiTheme="majorHAnsi"/>
          <w:b/>
          <w:bCs/>
          <w:color w:val="0F4761" w:themeColor="accent1" w:themeShade="BF"/>
          <w:sz w:val="40"/>
          <w:szCs w:val="40"/>
        </w:rPr>
        <w:lastRenderedPageBreak/>
        <w:t>Resumen</w:t>
      </w:r>
    </w:p>
    <w:p w14:paraId="33484E57" w14:textId="55E04CA0" w:rsidR="00593717" w:rsidRDefault="00462672" w:rsidP="00E67F5F">
      <w:r>
        <w:t xml:space="preserve">Este trabajo analiza si la sostenibilidad (medida a través de las puntuaciones ESG), </w:t>
      </w:r>
      <w:r w:rsidR="00173665">
        <w:t>está asociada a una prima riesgo y captura variación sistemática en las rentabilidades de los mercados de renta variable europeos</w:t>
      </w:r>
      <w:r>
        <w:t>.</w:t>
      </w:r>
      <w:r w:rsidR="00173665">
        <w:t xml:space="preserve"> Para ello se amplía el modelo de tres factores de Fama y French (1993) incorporando un cuarto factor, denominado Green Minus Brown, construido como la diferencia de rentabilidad entre las empresas con mayor y menor “ESG score” del índice STOXX Europe 600. Sobre una muestra de 431 empresas y un periodo mensual comprendido entre el 2021 y 2025, se estima el modelo de cuatro factores para cada empresa mediante mínimos cuadrados ordinarios con errores </w:t>
      </w:r>
      <w:r w:rsidR="00826D64">
        <w:t>robustos de Newey-West. Los resultados muestran que la prima ESG no es estadísticamente significativa, si bien el factor discrimina de forma robusta entre empresas según su perfil de sostenibilidad. Los hallazgos son coherentes con la hipótesis de eficiencia de los mercados y con la lógica multifactorial de la teoría de valoración por arbitraje.</w:t>
      </w:r>
    </w:p>
    <w:p w14:paraId="0AE8969F" w14:textId="77777777" w:rsidR="00826D64" w:rsidRDefault="00826D64" w:rsidP="00E67F5F">
      <w:pPr>
        <w:rPr>
          <w:rFonts w:asciiTheme="majorHAnsi" w:hAnsiTheme="majorHAnsi"/>
          <w:b/>
          <w:bCs/>
          <w:color w:val="0F4761" w:themeColor="accent1" w:themeShade="BF"/>
          <w:sz w:val="40"/>
          <w:szCs w:val="40"/>
        </w:rPr>
      </w:pPr>
      <w:proofErr w:type="spellStart"/>
      <w:r w:rsidRPr="00826D64">
        <w:rPr>
          <w:rFonts w:asciiTheme="majorHAnsi" w:hAnsiTheme="majorHAnsi"/>
          <w:b/>
          <w:bCs/>
          <w:color w:val="0F4761" w:themeColor="accent1" w:themeShade="BF"/>
          <w:sz w:val="40"/>
          <w:szCs w:val="40"/>
        </w:rPr>
        <w:t>Abstract</w:t>
      </w:r>
      <w:proofErr w:type="spellEnd"/>
    </w:p>
    <w:p w14:paraId="3581C3F4" w14:textId="42ACA09F" w:rsidR="00614C98" w:rsidRPr="00826D64" w:rsidRDefault="00826D64" w:rsidP="00E67F5F">
      <w:pPr>
        <w:rPr>
          <w:color w:val="0F4761" w:themeColor="accent1" w:themeShade="BF"/>
          <w:szCs w:val="40"/>
          <w:lang w:val="en-US"/>
        </w:rPr>
      </w:pPr>
      <w:r w:rsidRPr="00826D64">
        <w:t>This paper examines whether corporate sustainability, measured through ESG scores, constitutes a systematic risk factor in European equity markets. To this end, the three-factor model of Fama and French (1993) is extended by incorporating a fourth factor, termed Green Minus Brown, constructed as the return differential between firms with the highest and lowest ESG scores within the STOXX Europe 600 index. Using a sample of 431 firms and monthly data from 2021 to 2025, the four-factor model is estimated for each company through ordinary least squares with Newey-West robust standard errors. The results show that the ESG premium is not statistically significant, although the factor robustly discriminates between firms according to their sustainability profile. The findings are consistent with the efficient market hypothesis and with the multifactor logic of arbitrage pricing theory.</w:t>
      </w:r>
      <w:r w:rsidR="00E67F5F" w:rsidRPr="00826D64">
        <w:rPr>
          <w:lang w:val="en-US"/>
        </w:rPr>
        <w:br w:type="page"/>
      </w:r>
    </w:p>
    <w:sdt>
      <w:sdtPr>
        <w:rPr>
          <w:rFonts w:ascii="Times New Roman" w:eastAsia="Times New Roman" w:hAnsi="Times New Roman" w:cs="Times New Roman"/>
          <w:b w:val="0"/>
          <w:bCs w:val="0"/>
          <w:color w:val="000000"/>
          <w:sz w:val="36"/>
          <w:szCs w:val="36"/>
          <w:lang w:val="es-ES_tradnl" w:eastAsia="es-ES" w:bidi="ks-Deva"/>
        </w:rPr>
        <w:id w:val="-370383200"/>
        <w:docPartObj>
          <w:docPartGallery w:val="Table of Contents"/>
          <w:docPartUnique/>
        </w:docPartObj>
      </w:sdtPr>
      <w:sdtEndPr>
        <w:rPr>
          <w:noProof/>
          <w:sz w:val="32"/>
          <w:szCs w:val="28"/>
        </w:rPr>
      </w:sdtEndPr>
      <w:sdtContent>
        <w:p w14:paraId="19A53BCC" w14:textId="30F9A290" w:rsidR="00EF0BB1" w:rsidRPr="00EF0BB1" w:rsidRDefault="00EF0BB1" w:rsidP="00EF0BB1">
          <w:pPr>
            <w:pStyle w:val="TtuloTDC"/>
            <w:rPr>
              <w:sz w:val="36"/>
              <w:szCs w:val="36"/>
              <w:u w:val="single"/>
            </w:rPr>
          </w:pPr>
          <w:r>
            <w:rPr>
              <w:sz w:val="36"/>
              <w:szCs w:val="36"/>
              <w:u w:val="single"/>
            </w:rPr>
            <w:t>ÍNDICE</w:t>
          </w:r>
        </w:p>
        <w:p w14:paraId="6CBA72E0" w14:textId="77777777" w:rsidR="00F077B7" w:rsidRPr="00F077B7" w:rsidRDefault="00F077B7" w:rsidP="00F077B7">
          <w:pPr>
            <w:rPr>
              <w:lang w:val="es-ES" w:eastAsia="zh-CN" w:bidi="ar-SA"/>
            </w:rPr>
          </w:pPr>
        </w:p>
        <w:p w14:paraId="6B85420C" w14:textId="38901D31" w:rsidR="000601C9" w:rsidRDefault="00F077B7">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r w:rsidRPr="00F077B7">
            <w:rPr>
              <w:b w:val="0"/>
              <w:bCs w:val="0"/>
              <w:sz w:val="22"/>
              <w:szCs w:val="22"/>
            </w:rPr>
            <w:fldChar w:fldCharType="begin"/>
          </w:r>
          <w:r w:rsidRPr="00F077B7">
            <w:rPr>
              <w:sz w:val="22"/>
              <w:szCs w:val="22"/>
            </w:rPr>
            <w:instrText>TOC \o "1-3" \h \z \u</w:instrText>
          </w:r>
          <w:r w:rsidRPr="00F077B7">
            <w:rPr>
              <w:b w:val="0"/>
              <w:bCs w:val="0"/>
              <w:sz w:val="22"/>
              <w:szCs w:val="22"/>
            </w:rPr>
            <w:fldChar w:fldCharType="separate"/>
          </w:r>
          <w:hyperlink w:anchor="_Toc231769119" w:history="1">
            <w:r w:rsidR="000601C9" w:rsidRPr="000D165B">
              <w:rPr>
                <w:rStyle w:val="Hipervnculo"/>
                <w:noProof/>
                <w:lang w:val="es-ES"/>
              </w:rPr>
              <w:t>1. INTRODUCCIÓN</w:t>
            </w:r>
            <w:r w:rsidR="000601C9">
              <w:rPr>
                <w:noProof/>
                <w:webHidden/>
              </w:rPr>
              <w:tab/>
            </w:r>
            <w:r w:rsidR="000601C9">
              <w:rPr>
                <w:noProof/>
                <w:webHidden/>
              </w:rPr>
              <w:fldChar w:fldCharType="begin"/>
            </w:r>
            <w:r w:rsidR="000601C9">
              <w:rPr>
                <w:noProof/>
                <w:webHidden/>
              </w:rPr>
              <w:instrText xml:space="preserve"> PAGEREF _Toc231769119 \h </w:instrText>
            </w:r>
            <w:r w:rsidR="000601C9">
              <w:rPr>
                <w:noProof/>
                <w:webHidden/>
              </w:rPr>
            </w:r>
            <w:r w:rsidR="000601C9">
              <w:rPr>
                <w:noProof/>
                <w:webHidden/>
              </w:rPr>
              <w:fldChar w:fldCharType="separate"/>
            </w:r>
            <w:r w:rsidR="000601C9">
              <w:rPr>
                <w:noProof/>
                <w:webHidden/>
              </w:rPr>
              <w:t>4</w:t>
            </w:r>
            <w:r w:rsidR="000601C9">
              <w:rPr>
                <w:noProof/>
                <w:webHidden/>
              </w:rPr>
              <w:fldChar w:fldCharType="end"/>
            </w:r>
          </w:hyperlink>
        </w:p>
        <w:p w14:paraId="7243AC69" w14:textId="620BFA5A"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20" w:history="1">
            <w:r w:rsidRPr="000D165B">
              <w:rPr>
                <w:rStyle w:val="Hipervnculo"/>
                <w:noProof/>
                <w:lang w:val="es-ES"/>
              </w:rPr>
              <w:t>2. MARCO TEÓRICO</w:t>
            </w:r>
            <w:r>
              <w:rPr>
                <w:noProof/>
                <w:webHidden/>
              </w:rPr>
              <w:tab/>
            </w:r>
            <w:r>
              <w:rPr>
                <w:noProof/>
                <w:webHidden/>
              </w:rPr>
              <w:fldChar w:fldCharType="begin"/>
            </w:r>
            <w:r>
              <w:rPr>
                <w:noProof/>
                <w:webHidden/>
              </w:rPr>
              <w:instrText xml:space="preserve"> PAGEREF _Toc231769120 \h </w:instrText>
            </w:r>
            <w:r>
              <w:rPr>
                <w:noProof/>
                <w:webHidden/>
              </w:rPr>
            </w:r>
            <w:r>
              <w:rPr>
                <w:noProof/>
                <w:webHidden/>
              </w:rPr>
              <w:fldChar w:fldCharType="separate"/>
            </w:r>
            <w:r>
              <w:rPr>
                <w:noProof/>
                <w:webHidden/>
              </w:rPr>
              <w:t>6</w:t>
            </w:r>
            <w:r>
              <w:rPr>
                <w:noProof/>
                <w:webHidden/>
              </w:rPr>
              <w:fldChar w:fldCharType="end"/>
            </w:r>
          </w:hyperlink>
        </w:p>
        <w:p w14:paraId="293A2145" w14:textId="38B17BF0"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1" w:history="1">
            <w:r w:rsidRPr="000D165B">
              <w:rPr>
                <w:rStyle w:val="Hipervnculo"/>
                <w:rFonts w:ascii="Times New Roman" w:hAnsi="Times New Roman"/>
                <w:b/>
                <w:bCs/>
                <w:noProof/>
              </w:rPr>
              <w:t>2.1. La teoría de selección de carteras de Markowitz</w:t>
            </w:r>
            <w:r>
              <w:rPr>
                <w:noProof/>
                <w:webHidden/>
              </w:rPr>
              <w:tab/>
            </w:r>
            <w:r>
              <w:rPr>
                <w:noProof/>
                <w:webHidden/>
              </w:rPr>
              <w:fldChar w:fldCharType="begin"/>
            </w:r>
            <w:r>
              <w:rPr>
                <w:noProof/>
                <w:webHidden/>
              </w:rPr>
              <w:instrText xml:space="preserve"> PAGEREF _Toc231769121 \h </w:instrText>
            </w:r>
            <w:r>
              <w:rPr>
                <w:noProof/>
                <w:webHidden/>
              </w:rPr>
            </w:r>
            <w:r>
              <w:rPr>
                <w:noProof/>
                <w:webHidden/>
              </w:rPr>
              <w:fldChar w:fldCharType="separate"/>
            </w:r>
            <w:r>
              <w:rPr>
                <w:noProof/>
                <w:webHidden/>
              </w:rPr>
              <w:t>6</w:t>
            </w:r>
            <w:r>
              <w:rPr>
                <w:noProof/>
                <w:webHidden/>
              </w:rPr>
              <w:fldChar w:fldCharType="end"/>
            </w:r>
          </w:hyperlink>
        </w:p>
        <w:p w14:paraId="361B27E9" w14:textId="0A06F48C"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2" w:history="1">
            <w:r w:rsidRPr="000D165B">
              <w:rPr>
                <w:rStyle w:val="Hipervnculo"/>
                <w:rFonts w:ascii="Times New Roman" w:hAnsi="Times New Roman"/>
                <w:b/>
                <w:bCs/>
                <w:noProof/>
              </w:rPr>
              <w:t>2.2. El modelo de valoración de activos de capital (CAPM)</w:t>
            </w:r>
            <w:r>
              <w:rPr>
                <w:noProof/>
                <w:webHidden/>
              </w:rPr>
              <w:tab/>
            </w:r>
            <w:r>
              <w:rPr>
                <w:noProof/>
                <w:webHidden/>
              </w:rPr>
              <w:fldChar w:fldCharType="begin"/>
            </w:r>
            <w:r>
              <w:rPr>
                <w:noProof/>
                <w:webHidden/>
              </w:rPr>
              <w:instrText xml:space="preserve"> PAGEREF _Toc231769122 \h </w:instrText>
            </w:r>
            <w:r>
              <w:rPr>
                <w:noProof/>
                <w:webHidden/>
              </w:rPr>
            </w:r>
            <w:r>
              <w:rPr>
                <w:noProof/>
                <w:webHidden/>
              </w:rPr>
              <w:fldChar w:fldCharType="separate"/>
            </w:r>
            <w:r>
              <w:rPr>
                <w:noProof/>
                <w:webHidden/>
              </w:rPr>
              <w:t>7</w:t>
            </w:r>
            <w:r>
              <w:rPr>
                <w:noProof/>
                <w:webHidden/>
              </w:rPr>
              <w:fldChar w:fldCharType="end"/>
            </w:r>
          </w:hyperlink>
        </w:p>
        <w:p w14:paraId="4AD6F94C" w14:textId="02A12BFB"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3" w:history="1">
            <w:r w:rsidRPr="000D165B">
              <w:rPr>
                <w:rStyle w:val="Hipervnculo"/>
                <w:rFonts w:ascii="Times New Roman" w:hAnsi="Times New Roman"/>
                <w:b/>
                <w:bCs/>
                <w:noProof/>
              </w:rPr>
              <w:t>2.3. Medidas de evaluación de carteras</w:t>
            </w:r>
            <w:r>
              <w:rPr>
                <w:noProof/>
                <w:webHidden/>
              </w:rPr>
              <w:tab/>
            </w:r>
            <w:r>
              <w:rPr>
                <w:noProof/>
                <w:webHidden/>
              </w:rPr>
              <w:fldChar w:fldCharType="begin"/>
            </w:r>
            <w:r>
              <w:rPr>
                <w:noProof/>
                <w:webHidden/>
              </w:rPr>
              <w:instrText xml:space="preserve"> PAGEREF _Toc231769123 \h </w:instrText>
            </w:r>
            <w:r>
              <w:rPr>
                <w:noProof/>
                <w:webHidden/>
              </w:rPr>
            </w:r>
            <w:r>
              <w:rPr>
                <w:noProof/>
                <w:webHidden/>
              </w:rPr>
              <w:fldChar w:fldCharType="separate"/>
            </w:r>
            <w:r>
              <w:rPr>
                <w:noProof/>
                <w:webHidden/>
              </w:rPr>
              <w:t>7</w:t>
            </w:r>
            <w:r>
              <w:rPr>
                <w:noProof/>
                <w:webHidden/>
              </w:rPr>
              <w:fldChar w:fldCharType="end"/>
            </w:r>
          </w:hyperlink>
        </w:p>
        <w:p w14:paraId="3426C8C7" w14:textId="15A862CE"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4" w:history="1">
            <w:r w:rsidRPr="000D165B">
              <w:rPr>
                <w:rStyle w:val="Hipervnculo"/>
                <w:rFonts w:ascii="Times New Roman" w:hAnsi="Times New Roman"/>
                <w:b/>
                <w:bCs/>
                <w:noProof/>
              </w:rPr>
              <w:t>2.4. Anomalías empíricas y el modelo de tres factores de Fama y French</w:t>
            </w:r>
            <w:r>
              <w:rPr>
                <w:noProof/>
                <w:webHidden/>
              </w:rPr>
              <w:tab/>
            </w:r>
            <w:r>
              <w:rPr>
                <w:noProof/>
                <w:webHidden/>
              </w:rPr>
              <w:fldChar w:fldCharType="begin"/>
            </w:r>
            <w:r>
              <w:rPr>
                <w:noProof/>
                <w:webHidden/>
              </w:rPr>
              <w:instrText xml:space="preserve"> PAGEREF _Toc231769124 \h </w:instrText>
            </w:r>
            <w:r>
              <w:rPr>
                <w:noProof/>
                <w:webHidden/>
              </w:rPr>
            </w:r>
            <w:r>
              <w:rPr>
                <w:noProof/>
                <w:webHidden/>
              </w:rPr>
              <w:fldChar w:fldCharType="separate"/>
            </w:r>
            <w:r>
              <w:rPr>
                <w:noProof/>
                <w:webHidden/>
              </w:rPr>
              <w:t>8</w:t>
            </w:r>
            <w:r>
              <w:rPr>
                <w:noProof/>
                <w:webHidden/>
              </w:rPr>
              <w:fldChar w:fldCharType="end"/>
            </w:r>
          </w:hyperlink>
        </w:p>
        <w:p w14:paraId="4EF150E9" w14:textId="640D695E"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5" w:history="1">
            <w:r w:rsidRPr="000D165B">
              <w:rPr>
                <w:rStyle w:val="Hipervnculo"/>
                <w:rFonts w:ascii="Times New Roman" w:hAnsi="Times New Roman"/>
                <w:b/>
                <w:bCs/>
                <w:noProof/>
              </w:rPr>
              <w:t>2.5. La teoría de valoración por arbitraje (APT)</w:t>
            </w:r>
            <w:r>
              <w:rPr>
                <w:noProof/>
                <w:webHidden/>
              </w:rPr>
              <w:tab/>
            </w:r>
            <w:r>
              <w:rPr>
                <w:noProof/>
                <w:webHidden/>
              </w:rPr>
              <w:fldChar w:fldCharType="begin"/>
            </w:r>
            <w:r>
              <w:rPr>
                <w:noProof/>
                <w:webHidden/>
              </w:rPr>
              <w:instrText xml:space="preserve"> PAGEREF _Toc231769125 \h </w:instrText>
            </w:r>
            <w:r>
              <w:rPr>
                <w:noProof/>
                <w:webHidden/>
              </w:rPr>
            </w:r>
            <w:r>
              <w:rPr>
                <w:noProof/>
                <w:webHidden/>
              </w:rPr>
              <w:fldChar w:fldCharType="separate"/>
            </w:r>
            <w:r>
              <w:rPr>
                <w:noProof/>
                <w:webHidden/>
              </w:rPr>
              <w:t>9</w:t>
            </w:r>
            <w:r>
              <w:rPr>
                <w:noProof/>
                <w:webHidden/>
              </w:rPr>
              <w:fldChar w:fldCharType="end"/>
            </w:r>
          </w:hyperlink>
        </w:p>
        <w:p w14:paraId="1AB9D396" w14:textId="41146D7A"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6" w:history="1">
            <w:r w:rsidRPr="000D165B">
              <w:rPr>
                <w:rStyle w:val="Hipervnculo"/>
                <w:rFonts w:ascii="Times New Roman" w:hAnsi="Times New Roman"/>
                <w:b/>
                <w:bCs/>
                <w:noProof/>
              </w:rPr>
              <w:t>2.6. Sostenibilidad y rentabilidad: revisión de la literatura</w:t>
            </w:r>
            <w:r>
              <w:rPr>
                <w:noProof/>
                <w:webHidden/>
              </w:rPr>
              <w:tab/>
            </w:r>
            <w:r>
              <w:rPr>
                <w:noProof/>
                <w:webHidden/>
              </w:rPr>
              <w:fldChar w:fldCharType="begin"/>
            </w:r>
            <w:r>
              <w:rPr>
                <w:noProof/>
                <w:webHidden/>
              </w:rPr>
              <w:instrText xml:space="preserve"> PAGEREF _Toc231769126 \h </w:instrText>
            </w:r>
            <w:r>
              <w:rPr>
                <w:noProof/>
                <w:webHidden/>
              </w:rPr>
            </w:r>
            <w:r>
              <w:rPr>
                <w:noProof/>
                <w:webHidden/>
              </w:rPr>
              <w:fldChar w:fldCharType="separate"/>
            </w:r>
            <w:r>
              <w:rPr>
                <w:noProof/>
                <w:webHidden/>
              </w:rPr>
              <w:t>9</w:t>
            </w:r>
            <w:r>
              <w:rPr>
                <w:noProof/>
                <w:webHidden/>
              </w:rPr>
              <w:fldChar w:fldCharType="end"/>
            </w:r>
          </w:hyperlink>
        </w:p>
        <w:p w14:paraId="65F6EC45" w14:textId="14ABE8AC"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27" w:history="1">
            <w:r w:rsidRPr="000D165B">
              <w:rPr>
                <w:rStyle w:val="Hipervnculo"/>
                <w:rFonts w:ascii="Times New Roman" w:hAnsi="Times New Roman"/>
                <w:b/>
                <w:bCs/>
                <w:noProof/>
              </w:rPr>
              <w:t>2.7. Hipótesis de investigación</w:t>
            </w:r>
            <w:r>
              <w:rPr>
                <w:noProof/>
                <w:webHidden/>
              </w:rPr>
              <w:tab/>
            </w:r>
            <w:r>
              <w:rPr>
                <w:noProof/>
                <w:webHidden/>
              </w:rPr>
              <w:fldChar w:fldCharType="begin"/>
            </w:r>
            <w:r>
              <w:rPr>
                <w:noProof/>
                <w:webHidden/>
              </w:rPr>
              <w:instrText xml:space="preserve"> PAGEREF _Toc231769127 \h </w:instrText>
            </w:r>
            <w:r>
              <w:rPr>
                <w:noProof/>
                <w:webHidden/>
              </w:rPr>
            </w:r>
            <w:r>
              <w:rPr>
                <w:noProof/>
                <w:webHidden/>
              </w:rPr>
              <w:fldChar w:fldCharType="separate"/>
            </w:r>
            <w:r>
              <w:rPr>
                <w:noProof/>
                <w:webHidden/>
              </w:rPr>
              <w:t>10</w:t>
            </w:r>
            <w:r>
              <w:rPr>
                <w:noProof/>
                <w:webHidden/>
              </w:rPr>
              <w:fldChar w:fldCharType="end"/>
            </w:r>
          </w:hyperlink>
        </w:p>
        <w:p w14:paraId="4CD2F78B" w14:textId="6EA46688"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28" w:history="1">
            <w:r w:rsidRPr="000D165B">
              <w:rPr>
                <w:rStyle w:val="Hipervnculo"/>
                <w:noProof/>
                <w:lang w:val="es-ES"/>
              </w:rPr>
              <w:t>3. SELECCIÓN DE LA MUESTRA Y METODOLOGÍA</w:t>
            </w:r>
            <w:r>
              <w:rPr>
                <w:noProof/>
                <w:webHidden/>
              </w:rPr>
              <w:tab/>
            </w:r>
            <w:r>
              <w:rPr>
                <w:noProof/>
                <w:webHidden/>
              </w:rPr>
              <w:fldChar w:fldCharType="begin"/>
            </w:r>
            <w:r>
              <w:rPr>
                <w:noProof/>
                <w:webHidden/>
              </w:rPr>
              <w:instrText xml:space="preserve"> PAGEREF _Toc231769128 \h </w:instrText>
            </w:r>
            <w:r>
              <w:rPr>
                <w:noProof/>
                <w:webHidden/>
              </w:rPr>
            </w:r>
            <w:r>
              <w:rPr>
                <w:noProof/>
                <w:webHidden/>
              </w:rPr>
              <w:fldChar w:fldCharType="separate"/>
            </w:r>
            <w:r>
              <w:rPr>
                <w:noProof/>
                <w:webHidden/>
              </w:rPr>
              <w:t>12</w:t>
            </w:r>
            <w:r>
              <w:rPr>
                <w:noProof/>
                <w:webHidden/>
              </w:rPr>
              <w:fldChar w:fldCharType="end"/>
            </w:r>
          </w:hyperlink>
        </w:p>
        <w:p w14:paraId="546F7F97" w14:textId="421B1048" w:rsidR="000601C9" w:rsidRDefault="000601C9">
          <w:pPr>
            <w:pStyle w:val="TDC3"/>
            <w:tabs>
              <w:tab w:val="right" w:leader="dot" w:pos="8494"/>
            </w:tabs>
            <w:rPr>
              <w:rFonts w:eastAsiaTheme="minorEastAsia" w:cstheme="minorBidi"/>
              <w:i w:val="0"/>
              <w:iCs w:val="0"/>
              <w:noProof/>
              <w:color w:val="auto"/>
              <w:kern w:val="2"/>
              <w:sz w:val="24"/>
              <w:szCs w:val="24"/>
              <w:lang w:val="es-ES" w:eastAsia="zh-CN" w:bidi="ar-SA"/>
              <w14:ligatures w14:val="standardContextual"/>
            </w:rPr>
          </w:pPr>
          <w:hyperlink w:anchor="_Toc231769129" w:history="1">
            <w:r w:rsidRPr="000D165B">
              <w:rPr>
                <w:rStyle w:val="Hipervnculo"/>
                <w:b/>
                <w:bCs/>
                <w:noProof/>
              </w:rPr>
              <w:t>3.1. Selección de la muestra</w:t>
            </w:r>
            <w:r>
              <w:rPr>
                <w:noProof/>
                <w:webHidden/>
              </w:rPr>
              <w:tab/>
            </w:r>
            <w:r>
              <w:rPr>
                <w:noProof/>
                <w:webHidden/>
              </w:rPr>
              <w:fldChar w:fldCharType="begin"/>
            </w:r>
            <w:r>
              <w:rPr>
                <w:noProof/>
                <w:webHidden/>
              </w:rPr>
              <w:instrText xml:space="preserve"> PAGEREF _Toc231769129 \h </w:instrText>
            </w:r>
            <w:r>
              <w:rPr>
                <w:noProof/>
                <w:webHidden/>
              </w:rPr>
            </w:r>
            <w:r>
              <w:rPr>
                <w:noProof/>
                <w:webHidden/>
              </w:rPr>
              <w:fldChar w:fldCharType="separate"/>
            </w:r>
            <w:r>
              <w:rPr>
                <w:noProof/>
                <w:webHidden/>
              </w:rPr>
              <w:t>12</w:t>
            </w:r>
            <w:r>
              <w:rPr>
                <w:noProof/>
                <w:webHidden/>
              </w:rPr>
              <w:fldChar w:fldCharType="end"/>
            </w:r>
          </w:hyperlink>
        </w:p>
        <w:p w14:paraId="547E9381" w14:textId="48276281"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0" w:history="1">
            <w:r w:rsidRPr="000D165B">
              <w:rPr>
                <w:rStyle w:val="Hipervnculo"/>
                <w:rFonts w:ascii="Times New Roman" w:hAnsi="Times New Roman"/>
                <w:b/>
                <w:bCs/>
                <w:noProof/>
              </w:rPr>
              <w:t>3.2. Fuentes de datos</w:t>
            </w:r>
            <w:r>
              <w:rPr>
                <w:noProof/>
                <w:webHidden/>
              </w:rPr>
              <w:tab/>
            </w:r>
            <w:r>
              <w:rPr>
                <w:noProof/>
                <w:webHidden/>
              </w:rPr>
              <w:fldChar w:fldCharType="begin"/>
            </w:r>
            <w:r>
              <w:rPr>
                <w:noProof/>
                <w:webHidden/>
              </w:rPr>
              <w:instrText xml:space="preserve"> PAGEREF _Toc231769130 \h </w:instrText>
            </w:r>
            <w:r>
              <w:rPr>
                <w:noProof/>
                <w:webHidden/>
              </w:rPr>
            </w:r>
            <w:r>
              <w:rPr>
                <w:noProof/>
                <w:webHidden/>
              </w:rPr>
              <w:fldChar w:fldCharType="separate"/>
            </w:r>
            <w:r>
              <w:rPr>
                <w:noProof/>
                <w:webHidden/>
              </w:rPr>
              <w:t>13</w:t>
            </w:r>
            <w:r>
              <w:rPr>
                <w:noProof/>
                <w:webHidden/>
              </w:rPr>
              <w:fldChar w:fldCharType="end"/>
            </w:r>
          </w:hyperlink>
        </w:p>
        <w:p w14:paraId="16ED98ED" w14:textId="16FABBA8"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1" w:history="1">
            <w:r w:rsidRPr="000D165B">
              <w:rPr>
                <w:rStyle w:val="Hipervnculo"/>
                <w:rFonts w:ascii="Times New Roman" w:hAnsi="Times New Roman"/>
                <w:b/>
                <w:bCs/>
                <w:noProof/>
              </w:rPr>
              <w:t>3.3. Período de análisis</w:t>
            </w:r>
            <w:r>
              <w:rPr>
                <w:noProof/>
                <w:webHidden/>
              </w:rPr>
              <w:tab/>
            </w:r>
            <w:r>
              <w:rPr>
                <w:noProof/>
                <w:webHidden/>
              </w:rPr>
              <w:fldChar w:fldCharType="begin"/>
            </w:r>
            <w:r>
              <w:rPr>
                <w:noProof/>
                <w:webHidden/>
              </w:rPr>
              <w:instrText xml:space="preserve"> PAGEREF _Toc231769131 \h </w:instrText>
            </w:r>
            <w:r>
              <w:rPr>
                <w:noProof/>
                <w:webHidden/>
              </w:rPr>
            </w:r>
            <w:r>
              <w:rPr>
                <w:noProof/>
                <w:webHidden/>
              </w:rPr>
              <w:fldChar w:fldCharType="separate"/>
            </w:r>
            <w:r>
              <w:rPr>
                <w:noProof/>
                <w:webHidden/>
              </w:rPr>
              <w:t>14</w:t>
            </w:r>
            <w:r>
              <w:rPr>
                <w:noProof/>
                <w:webHidden/>
              </w:rPr>
              <w:fldChar w:fldCharType="end"/>
            </w:r>
          </w:hyperlink>
        </w:p>
        <w:p w14:paraId="34108681" w14:textId="46307BD1"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2" w:history="1">
            <w:r w:rsidRPr="000D165B">
              <w:rPr>
                <w:rStyle w:val="Hipervnculo"/>
                <w:rFonts w:ascii="Times New Roman" w:hAnsi="Times New Roman"/>
                <w:b/>
                <w:bCs/>
                <w:noProof/>
              </w:rPr>
              <w:t>3.4. Construcción del factor ESG</w:t>
            </w:r>
            <w:r>
              <w:rPr>
                <w:noProof/>
                <w:webHidden/>
              </w:rPr>
              <w:tab/>
            </w:r>
            <w:r>
              <w:rPr>
                <w:noProof/>
                <w:webHidden/>
              </w:rPr>
              <w:fldChar w:fldCharType="begin"/>
            </w:r>
            <w:r>
              <w:rPr>
                <w:noProof/>
                <w:webHidden/>
              </w:rPr>
              <w:instrText xml:space="preserve"> PAGEREF _Toc231769132 \h </w:instrText>
            </w:r>
            <w:r>
              <w:rPr>
                <w:noProof/>
                <w:webHidden/>
              </w:rPr>
            </w:r>
            <w:r>
              <w:rPr>
                <w:noProof/>
                <w:webHidden/>
              </w:rPr>
              <w:fldChar w:fldCharType="separate"/>
            </w:r>
            <w:r>
              <w:rPr>
                <w:noProof/>
                <w:webHidden/>
              </w:rPr>
              <w:t>14</w:t>
            </w:r>
            <w:r>
              <w:rPr>
                <w:noProof/>
                <w:webHidden/>
              </w:rPr>
              <w:fldChar w:fldCharType="end"/>
            </w:r>
          </w:hyperlink>
        </w:p>
        <w:p w14:paraId="7904C47F" w14:textId="349141B6"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3" w:history="1">
            <w:r w:rsidRPr="000D165B">
              <w:rPr>
                <w:rStyle w:val="Hipervnculo"/>
                <w:rFonts w:ascii="Times New Roman" w:hAnsi="Times New Roman"/>
                <w:b/>
                <w:bCs/>
                <w:noProof/>
              </w:rPr>
              <w:t>3.5. El modelo de cuatro factores</w:t>
            </w:r>
            <w:r>
              <w:rPr>
                <w:noProof/>
                <w:webHidden/>
              </w:rPr>
              <w:tab/>
            </w:r>
            <w:r>
              <w:rPr>
                <w:noProof/>
                <w:webHidden/>
              </w:rPr>
              <w:fldChar w:fldCharType="begin"/>
            </w:r>
            <w:r>
              <w:rPr>
                <w:noProof/>
                <w:webHidden/>
              </w:rPr>
              <w:instrText xml:space="preserve"> PAGEREF _Toc231769133 \h </w:instrText>
            </w:r>
            <w:r>
              <w:rPr>
                <w:noProof/>
                <w:webHidden/>
              </w:rPr>
            </w:r>
            <w:r>
              <w:rPr>
                <w:noProof/>
                <w:webHidden/>
              </w:rPr>
              <w:fldChar w:fldCharType="separate"/>
            </w:r>
            <w:r>
              <w:rPr>
                <w:noProof/>
                <w:webHidden/>
              </w:rPr>
              <w:t>15</w:t>
            </w:r>
            <w:r>
              <w:rPr>
                <w:noProof/>
                <w:webHidden/>
              </w:rPr>
              <w:fldChar w:fldCharType="end"/>
            </w:r>
          </w:hyperlink>
        </w:p>
        <w:p w14:paraId="46F340D6" w14:textId="6F877340"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4" w:history="1">
            <w:r w:rsidRPr="000D165B">
              <w:rPr>
                <w:rStyle w:val="Hipervnculo"/>
                <w:rFonts w:ascii="Times New Roman" w:hAnsi="Times New Roman"/>
                <w:b/>
                <w:bCs/>
                <w:noProof/>
              </w:rPr>
              <w:t>3.6. Técnica de estimación</w:t>
            </w:r>
            <w:r>
              <w:rPr>
                <w:noProof/>
                <w:webHidden/>
              </w:rPr>
              <w:tab/>
            </w:r>
            <w:r>
              <w:rPr>
                <w:noProof/>
                <w:webHidden/>
              </w:rPr>
              <w:fldChar w:fldCharType="begin"/>
            </w:r>
            <w:r>
              <w:rPr>
                <w:noProof/>
                <w:webHidden/>
              </w:rPr>
              <w:instrText xml:space="preserve"> PAGEREF _Toc231769134 \h </w:instrText>
            </w:r>
            <w:r>
              <w:rPr>
                <w:noProof/>
                <w:webHidden/>
              </w:rPr>
            </w:r>
            <w:r>
              <w:rPr>
                <w:noProof/>
                <w:webHidden/>
              </w:rPr>
              <w:fldChar w:fldCharType="separate"/>
            </w:r>
            <w:r>
              <w:rPr>
                <w:noProof/>
                <w:webHidden/>
              </w:rPr>
              <w:t>15</w:t>
            </w:r>
            <w:r>
              <w:rPr>
                <w:noProof/>
                <w:webHidden/>
              </w:rPr>
              <w:fldChar w:fldCharType="end"/>
            </w:r>
          </w:hyperlink>
        </w:p>
        <w:p w14:paraId="7D0B1F97" w14:textId="29E0C69E"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35" w:history="1">
            <w:r w:rsidRPr="000D165B">
              <w:rPr>
                <w:rStyle w:val="Hipervnculo"/>
                <w:noProof/>
                <w:lang w:val="es-ES"/>
              </w:rPr>
              <w:t>4. RESULTADOS</w:t>
            </w:r>
            <w:r>
              <w:rPr>
                <w:noProof/>
                <w:webHidden/>
              </w:rPr>
              <w:tab/>
            </w:r>
            <w:r>
              <w:rPr>
                <w:noProof/>
                <w:webHidden/>
              </w:rPr>
              <w:fldChar w:fldCharType="begin"/>
            </w:r>
            <w:r>
              <w:rPr>
                <w:noProof/>
                <w:webHidden/>
              </w:rPr>
              <w:instrText xml:space="preserve"> PAGEREF _Toc231769135 \h </w:instrText>
            </w:r>
            <w:r>
              <w:rPr>
                <w:noProof/>
                <w:webHidden/>
              </w:rPr>
            </w:r>
            <w:r>
              <w:rPr>
                <w:noProof/>
                <w:webHidden/>
              </w:rPr>
              <w:fldChar w:fldCharType="separate"/>
            </w:r>
            <w:r>
              <w:rPr>
                <w:noProof/>
                <w:webHidden/>
              </w:rPr>
              <w:t>17</w:t>
            </w:r>
            <w:r>
              <w:rPr>
                <w:noProof/>
                <w:webHidden/>
              </w:rPr>
              <w:fldChar w:fldCharType="end"/>
            </w:r>
          </w:hyperlink>
        </w:p>
        <w:p w14:paraId="2EC7D97F" w14:textId="6EE3AFCA" w:rsidR="000601C9" w:rsidRDefault="000601C9">
          <w:pPr>
            <w:pStyle w:val="TDC3"/>
            <w:tabs>
              <w:tab w:val="right" w:leader="dot" w:pos="8494"/>
            </w:tabs>
            <w:rPr>
              <w:rFonts w:eastAsiaTheme="minorEastAsia" w:cstheme="minorBidi"/>
              <w:i w:val="0"/>
              <w:iCs w:val="0"/>
              <w:noProof/>
              <w:color w:val="auto"/>
              <w:kern w:val="2"/>
              <w:sz w:val="24"/>
              <w:szCs w:val="24"/>
              <w:lang w:val="es-ES" w:eastAsia="zh-CN" w:bidi="ar-SA"/>
              <w14:ligatures w14:val="standardContextual"/>
            </w:rPr>
          </w:pPr>
          <w:hyperlink w:anchor="_Toc231769136" w:history="1">
            <w:r w:rsidRPr="000D165B">
              <w:rPr>
                <w:rStyle w:val="Hipervnculo"/>
                <w:b/>
                <w:bCs/>
                <w:noProof/>
                <w:lang w:val="es-ES"/>
              </w:rPr>
              <w:t xml:space="preserve">4.1 </w:t>
            </w:r>
            <w:r w:rsidRPr="000D165B">
              <w:rPr>
                <w:rStyle w:val="Hipervnculo"/>
                <w:b/>
                <w:bCs/>
                <w:noProof/>
              </w:rPr>
              <w:t>Comportamiento del factor ESG</w:t>
            </w:r>
            <w:r>
              <w:rPr>
                <w:noProof/>
                <w:webHidden/>
              </w:rPr>
              <w:tab/>
            </w:r>
            <w:r>
              <w:rPr>
                <w:noProof/>
                <w:webHidden/>
              </w:rPr>
              <w:fldChar w:fldCharType="begin"/>
            </w:r>
            <w:r>
              <w:rPr>
                <w:noProof/>
                <w:webHidden/>
              </w:rPr>
              <w:instrText xml:space="preserve"> PAGEREF _Toc231769136 \h </w:instrText>
            </w:r>
            <w:r>
              <w:rPr>
                <w:noProof/>
                <w:webHidden/>
              </w:rPr>
            </w:r>
            <w:r>
              <w:rPr>
                <w:noProof/>
                <w:webHidden/>
              </w:rPr>
              <w:fldChar w:fldCharType="separate"/>
            </w:r>
            <w:r>
              <w:rPr>
                <w:noProof/>
                <w:webHidden/>
              </w:rPr>
              <w:t>17</w:t>
            </w:r>
            <w:r>
              <w:rPr>
                <w:noProof/>
                <w:webHidden/>
              </w:rPr>
              <w:fldChar w:fldCharType="end"/>
            </w:r>
          </w:hyperlink>
        </w:p>
        <w:p w14:paraId="43EF9782" w14:textId="1E75B6A9" w:rsidR="000601C9" w:rsidRDefault="000601C9">
          <w:pPr>
            <w:pStyle w:val="TDC3"/>
            <w:tabs>
              <w:tab w:val="right" w:leader="dot" w:pos="8494"/>
            </w:tabs>
            <w:rPr>
              <w:rFonts w:eastAsiaTheme="minorEastAsia" w:cstheme="minorBidi"/>
              <w:i w:val="0"/>
              <w:iCs w:val="0"/>
              <w:noProof/>
              <w:color w:val="auto"/>
              <w:kern w:val="2"/>
              <w:sz w:val="24"/>
              <w:szCs w:val="24"/>
              <w:lang w:val="es-ES" w:eastAsia="zh-CN" w:bidi="ar-SA"/>
              <w14:ligatures w14:val="standardContextual"/>
            </w:rPr>
          </w:pPr>
          <w:hyperlink w:anchor="_Toc231769137" w:history="1">
            <w:r w:rsidRPr="000D165B">
              <w:rPr>
                <w:rStyle w:val="Hipervnculo"/>
                <w:b/>
                <w:bCs/>
                <w:noProof/>
                <w:lang w:val="es-ES"/>
              </w:rPr>
              <w:t xml:space="preserve">4.2 </w:t>
            </w:r>
            <w:r w:rsidRPr="000D165B">
              <w:rPr>
                <w:rStyle w:val="Hipervnculo"/>
                <w:b/>
                <w:bCs/>
                <w:noProof/>
              </w:rPr>
              <w:t>Relación con los factores de Fama y French</w:t>
            </w:r>
            <w:r>
              <w:rPr>
                <w:noProof/>
                <w:webHidden/>
              </w:rPr>
              <w:tab/>
            </w:r>
            <w:r>
              <w:rPr>
                <w:noProof/>
                <w:webHidden/>
              </w:rPr>
              <w:fldChar w:fldCharType="begin"/>
            </w:r>
            <w:r>
              <w:rPr>
                <w:noProof/>
                <w:webHidden/>
              </w:rPr>
              <w:instrText xml:space="preserve"> PAGEREF _Toc231769137 \h </w:instrText>
            </w:r>
            <w:r>
              <w:rPr>
                <w:noProof/>
                <w:webHidden/>
              </w:rPr>
            </w:r>
            <w:r>
              <w:rPr>
                <w:noProof/>
                <w:webHidden/>
              </w:rPr>
              <w:fldChar w:fldCharType="separate"/>
            </w:r>
            <w:r>
              <w:rPr>
                <w:noProof/>
                <w:webHidden/>
              </w:rPr>
              <w:t>18</w:t>
            </w:r>
            <w:r>
              <w:rPr>
                <w:noProof/>
                <w:webHidden/>
              </w:rPr>
              <w:fldChar w:fldCharType="end"/>
            </w:r>
          </w:hyperlink>
        </w:p>
        <w:p w14:paraId="59941CCF" w14:textId="3AAED989"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8" w:history="1">
            <w:r w:rsidRPr="000D165B">
              <w:rPr>
                <w:rStyle w:val="Hipervnculo"/>
                <w:rFonts w:ascii="Times New Roman" w:hAnsi="Times New Roman"/>
                <w:b/>
                <w:bCs/>
                <w:noProof/>
              </w:rPr>
              <w:t>4.3. Estimación del modelo de cuatro factores</w:t>
            </w:r>
            <w:r>
              <w:rPr>
                <w:noProof/>
                <w:webHidden/>
              </w:rPr>
              <w:tab/>
            </w:r>
            <w:r>
              <w:rPr>
                <w:noProof/>
                <w:webHidden/>
              </w:rPr>
              <w:fldChar w:fldCharType="begin"/>
            </w:r>
            <w:r>
              <w:rPr>
                <w:noProof/>
                <w:webHidden/>
              </w:rPr>
              <w:instrText xml:space="preserve"> PAGEREF _Toc231769138 \h </w:instrText>
            </w:r>
            <w:r>
              <w:rPr>
                <w:noProof/>
                <w:webHidden/>
              </w:rPr>
            </w:r>
            <w:r>
              <w:rPr>
                <w:noProof/>
                <w:webHidden/>
              </w:rPr>
              <w:fldChar w:fldCharType="separate"/>
            </w:r>
            <w:r>
              <w:rPr>
                <w:noProof/>
                <w:webHidden/>
              </w:rPr>
              <w:t>19</w:t>
            </w:r>
            <w:r>
              <w:rPr>
                <w:noProof/>
                <w:webHidden/>
              </w:rPr>
              <w:fldChar w:fldCharType="end"/>
            </w:r>
          </w:hyperlink>
        </w:p>
        <w:p w14:paraId="22220F16" w14:textId="79C6403F"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39" w:history="1">
            <w:r w:rsidRPr="000D165B">
              <w:rPr>
                <w:rStyle w:val="Hipervnculo"/>
                <w:rFonts w:ascii="Times New Roman" w:hAnsi="Times New Roman"/>
                <w:b/>
                <w:bCs/>
                <w:noProof/>
              </w:rPr>
              <w:t>4.4. Distribución de la sensibilidad al factor ESG</w:t>
            </w:r>
            <w:r>
              <w:rPr>
                <w:noProof/>
                <w:webHidden/>
              </w:rPr>
              <w:tab/>
            </w:r>
            <w:r>
              <w:rPr>
                <w:noProof/>
                <w:webHidden/>
              </w:rPr>
              <w:fldChar w:fldCharType="begin"/>
            </w:r>
            <w:r>
              <w:rPr>
                <w:noProof/>
                <w:webHidden/>
              </w:rPr>
              <w:instrText xml:space="preserve"> PAGEREF _Toc231769139 \h </w:instrText>
            </w:r>
            <w:r>
              <w:rPr>
                <w:noProof/>
                <w:webHidden/>
              </w:rPr>
            </w:r>
            <w:r>
              <w:rPr>
                <w:noProof/>
                <w:webHidden/>
              </w:rPr>
              <w:fldChar w:fldCharType="separate"/>
            </w:r>
            <w:r>
              <w:rPr>
                <w:noProof/>
                <w:webHidden/>
              </w:rPr>
              <w:t>20</w:t>
            </w:r>
            <w:r>
              <w:rPr>
                <w:noProof/>
                <w:webHidden/>
              </w:rPr>
              <w:fldChar w:fldCharType="end"/>
            </w:r>
          </w:hyperlink>
        </w:p>
        <w:p w14:paraId="0FA98953" w14:textId="020DA3DC" w:rsidR="000601C9" w:rsidRDefault="000601C9">
          <w:pPr>
            <w:pStyle w:val="TDC3"/>
            <w:tabs>
              <w:tab w:val="right" w:leader="dot" w:pos="8494"/>
            </w:tabs>
            <w:rPr>
              <w:rFonts w:eastAsiaTheme="minorEastAsia" w:cstheme="minorBidi"/>
              <w:i w:val="0"/>
              <w:iCs w:val="0"/>
              <w:noProof/>
              <w:color w:val="auto"/>
              <w:kern w:val="2"/>
              <w:sz w:val="24"/>
              <w:szCs w:val="24"/>
              <w:lang w:val="es-ES" w:eastAsia="zh-CN" w:bidi="ar-SA"/>
              <w14:ligatures w14:val="standardContextual"/>
            </w:rPr>
          </w:pPr>
          <w:hyperlink w:anchor="_Toc231769140" w:history="1">
            <w:r w:rsidRPr="000D165B">
              <w:rPr>
                <w:rStyle w:val="Hipervnculo"/>
                <w:b/>
                <w:bCs/>
                <w:noProof/>
                <w:lang w:val="es-ES"/>
              </w:rPr>
              <w:t>4.5 Análisis por sectores</w:t>
            </w:r>
            <w:r>
              <w:rPr>
                <w:noProof/>
                <w:webHidden/>
              </w:rPr>
              <w:tab/>
            </w:r>
            <w:r>
              <w:rPr>
                <w:noProof/>
                <w:webHidden/>
              </w:rPr>
              <w:fldChar w:fldCharType="begin"/>
            </w:r>
            <w:r>
              <w:rPr>
                <w:noProof/>
                <w:webHidden/>
              </w:rPr>
              <w:instrText xml:space="preserve"> PAGEREF _Toc231769140 \h </w:instrText>
            </w:r>
            <w:r>
              <w:rPr>
                <w:noProof/>
                <w:webHidden/>
              </w:rPr>
            </w:r>
            <w:r>
              <w:rPr>
                <w:noProof/>
                <w:webHidden/>
              </w:rPr>
              <w:fldChar w:fldCharType="separate"/>
            </w:r>
            <w:r>
              <w:rPr>
                <w:noProof/>
                <w:webHidden/>
              </w:rPr>
              <w:t>21</w:t>
            </w:r>
            <w:r>
              <w:rPr>
                <w:noProof/>
                <w:webHidden/>
              </w:rPr>
              <w:fldChar w:fldCharType="end"/>
            </w:r>
          </w:hyperlink>
        </w:p>
        <w:p w14:paraId="7605EFD1" w14:textId="0EC7C1B9" w:rsidR="000601C9" w:rsidRDefault="000601C9">
          <w:pPr>
            <w:pStyle w:val="TDC3"/>
            <w:tabs>
              <w:tab w:val="right" w:leader="dot" w:pos="8494"/>
            </w:tabs>
            <w:rPr>
              <w:rFonts w:eastAsiaTheme="minorEastAsia" w:cstheme="minorBidi"/>
              <w:i w:val="0"/>
              <w:iCs w:val="0"/>
              <w:noProof/>
              <w:color w:val="auto"/>
              <w:kern w:val="2"/>
              <w:sz w:val="24"/>
              <w:szCs w:val="24"/>
              <w:lang w:val="es-ES" w:eastAsia="zh-CN" w:bidi="ar-SA"/>
              <w14:ligatures w14:val="standardContextual"/>
            </w:rPr>
          </w:pPr>
          <w:hyperlink w:anchor="_Toc231769141" w:history="1">
            <w:r w:rsidRPr="000D165B">
              <w:rPr>
                <w:rStyle w:val="Hipervnculo"/>
                <w:b/>
                <w:bCs/>
                <w:noProof/>
                <w:lang w:val="es-ES"/>
              </w:rPr>
              <w:t>4.6 Comparación entre el modelo de tres y cuatro factores</w:t>
            </w:r>
            <w:r>
              <w:rPr>
                <w:noProof/>
                <w:webHidden/>
              </w:rPr>
              <w:tab/>
            </w:r>
            <w:r>
              <w:rPr>
                <w:noProof/>
                <w:webHidden/>
              </w:rPr>
              <w:fldChar w:fldCharType="begin"/>
            </w:r>
            <w:r>
              <w:rPr>
                <w:noProof/>
                <w:webHidden/>
              </w:rPr>
              <w:instrText xml:space="preserve"> PAGEREF _Toc231769141 \h </w:instrText>
            </w:r>
            <w:r>
              <w:rPr>
                <w:noProof/>
                <w:webHidden/>
              </w:rPr>
            </w:r>
            <w:r>
              <w:rPr>
                <w:noProof/>
                <w:webHidden/>
              </w:rPr>
              <w:fldChar w:fldCharType="separate"/>
            </w:r>
            <w:r>
              <w:rPr>
                <w:noProof/>
                <w:webHidden/>
              </w:rPr>
              <w:t>21</w:t>
            </w:r>
            <w:r>
              <w:rPr>
                <w:noProof/>
                <w:webHidden/>
              </w:rPr>
              <w:fldChar w:fldCharType="end"/>
            </w:r>
          </w:hyperlink>
        </w:p>
        <w:p w14:paraId="5CCE2DBE" w14:textId="0B06DDB3" w:rsidR="000601C9" w:rsidRDefault="000601C9">
          <w:pPr>
            <w:pStyle w:val="TDC2"/>
            <w:tabs>
              <w:tab w:val="right" w:leader="dot" w:pos="8494"/>
            </w:tabs>
            <w:rPr>
              <w:rFonts w:eastAsiaTheme="minorEastAsia" w:cstheme="minorBidi"/>
              <w:smallCaps w:val="0"/>
              <w:noProof/>
              <w:color w:val="auto"/>
              <w:kern w:val="2"/>
              <w:sz w:val="24"/>
              <w:szCs w:val="24"/>
              <w:lang w:val="es-ES" w:eastAsia="zh-CN" w:bidi="ar-SA"/>
              <w14:ligatures w14:val="standardContextual"/>
            </w:rPr>
          </w:pPr>
          <w:hyperlink w:anchor="_Toc231769142" w:history="1">
            <w:r w:rsidRPr="000D165B">
              <w:rPr>
                <w:rStyle w:val="Hipervnculo"/>
                <w:rFonts w:ascii="Times New Roman" w:hAnsi="Times New Roman"/>
                <w:b/>
                <w:bCs/>
                <w:noProof/>
              </w:rPr>
              <w:t>4.7. Análisis complementario: descomposición del riesgo en el IBEX 35</w:t>
            </w:r>
            <w:r>
              <w:rPr>
                <w:noProof/>
                <w:webHidden/>
              </w:rPr>
              <w:tab/>
            </w:r>
            <w:r>
              <w:rPr>
                <w:noProof/>
                <w:webHidden/>
              </w:rPr>
              <w:fldChar w:fldCharType="begin"/>
            </w:r>
            <w:r>
              <w:rPr>
                <w:noProof/>
                <w:webHidden/>
              </w:rPr>
              <w:instrText xml:space="preserve"> PAGEREF _Toc231769142 \h </w:instrText>
            </w:r>
            <w:r>
              <w:rPr>
                <w:noProof/>
                <w:webHidden/>
              </w:rPr>
            </w:r>
            <w:r>
              <w:rPr>
                <w:noProof/>
                <w:webHidden/>
              </w:rPr>
              <w:fldChar w:fldCharType="separate"/>
            </w:r>
            <w:r>
              <w:rPr>
                <w:noProof/>
                <w:webHidden/>
              </w:rPr>
              <w:t>22</w:t>
            </w:r>
            <w:r>
              <w:rPr>
                <w:noProof/>
                <w:webHidden/>
              </w:rPr>
              <w:fldChar w:fldCharType="end"/>
            </w:r>
          </w:hyperlink>
        </w:p>
        <w:p w14:paraId="6CBDC5EF" w14:textId="73D80EED"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43" w:history="1">
            <w:r w:rsidRPr="000D165B">
              <w:rPr>
                <w:rStyle w:val="Hipervnculo"/>
                <w:noProof/>
                <w:lang w:val="es-ES"/>
              </w:rPr>
              <w:t>5. DISCUSIÓN</w:t>
            </w:r>
            <w:r>
              <w:rPr>
                <w:noProof/>
                <w:webHidden/>
              </w:rPr>
              <w:tab/>
            </w:r>
            <w:r>
              <w:rPr>
                <w:noProof/>
                <w:webHidden/>
              </w:rPr>
              <w:fldChar w:fldCharType="begin"/>
            </w:r>
            <w:r>
              <w:rPr>
                <w:noProof/>
                <w:webHidden/>
              </w:rPr>
              <w:instrText xml:space="preserve"> PAGEREF _Toc231769143 \h </w:instrText>
            </w:r>
            <w:r>
              <w:rPr>
                <w:noProof/>
                <w:webHidden/>
              </w:rPr>
            </w:r>
            <w:r>
              <w:rPr>
                <w:noProof/>
                <w:webHidden/>
              </w:rPr>
              <w:fldChar w:fldCharType="separate"/>
            </w:r>
            <w:r>
              <w:rPr>
                <w:noProof/>
                <w:webHidden/>
              </w:rPr>
              <w:t>24</w:t>
            </w:r>
            <w:r>
              <w:rPr>
                <w:noProof/>
                <w:webHidden/>
              </w:rPr>
              <w:fldChar w:fldCharType="end"/>
            </w:r>
          </w:hyperlink>
        </w:p>
        <w:p w14:paraId="475F61F4" w14:textId="1951C1D3"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44" w:history="1">
            <w:r w:rsidRPr="000D165B">
              <w:rPr>
                <w:rStyle w:val="Hipervnculo"/>
                <w:noProof/>
              </w:rPr>
              <w:t>6. CONCLUSIONES</w:t>
            </w:r>
            <w:r>
              <w:rPr>
                <w:noProof/>
                <w:webHidden/>
              </w:rPr>
              <w:tab/>
            </w:r>
            <w:r>
              <w:rPr>
                <w:noProof/>
                <w:webHidden/>
              </w:rPr>
              <w:fldChar w:fldCharType="begin"/>
            </w:r>
            <w:r>
              <w:rPr>
                <w:noProof/>
                <w:webHidden/>
              </w:rPr>
              <w:instrText xml:space="preserve"> PAGEREF _Toc231769144 \h </w:instrText>
            </w:r>
            <w:r>
              <w:rPr>
                <w:noProof/>
                <w:webHidden/>
              </w:rPr>
            </w:r>
            <w:r>
              <w:rPr>
                <w:noProof/>
                <w:webHidden/>
              </w:rPr>
              <w:fldChar w:fldCharType="separate"/>
            </w:r>
            <w:r>
              <w:rPr>
                <w:noProof/>
                <w:webHidden/>
              </w:rPr>
              <w:t>26</w:t>
            </w:r>
            <w:r>
              <w:rPr>
                <w:noProof/>
                <w:webHidden/>
              </w:rPr>
              <w:fldChar w:fldCharType="end"/>
            </w:r>
          </w:hyperlink>
        </w:p>
        <w:p w14:paraId="313D987F" w14:textId="4BABA3A6" w:rsidR="000601C9" w:rsidRDefault="000601C9">
          <w:pPr>
            <w:pStyle w:val="TDC1"/>
            <w:tabs>
              <w:tab w:val="right" w:leader="dot" w:pos="8494"/>
            </w:tabs>
            <w:rPr>
              <w:rFonts w:eastAsiaTheme="minorEastAsia" w:cstheme="minorBidi"/>
              <w:b w:val="0"/>
              <w:bCs w:val="0"/>
              <w:caps w:val="0"/>
              <w:noProof/>
              <w:color w:val="auto"/>
              <w:kern w:val="2"/>
              <w:sz w:val="24"/>
              <w:szCs w:val="24"/>
              <w:lang w:val="es-ES" w:eastAsia="zh-CN" w:bidi="ar-SA"/>
              <w14:ligatures w14:val="standardContextual"/>
            </w:rPr>
          </w:pPr>
          <w:hyperlink w:anchor="_Toc231769145" w:history="1">
            <w:r w:rsidRPr="000D165B">
              <w:rPr>
                <w:rStyle w:val="Hipervnculo"/>
                <w:noProof/>
                <w:lang w:val="es-ES"/>
              </w:rPr>
              <w:t>7. Bibliografía</w:t>
            </w:r>
            <w:r>
              <w:rPr>
                <w:noProof/>
                <w:webHidden/>
              </w:rPr>
              <w:tab/>
            </w:r>
            <w:r>
              <w:rPr>
                <w:noProof/>
                <w:webHidden/>
              </w:rPr>
              <w:fldChar w:fldCharType="begin"/>
            </w:r>
            <w:r>
              <w:rPr>
                <w:noProof/>
                <w:webHidden/>
              </w:rPr>
              <w:instrText xml:space="preserve"> PAGEREF _Toc231769145 \h </w:instrText>
            </w:r>
            <w:r>
              <w:rPr>
                <w:noProof/>
                <w:webHidden/>
              </w:rPr>
            </w:r>
            <w:r>
              <w:rPr>
                <w:noProof/>
                <w:webHidden/>
              </w:rPr>
              <w:fldChar w:fldCharType="separate"/>
            </w:r>
            <w:r>
              <w:rPr>
                <w:noProof/>
                <w:webHidden/>
              </w:rPr>
              <w:t>28</w:t>
            </w:r>
            <w:r>
              <w:rPr>
                <w:noProof/>
                <w:webHidden/>
              </w:rPr>
              <w:fldChar w:fldCharType="end"/>
            </w:r>
          </w:hyperlink>
        </w:p>
        <w:p w14:paraId="5F2F40EA" w14:textId="14C6AC3E" w:rsidR="00641368" w:rsidRPr="000601C9" w:rsidRDefault="00F077B7" w:rsidP="000601C9">
          <w:pPr>
            <w:rPr>
              <w:sz w:val="32"/>
              <w:szCs w:val="28"/>
            </w:rPr>
          </w:pPr>
          <w:r w:rsidRPr="00F077B7">
            <w:rPr>
              <w:b/>
              <w:bCs/>
              <w:noProof/>
              <w:sz w:val="32"/>
              <w:szCs w:val="28"/>
            </w:rPr>
            <w:fldChar w:fldCharType="end"/>
          </w:r>
        </w:p>
      </w:sdtContent>
    </w:sdt>
    <w:p w14:paraId="43576D4A" w14:textId="040A4319" w:rsidR="00614C98" w:rsidRPr="00F077B7" w:rsidRDefault="00614C98" w:rsidP="009B25BD">
      <w:pPr>
        <w:pStyle w:val="Ttulo1"/>
        <w:rPr>
          <w:b/>
          <w:bCs/>
          <w:lang w:val="es-ES"/>
        </w:rPr>
      </w:pPr>
      <w:bookmarkStart w:id="0" w:name="_Toc231769119"/>
      <w:r w:rsidRPr="00F077B7">
        <w:rPr>
          <w:b/>
          <w:bCs/>
          <w:lang w:val="es-ES"/>
        </w:rPr>
        <w:lastRenderedPageBreak/>
        <w:t xml:space="preserve">1. </w:t>
      </w:r>
      <w:r w:rsidR="00E67F5F">
        <w:rPr>
          <w:b/>
          <w:bCs/>
          <w:lang w:val="es-ES"/>
        </w:rPr>
        <w:t>I</w:t>
      </w:r>
      <w:r w:rsidR="00230215">
        <w:rPr>
          <w:b/>
          <w:bCs/>
          <w:lang w:val="es-ES"/>
        </w:rPr>
        <w:t>NTRODUCCIÓN</w:t>
      </w:r>
      <w:bookmarkEnd w:id="0"/>
    </w:p>
    <w:p w14:paraId="40E8D7CB" w14:textId="77777777" w:rsidR="00925414" w:rsidRDefault="00063508" w:rsidP="00925414">
      <w:pPr>
        <w:keepLines w:val="0"/>
        <w:spacing w:before="200" w:after="0"/>
        <w:jc w:val="left"/>
        <w:rPr>
          <w:szCs w:val="24"/>
          <w:lang w:val="es-ES" w:eastAsia="zh-CN" w:bidi="ar-SA"/>
        </w:rPr>
      </w:pPr>
      <w:r>
        <w:rPr>
          <w:szCs w:val="24"/>
          <w:lang w:val="es-ES" w:eastAsia="zh-CN" w:bidi="ar-SA"/>
        </w:rPr>
        <w:t>En las últimas dos décadas</w:t>
      </w:r>
      <w:r w:rsidR="006732ED">
        <w:rPr>
          <w:szCs w:val="24"/>
          <w:lang w:val="es-ES" w:eastAsia="zh-CN" w:bidi="ar-SA"/>
        </w:rPr>
        <w:t xml:space="preserve">, los mercados financieros han experimentado una transformación en la forma de valorar las empresas y construir carteras de inversión. El análisis financiero en sus comienzos se centraba exclusivamente en variables contables, rentabilidad histórica, riesgo de mercado, estructura de capital y expectativas de crecimiento. Sin embargo, la creciente preocupación por el cambio climático, la responsabilidad social corporativa y la transparencia en el gobierno de las empresas ha impulsado a </w:t>
      </w:r>
      <w:r w:rsidR="00925414">
        <w:rPr>
          <w:szCs w:val="24"/>
          <w:lang w:val="es-ES" w:eastAsia="zh-CN" w:bidi="ar-SA"/>
        </w:rPr>
        <w:t>los inversores a integrar criterios ambientales, sociales y de gobernanza, denominados como criterios ESG por sus siglas en inglés (</w:t>
      </w:r>
      <w:proofErr w:type="spellStart"/>
      <w:r w:rsidR="00925414">
        <w:rPr>
          <w:szCs w:val="24"/>
          <w:lang w:val="es-ES" w:eastAsia="zh-CN" w:bidi="ar-SA"/>
        </w:rPr>
        <w:t>Enviromental</w:t>
      </w:r>
      <w:proofErr w:type="spellEnd"/>
      <w:r w:rsidR="00925414">
        <w:rPr>
          <w:szCs w:val="24"/>
          <w:lang w:val="es-ES" w:eastAsia="zh-CN" w:bidi="ar-SA"/>
        </w:rPr>
        <w:t xml:space="preserve">, Social and </w:t>
      </w:r>
      <w:proofErr w:type="spellStart"/>
      <w:r w:rsidR="00925414">
        <w:rPr>
          <w:szCs w:val="24"/>
          <w:lang w:val="es-ES" w:eastAsia="zh-CN" w:bidi="ar-SA"/>
        </w:rPr>
        <w:t>Governance</w:t>
      </w:r>
      <w:proofErr w:type="spellEnd"/>
      <w:r w:rsidR="00925414">
        <w:rPr>
          <w:szCs w:val="24"/>
          <w:lang w:val="es-ES" w:eastAsia="zh-CN" w:bidi="ar-SA"/>
        </w:rPr>
        <w:t>). En el ámbito europeo, este proceso se ha visto reforzado por un marco regulatorio cada vez más estricto con normas como el Reglamento (UE) 2019/2088, también conocido como Reglamento de Divulgación de Finanzas Sostenibles.</w:t>
      </w:r>
    </w:p>
    <w:p w14:paraId="5A53687E" w14:textId="63F69E32" w:rsidR="00230215" w:rsidRDefault="00925414" w:rsidP="00230215">
      <w:pPr>
        <w:keepLines w:val="0"/>
        <w:spacing w:before="200" w:after="0"/>
        <w:jc w:val="left"/>
        <w:rPr>
          <w:szCs w:val="24"/>
          <w:lang w:val="es-ES" w:eastAsia="zh-CN" w:bidi="ar-SA"/>
        </w:rPr>
      </w:pPr>
      <w:r>
        <w:rPr>
          <w:szCs w:val="24"/>
          <w:lang w:val="es-ES" w:eastAsia="zh-CN" w:bidi="ar-SA"/>
        </w:rPr>
        <w:t xml:space="preserve">Esta transformación plantea una </w:t>
      </w:r>
      <w:r w:rsidR="000172AF">
        <w:rPr>
          <w:szCs w:val="24"/>
          <w:lang w:val="es-ES" w:eastAsia="zh-CN" w:bidi="ar-SA"/>
        </w:rPr>
        <w:t>cuestión</w:t>
      </w:r>
      <w:r>
        <w:rPr>
          <w:szCs w:val="24"/>
          <w:lang w:val="es-ES" w:eastAsia="zh-CN" w:bidi="ar-SA"/>
        </w:rPr>
        <w:t xml:space="preserve"> fundamental desde la perspectiva </w:t>
      </w:r>
      <w:r w:rsidR="00F82A9D">
        <w:rPr>
          <w:szCs w:val="24"/>
          <w:lang w:val="es-ES" w:eastAsia="zh-CN" w:bidi="ar-SA"/>
        </w:rPr>
        <w:t>de la teoría financiera: “¿Recompensa el mercado la sostenibilidad?” La respuesta a esta pregunta tiene implicaciones tanto teóricas</w:t>
      </w:r>
      <w:r w:rsidR="00B251E4">
        <w:rPr>
          <w:szCs w:val="24"/>
          <w:lang w:val="es-ES" w:eastAsia="zh-CN" w:bidi="ar-SA"/>
        </w:rPr>
        <w:t xml:space="preserve"> (</w:t>
      </w:r>
      <w:r w:rsidR="00F82A9D">
        <w:rPr>
          <w:szCs w:val="24"/>
          <w:lang w:val="es-ES" w:eastAsia="zh-CN" w:bidi="ar-SA"/>
        </w:rPr>
        <w:t>permitir analizar si los criterios ESG pueden considerarse un factor relevante</w:t>
      </w:r>
      <w:r w:rsidR="00B251E4">
        <w:rPr>
          <w:szCs w:val="24"/>
          <w:lang w:val="es-ES" w:eastAsia="zh-CN" w:bidi="ar-SA"/>
        </w:rPr>
        <w:t>)</w:t>
      </w:r>
      <w:r w:rsidR="00F82A9D">
        <w:rPr>
          <w:szCs w:val="24"/>
          <w:lang w:val="es-ES" w:eastAsia="zh-CN" w:bidi="ar-SA"/>
        </w:rPr>
        <w:t xml:space="preserve"> como prácticas</w:t>
      </w:r>
      <w:r w:rsidR="00B251E4">
        <w:rPr>
          <w:szCs w:val="24"/>
          <w:lang w:val="es-ES" w:eastAsia="zh-CN" w:bidi="ar-SA"/>
        </w:rPr>
        <w:t xml:space="preserve"> (orientar a los inversores sobre si incorporar o no a sus estrategias criterios de sostenibilidad).</w:t>
      </w:r>
      <w:r w:rsidR="00230215">
        <w:rPr>
          <w:szCs w:val="24"/>
          <w:lang w:val="es-ES" w:eastAsia="zh-CN" w:bidi="ar-SA"/>
        </w:rPr>
        <w:t xml:space="preserve"> </w:t>
      </w:r>
    </w:p>
    <w:p w14:paraId="6E85F6EB" w14:textId="77777777" w:rsidR="00230215" w:rsidRDefault="00230215" w:rsidP="00230215">
      <w:pPr>
        <w:rPr>
          <w:szCs w:val="24"/>
        </w:rPr>
      </w:pPr>
      <w:r>
        <w:rPr>
          <w:szCs w:val="24"/>
        </w:rPr>
        <w:t xml:space="preserve">La literatura académica no ofrece una respuesta concluyente. Mientras algunos autores documentan una prima positiva asociada a la sostenibilidad, otros encuentran que las empresas con peor perfil ESG ofrecen mayores rentabilidades, en línea con la hipótesis del «sin premium» (Hong y </w:t>
      </w:r>
      <w:proofErr w:type="spellStart"/>
      <w:r>
        <w:rPr>
          <w:szCs w:val="24"/>
        </w:rPr>
        <w:t>Kacperczyk</w:t>
      </w:r>
      <w:proofErr w:type="spellEnd"/>
      <w:r>
        <w:rPr>
          <w:szCs w:val="24"/>
        </w:rPr>
        <w:t>, 2009). A ello se añade el problema de la divergencia entre las puntuaciones ESG de distintos proveedores (Berg et al., 2022), que dificulta la comparación de resultados.</w:t>
      </w:r>
      <w:r w:rsidRPr="00230215">
        <w:rPr>
          <w:szCs w:val="24"/>
        </w:rPr>
        <w:t xml:space="preserve"> </w:t>
      </w:r>
    </w:p>
    <w:p w14:paraId="36953973" w14:textId="786C51AB" w:rsidR="00230215" w:rsidRDefault="00230215" w:rsidP="00230215">
      <w:pPr>
        <w:rPr>
          <w:szCs w:val="24"/>
        </w:rPr>
      </w:pPr>
      <w:r>
        <w:rPr>
          <w:szCs w:val="24"/>
        </w:rPr>
        <w:lastRenderedPageBreak/>
        <w:t xml:space="preserve">El presente trabajo se enmarca en este debate y tiene como objetivo principal analizar si la sostenibilidad constituye un factor de riesgo sistemático en los mercados de renta variable europeos. Para ello se adopta un enfoque metodológico inspirado en el modelo de tres factores de Fama y French (1993): en lugar de comparar las rentabilidades de carteras ordenadas por ESG, se construye un </w:t>
      </w:r>
      <w:r>
        <w:rPr>
          <w:i/>
          <w:iCs/>
          <w:szCs w:val="24"/>
        </w:rPr>
        <w:t>factor ESG</w:t>
      </w:r>
      <w:r>
        <w:rPr>
          <w:szCs w:val="24"/>
        </w:rPr>
        <w:t xml:space="preserve"> explícito —denominado Green Minus Brown— y se incorpora como cuarto factor a un modelo de valoración estimado sobre empresas individuales. Este planteamiento permite analizar no solo la existencia de una prima ESG agregada, sino también la sensibilidad individual de cada empresa al factor de sostenibilidad.</w:t>
      </w:r>
    </w:p>
    <w:p w14:paraId="7A827DEA" w14:textId="47D19E3B" w:rsidR="00230215" w:rsidRDefault="00230215" w:rsidP="00230215">
      <w:r>
        <w:rPr>
          <w:szCs w:val="24"/>
        </w:rPr>
        <w:t xml:space="preserve">Los objetivos específicos del trabajo son tres: (i) </w:t>
      </w:r>
      <w:r w:rsidR="000172AF">
        <w:rPr>
          <w:szCs w:val="24"/>
        </w:rPr>
        <w:t>construir un factor ESG mensual para el mercado europeo y analizar su comportamiento, su significatividad estadística y su relación con los factores de riesgo tradicionales</w:t>
      </w:r>
      <w:r>
        <w:rPr>
          <w:szCs w:val="24"/>
        </w:rPr>
        <w:t>; (</w:t>
      </w:r>
      <w:proofErr w:type="spellStart"/>
      <w:r>
        <w:rPr>
          <w:szCs w:val="24"/>
        </w:rPr>
        <w:t>ii</w:t>
      </w:r>
      <w:proofErr w:type="spellEnd"/>
      <w:r>
        <w:rPr>
          <w:szCs w:val="24"/>
        </w:rPr>
        <w:t>) estimar el modelo de cuatro factores resultante sobre una amplia muestra de empresas del índice STOXX Europe 600; y (</w:t>
      </w:r>
      <w:proofErr w:type="spellStart"/>
      <w:r>
        <w:rPr>
          <w:szCs w:val="24"/>
        </w:rPr>
        <w:t>iii</w:t>
      </w:r>
      <w:proofErr w:type="spellEnd"/>
      <w:r>
        <w:rPr>
          <w:szCs w:val="24"/>
        </w:rPr>
        <w:t>) interpretar los resultados a la luz de las principales teorías de valoración de activos, en particular la hipótesis de eficiencia de los mercados y la teoría de valoración por arbitraje.</w:t>
      </w:r>
    </w:p>
    <w:p w14:paraId="6AB9F1EA" w14:textId="77777777" w:rsidR="00230215" w:rsidRDefault="00230215" w:rsidP="00230215"/>
    <w:p w14:paraId="1A8F2059" w14:textId="15C9B963" w:rsidR="00230215" w:rsidRDefault="00230215" w:rsidP="00230215">
      <w:pPr>
        <w:keepLines w:val="0"/>
        <w:spacing w:before="200" w:after="0"/>
        <w:jc w:val="left"/>
        <w:rPr>
          <w:szCs w:val="24"/>
        </w:rPr>
      </w:pPr>
    </w:p>
    <w:p w14:paraId="09DACF9B" w14:textId="77777777" w:rsidR="00230215" w:rsidRPr="00230215" w:rsidRDefault="00230215" w:rsidP="00230215">
      <w:pPr>
        <w:keepLines w:val="0"/>
        <w:spacing w:before="200" w:after="0"/>
        <w:jc w:val="left"/>
        <w:rPr>
          <w:szCs w:val="24"/>
          <w:lang w:eastAsia="zh-CN" w:bidi="ar-SA"/>
        </w:rPr>
      </w:pPr>
    </w:p>
    <w:p w14:paraId="587715D6" w14:textId="4631C13B" w:rsidR="00F077B7" w:rsidRPr="006732ED" w:rsidRDefault="00F077B7" w:rsidP="00F82A9D">
      <w:pPr>
        <w:keepLines w:val="0"/>
        <w:spacing w:before="200" w:after="0"/>
        <w:jc w:val="left"/>
        <w:rPr>
          <w:lang w:val="es-ES"/>
        </w:rPr>
      </w:pPr>
      <w:r>
        <w:rPr>
          <w:b/>
          <w:bCs/>
          <w:lang w:val="es-ES"/>
        </w:rPr>
        <w:br w:type="page"/>
      </w:r>
    </w:p>
    <w:p w14:paraId="6DB49B9A" w14:textId="0DA00E94" w:rsidR="00614C98" w:rsidRDefault="00614C98" w:rsidP="009B25BD">
      <w:pPr>
        <w:pStyle w:val="Ttulo1"/>
        <w:rPr>
          <w:b/>
          <w:bCs/>
          <w:lang w:val="es-ES"/>
        </w:rPr>
      </w:pPr>
      <w:bookmarkStart w:id="1" w:name="_Toc231769120"/>
      <w:r w:rsidRPr="00F077B7">
        <w:rPr>
          <w:b/>
          <w:bCs/>
          <w:lang w:val="es-ES"/>
        </w:rPr>
        <w:lastRenderedPageBreak/>
        <w:t xml:space="preserve">2. </w:t>
      </w:r>
      <w:r w:rsidR="00230215">
        <w:rPr>
          <w:b/>
          <w:bCs/>
          <w:lang w:val="es-ES"/>
        </w:rPr>
        <w:t>MARCO TEÓRICO</w:t>
      </w:r>
      <w:bookmarkEnd w:id="1"/>
    </w:p>
    <w:p w14:paraId="3CEB1E52" w14:textId="77777777" w:rsidR="00C74D18" w:rsidRDefault="00C74D18" w:rsidP="00C74D18">
      <w:pPr>
        <w:pStyle w:val="Ttulo2"/>
      </w:pPr>
      <w:bookmarkStart w:id="2" w:name="_Toc231769121"/>
      <w:r>
        <w:rPr>
          <w:rFonts w:ascii="Times New Roman" w:eastAsia="Times New Roman" w:hAnsi="Times New Roman" w:cs="Times New Roman"/>
          <w:b/>
          <w:bCs/>
          <w:sz w:val="26"/>
          <w:szCs w:val="26"/>
        </w:rPr>
        <w:t>2.1. La teoría de selección de carteras de Markowitz</w:t>
      </w:r>
      <w:bookmarkEnd w:id="2"/>
    </w:p>
    <w:p w14:paraId="0A1E9928" w14:textId="77777777" w:rsidR="00C74D18" w:rsidRDefault="00C74D18" w:rsidP="00C74D18">
      <w:r>
        <w:rPr>
          <w:szCs w:val="24"/>
        </w:rPr>
        <w:t>El origen de la moderna teoría de valoración de activos se sitúa en el trabajo seminal de Markowitz (1952), que formaliza por primera vez el problema de la selección de carteras en un marco de media-varianza. El punto de partida es el supuesto de que los inversores son racionales y aversos al riesgo, de modo que, ante dos carteras con la misma rentabilidad esperada, preferirán la de menor varianza, y ante dos con la misma varianza, la de mayor rentabilidad esperada. Bajo este supuesto, una cartera queda completamente caracterizada por dos parámetros: su rentabilidad esperada y su varianza (o desviación típica), entendida esta última como medida del riesgo.</w:t>
      </w:r>
    </w:p>
    <w:p w14:paraId="52E63ED7" w14:textId="77777777" w:rsidR="00C74D18" w:rsidRDefault="00C74D18" w:rsidP="00C74D18">
      <w:r>
        <w:rPr>
          <w:szCs w:val="24"/>
        </w:rPr>
        <w:t xml:space="preserve">Formalmente, dada una cartera definida por un vector de pesos w que suman la unidad, su rentabilidad esperada se expresa como </w:t>
      </w:r>
      <w:proofErr w:type="spellStart"/>
      <w:r>
        <w:rPr>
          <w:szCs w:val="24"/>
        </w:rPr>
        <w:t>μ</w:t>
      </w:r>
      <w:r>
        <w:rPr>
          <w:szCs w:val="24"/>
          <w:vertAlign w:val="subscript"/>
        </w:rPr>
        <w:t>p</w:t>
      </w:r>
      <w:proofErr w:type="spellEnd"/>
      <w:r>
        <w:rPr>
          <w:szCs w:val="24"/>
        </w:rPr>
        <w:t xml:space="preserve"> = </w:t>
      </w:r>
      <w:proofErr w:type="spellStart"/>
      <w:r>
        <w:rPr>
          <w:szCs w:val="24"/>
        </w:rPr>
        <w:t>w'μ</w:t>
      </w:r>
      <w:proofErr w:type="spellEnd"/>
      <w:r>
        <w:rPr>
          <w:szCs w:val="24"/>
        </w:rPr>
        <w:t>, y su varianza como σ</w:t>
      </w:r>
      <w:r>
        <w:rPr>
          <w:szCs w:val="24"/>
          <w:vertAlign w:val="subscript"/>
        </w:rPr>
        <w:t>p</w:t>
      </w:r>
      <w:r>
        <w:rPr>
          <w:szCs w:val="24"/>
        </w:rPr>
        <w:t xml:space="preserve">² = </w:t>
      </w:r>
      <w:proofErr w:type="spellStart"/>
      <w:r>
        <w:rPr>
          <w:szCs w:val="24"/>
        </w:rPr>
        <w:t>w'Ωw</w:t>
      </w:r>
      <w:proofErr w:type="spellEnd"/>
      <w:r>
        <w:rPr>
          <w:szCs w:val="24"/>
        </w:rPr>
        <w:t>, donde μ es el vector de rentabilidades esperadas y Ω la matriz de varianzas y covarianzas de los activos. Un resultado central de esta formulación es que el riesgo de una cartera no depende únicamente de la varianza individual de cada activo, sino, de manera fundamental, de las covarianzas entre ellos.</w:t>
      </w:r>
    </w:p>
    <w:p w14:paraId="6605977E" w14:textId="77777777" w:rsidR="00C74D18" w:rsidRDefault="00C74D18" w:rsidP="00C74D18">
      <w:r>
        <w:rPr>
          <w:szCs w:val="24"/>
        </w:rPr>
        <w:t>De este planteamiento se deriva el concepto de frontera eficiente: el conjunto de carteras que ofrecen la máxima rentabilidad esperada para cada nivel de riesgo, o equivalentemente, el mínimo riesgo para cada nivel de rentabilidad. Gráficamente, en el espacio rentabilidad-riesgo, la frontera eficiente adopta la forma de la rama superior de una hipérbola. Ningún inversor racional elegiría una cartera situada por debajo de esta frontera, pues siempre existiría otra que la domina.</w:t>
      </w:r>
    </w:p>
    <w:p w14:paraId="7F91B15C" w14:textId="77777777" w:rsidR="00C74D18" w:rsidRDefault="00C74D18" w:rsidP="00C74D18">
      <w:pPr>
        <w:rPr>
          <w:szCs w:val="24"/>
        </w:rPr>
      </w:pPr>
      <w:r>
        <w:rPr>
          <w:szCs w:val="24"/>
        </w:rPr>
        <w:t>Una implicación de gran calado es el efecto de la diversificación sobre el riesgo. Considerando una cartera equiponderada de n activos con idéntica varianza e idéntica covarianza entre pares, puede demostrarse que, a medida que n tiende a infinito, la varianza de la cartera no tiende a cero, sino a la covarianza media entre los activos. Esto significa que la diversificación permite eliminar el riesgo específico o idiosincrásico de cada activo, pero no el riesgo sistemático, común a todos ellos y derivado de su covarianza. Esta distinción entre riesgo diversificable y no diversificable constituye el fundamento sobre el que se edifica el modelo de valoración de activos de capital.</w:t>
      </w:r>
    </w:p>
    <w:p w14:paraId="10A13F47" w14:textId="77777777" w:rsidR="00C74D18" w:rsidRDefault="00C74D18" w:rsidP="00C74D18">
      <w:pPr>
        <w:pStyle w:val="Ttulo2"/>
      </w:pPr>
      <w:bookmarkStart w:id="3" w:name="_Toc231769122"/>
      <w:r>
        <w:rPr>
          <w:rFonts w:ascii="Times New Roman" w:eastAsia="Times New Roman" w:hAnsi="Times New Roman" w:cs="Times New Roman"/>
          <w:b/>
          <w:bCs/>
          <w:sz w:val="26"/>
          <w:szCs w:val="26"/>
        </w:rPr>
        <w:lastRenderedPageBreak/>
        <w:t>2.2. El modelo de valoración de activos de capital (CAPM)</w:t>
      </w:r>
      <w:bookmarkEnd w:id="3"/>
    </w:p>
    <w:p w14:paraId="4BFA857F" w14:textId="77777777" w:rsidR="00C74D18" w:rsidRDefault="00C74D18" w:rsidP="00C74D18">
      <w:r>
        <w:rPr>
          <w:szCs w:val="24"/>
        </w:rPr>
        <w:t>Sobre la base de la teoría de carteras, Sharpe (1964) —junto con las contribuciones independientes de Lintner y Mossin— desarrolla el Modelo de Valoración de Activos de Capital (CAPM). El modelo introduce el supuesto de la existencia de un activo libre de riesgo, lo que permite a los inversores combinar dicho activo con carteras de activos arriesgados. La combinación óptima da lugar a la denominada Línea del Mercado de Capitales, y bajo el supuesto de expectativas homogéneas, todos los inversores mantendrán la misma cartera de activos arriesgados: la cartera de mercado.</w:t>
      </w:r>
    </w:p>
    <w:p w14:paraId="64E03333" w14:textId="77777777" w:rsidR="00C74D18" w:rsidRDefault="00C74D18" w:rsidP="00C74D18">
      <w:r>
        <w:rPr>
          <w:szCs w:val="24"/>
        </w:rPr>
        <w:t>Para los activos individuales, el equilibrio conduce a la relación fundamental del CAPM, recogida en la Línea del Mercado de Activos:</w:t>
      </w:r>
    </w:p>
    <w:p w14:paraId="0819121C" w14:textId="77777777" w:rsidR="00C74D18" w:rsidRDefault="00C74D18" w:rsidP="00C74D18">
      <w:pPr>
        <w:tabs>
          <w:tab w:val="right" w:pos="9020"/>
        </w:tabs>
        <w:spacing w:before="100" w:after="140"/>
        <w:jc w:val="center"/>
      </w:pPr>
      <w:r>
        <w:rPr>
          <w:i/>
          <w:iCs/>
          <w:szCs w:val="24"/>
        </w:rPr>
        <w:t>E(</w:t>
      </w:r>
      <w:proofErr w:type="spellStart"/>
      <w:r>
        <w:rPr>
          <w:i/>
          <w:iCs/>
          <w:szCs w:val="24"/>
        </w:rPr>
        <w:t>R</w:t>
      </w:r>
      <w:r>
        <w:rPr>
          <w:i/>
          <w:iCs/>
          <w:szCs w:val="24"/>
          <w:vertAlign w:val="subscript"/>
        </w:rPr>
        <w:t>i</w:t>
      </w:r>
      <w:proofErr w:type="spellEnd"/>
      <w:r>
        <w:rPr>
          <w:i/>
          <w:iCs/>
          <w:szCs w:val="24"/>
        </w:rPr>
        <w:t>) = R</w:t>
      </w:r>
      <w:r>
        <w:rPr>
          <w:i/>
          <w:iCs/>
          <w:szCs w:val="24"/>
          <w:vertAlign w:val="subscript"/>
        </w:rPr>
        <w:t>f</w:t>
      </w:r>
      <w:r>
        <w:rPr>
          <w:i/>
          <w:iCs/>
          <w:szCs w:val="24"/>
        </w:rPr>
        <w:t xml:space="preserve"> + β</w:t>
      </w:r>
      <w:r>
        <w:rPr>
          <w:i/>
          <w:iCs/>
          <w:szCs w:val="24"/>
          <w:vertAlign w:val="subscript"/>
        </w:rPr>
        <w:t>i</w:t>
      </w:r>
      <w:r>
        <w:rPr>
          <w:i/>
          <w:iCs/>
          <w:szCs w:val="24"/>
        </w:rPr>
        <w:t xml:space="preserve"> · [E(</w:t>
      </w:r>
      <w:proofErr w:type="spellStart"/>
      <w:r>
        <w:rPr>
          <w:i/>
          <w:iCs/>
          <w:szCs w:val="24"/>
        </w:rPr>
        <w:t>R</w:t>
      </w:r>
      <w:r>
        <w:rPr>
          <w:i/>
          <w:iCs/>
          <w:szCs w:val="24"/>
          <w:vertAlign w:val="subscript"/>
        </w:rPr>
        <w:t>m</w:t>
      </w:r>
      <w:proofErr w:type="spellEnd"/>
      <w:r>
        <w:rPr>
          <w:i/>
          <w:iCs/>
          <w:szCs w:val="24"/>
        </w:rPr>
        <w:t>) − R</w:t>
      </w:r>
      <w:r>
        <w:rPr>
          <w:i/>
          <w:iCs/>
          <w:szCs w:val="24"/>
          <w:vertAlign w:val="subscript"/>
        </w:rPr>
        <w:t>f</w:t>
      </w:r>
      <w:r>
        <w:rPr>
          <w:i/>
          <w:iCs/>
          <w:szCs w:val="24"/>
        </w:rPr>
        <w:t>]</w:t>
      </w:r>
      <w:r>
        <w:rPr>
          <w:szCs w:val="24"/>
        </w:rPr>
        <w:tab/>
        <w:t>[1]</w:t>
      </w:r>
    </w:p>
    <w:p w14:paraId="44D862D6" w14:textId="77777777" w:rsidR="00C74D18" w:rsidRDefault="00C74D18" w:rsidP="00C74D18">
      <w:r>
        <w:rPr>
          <w:szCs w:val="24"/>
        </w:rPr>
        <w:t>donde el coeficiente beta, β</w:t>
      </w:r>
      <w:r>
        <w:rPr>
          <w:szCs w:val="24"/>
          <w:vertAlign w:val="subscript"/>
        </w:rPr>
        <w:t>i</w:t>
      </w:r>
      <w:r>
        <w:rPr>
          <w:szCs w:val="24"/>
        </w:rPr>
        <w:t xml:space="preserve"> = </w:t>
      </w:r>
      <w:proofErr w:type="spellStart"/>
      <w:r>
        <w:rPr>
          <w:szCs w:val="24"/>
        </w:rPr>
        <w:t>Cov</w:t>
      </w:r>
      <w:proofErr w:type="spellEnd"/>
      <w:r>
        <w:rPr>
          <w:szCs w:val="24"/>
        </w:rPr>
        <w:t>(</w:t>
      </w:r>
      <w:proofErr w:type="spellStart"/>
      <w:r>
        <w:rPr>
          <w:szCs w:val="24"/>
        </w:rPr>
        <w:t>R</w:t>
      </w:r>
      <w:r>
        <w:rPr>
          <w:szCs w:val="24"/>
          <w:vertAlign w:val="subscript"/>
        </w:rPr>
        <w:t>i</w:t>
      </w:r>
      <w:proofErr w:type="spellEnd"/>
      <w:r>
        <w:rPr>
          <w:szCs w:val="24"/>
        </w:rPr>
        <w:t xml:space="preserve">, </w:t>
      </w:r>
      <w:proofErr w:type="spellStart"/>
      <w:r>
        <w:rPr>
          <w:szCs w:val="24"/>
        </w:rPr>
        <w:t>R</w:t>
      </w:r>
      <w:r>
        <w:rPr>
          <w:szCs w:val="24"/>
          <w:vertAlign w:val="subscript"/>
        </w:rPr>
        <w:t>m</w:t>
      </w:r>
      <w:proofErr w:type="spellEnd"/>
      <w:r>
        <w:rPr>
          <w:szCs w:val="24"/>
        </w:rPr>
        <w:t>) / Var(</w:t>
      </w:r>
      <w:proofErr w:type="spellStart"/>
      <w:r>
        <w:rPr>
          <w:szCs w:val="24"/>
        </w:rPr>
        <w:t>R</w:t>
      </w:r>
      <w:r>
        <w:rPr>
          <w:szCs w:val="24"/>
          <w:vertAlign w:val="subscript"/>
        </w:rPr>
        <w:t>m</w:t>
      </w:r>
      <w:proofErr w:type="spellEnd"/>
      <w:r>
        <w:rPr>
          <w:szCs w:val="24"/>
        </w:rPr>
        <w:t>), mide la sensibilidad de la rentabilidad del activo a los movimientos del mercado y constituye la medida relevante del riesgo sistemático. La interpretación es directa: un activo con beta superior a la unidad amplifica los movimientos del mercado (activo agresivo o cíclico), mientras que un beta inferior a la unidad indica un comportamiento más defensivo. El mensaje esencial del CAPM es que, en equilibrio, solo el riesgo sistemático es remunerado, puesto que el riesgo idiosincrásico puede eliminarse mediante la diversificación.</w:t>
      </w:r>
    </w:p>
    <w:p w14:paraId="5A2BA723" w14:textId="77777777" w:rsidR="00C74D18" w:rsidRDefault="00C74D18" w:rsidP="00C74D18">
      <w:pPr>
        <w:pStyle w:val="Ttulo2"/>
      </w:pPr>
      <w:bookmarkStart w:id="4" w:name="_Toc231769123"/>
      <w:r>
        <w:rPr>
          <w:rFonts w:ascii="Times New Roman" w:eastAsia="Times New Roman" w:hAnsi="Times New Roman" w:cs="Times New Roman"/>
          <w:b/>
          <w:bCs/>
          <w:sz w:val="26"/>
          <w:szCs w:val="26"/>
        </w:rPr>
        <w:t>2.3. Medidas de evaluación de carteras</w:t>
      </w:r>
      <w:bookmarkEnd w:id="4"/>
    </w:p>
    <w:p w14:paraId="7A15741F" w14:textId="77777777" w:rsidR="00C74D18" w:rsidRDefault="00C74D18" w:rsidP="00C74D18">
      <w:r>
        <w:rPr>
          <w:szCs w:val="24"/>
        </w:rPr>
        <w:t xml:space="preserve">Del marco del CAPM se derivan diversas medidas para evaluar el rendimiento de carteras y fondos de inversión, ampliamente utilizadas tanto en el ámbito académico como profesional. El ratio de Sharpe mide el exceso de rentabilidad de una cartera sobre el activo libre de riesgo por unidad de riesgo total (desviación típica), permitiendo comparar carteras con distintos niveles de riesgo. El ratio de </w:t>
      </w:r>
      <w:proofErr w:type="spellStart"/>
      <w:r>
        <w:rPr>
          <w:szCs w:val="24"/>
        </w:rPr>
        <w:t>Treynor</w:t>
      </w:r>
      <w:proofErr w:type="spellEnd"/>
      <w:r>
        <w:rPr>
          <w:szCs w:val="24"/>
        </w:rPr>
        <w:t xml:space="preserve"> es análogo, pero emplea el riesgo sistemático (beta) en el denominador en lugar del riesgo total, por lo que resulta más apropiado para evaluar carteras bien diversificadas.</w:t>
      </w:r>
    </w:p>
    <w:p w14:paraId="2414C246" w14:textId="77777777" w:rsidR="00C74D18" w:rsidRDefault="00C74D18" w:rsidP="00C74D18">
      <w:r>
        <w:rPr>
          <w:szCs w:val="24"/>
        </w:rPr>
        <w:lastRenderedPageBreak/>
        <w:t>Especial relevancia para este trabajo tiene el alfa de Jensen, definido como el término independiente de la regresión del exceso de rentabilidad de la cartera sobre el exceso de rentabilidad del mercado. Bajo el CAPM, en un mercado eficiente, el alfa debería ser estadísticamente nulo: un alfa positivo y significativo indicaría que la cartera obtiene una rentabilidad superior a la que correspondería por su nivel de riesgo, mientras que un alfa negativo indicaría lo contrario. El concepto de alfa se generaliza de forma natural a los modelos multifactoriales, en los que representa la rentabilidad anormal no explicada por el conjunto de factores de riesgo considerados, y es precisamente el parámetro que permite contrastar la eficiencia del mercado en este tipo de modelos.</w:t>
      </w:r>
    </w:p>
    <w:p w14:paraId="7043D873" w14:textId="77777777" w:rsidR="00C74D18" w:rsidRDefault="00C74D18" w:rsidP="00C74D18">
      <w:pPr>
        <w:pStyle w:val="Ttulo2"/>
      </w:pPr>
      <w:bookmarkStart w:id="5" w:name="_Toc231769124"/>
      <w:r>
        <w:rPr>
          <w:rFonts w:ascii="Times New Roman" w:eastAsia="Times New Roman" w:hAnsi="Times New Roman" w:cs="Times New Roman"/>
          <w:b/>
          <w:bCs/>
          <w:sz w:val="26"/>
          <w:szCs w:val="26"/>
        </w:rPr>
        <w:t>2.4. Anomalías empíricas y el modelo de tres factores de Fama y French</w:t>
      </w:r>
      <w:bookmarkEnd w:id="5"/>
    </w:p>
    <w:p w14:paraId="6D84F195" w14:textId="77777777" w:rsidR="00C74D18" w:rsidRDefault="00C74D18" w:rsidP="00C74D18">
      <w:r>
        <w:rPr>
          <w:szCs w:val="24"/>
        </w:rPr>
        <w:t>Pese a su elegancia teórica, la contrastación empírica del CAPM puso de manifiesto una serie de anomalías que el modelo no era capaz de explicar. Entre las más documentadas se encuentran el efecto tamaño —las empresas de pequeña capitalización obtenían rentabilidades superiores a las predichas por su beta— y el efecto valor —las empresas con elevada ratio entre valor contable y valor de mercado superaban a las de baja ratio—. Estas regularidades sistemáticas sugerían que el riesgo de mercado, por sí solo, no bastaba para explicar la sección cruzada de las rentabilidades.</w:t>
      </w:r>
    </w:p>
    <w:p w14:paraId="2034CB31" w14:textId="77777777" w:rsidR="00C74D18" w:rsidRDefault="00C74D18" w:rsidP="00C74D18">
      <w:r>
        <w:rPr>
          <w:szCs w:val="24"/>
        </w:rPr>
        <w:t>Para dar cuenta de estas anomalías, Fama y French (1993) propusieron un modelo de tres factores que amplía el CAPM con dos factores adicionales:</w:t>
      </w:r>
    </w:p>
    <w:p w14:paraId="2463E1CE" w14:textId="77777777" w:rsidR="00C74D18" w:rsidRPr="00AC252F" w:rsidRDefault="00C74D18" w:rsidP="00C74D18">
      <w:pPr>
        <w:tabs>
          <w:tab w:val="right" w:pos="9020"/>
        </w:tabs>
        <w:spacing w:before="100" w:after="140"/>
        <w:jc w:val="center"/>
        <w:rPr>
          <w:lang w:val="en-US"/>
        </w:rPr>
      </w:pPr>
      <w:r w:rsidRPr="00AC252F">
        <w:rPr>
          <w:i/>
          <w:iCs/>
          <w:szCs w:val="24"/>
          <w:lang w:val="en-US"/>
        </w:rPr>
        <w:t>R</w:t>
      </w:r>
      <w:r w:rsidRPr="00AC252F">
        <w:rPr>
          <w:i/>
          <w:iCs/>
          <w:szCs w:val="24"/>
          <w:vertAlign w:val="subscript"/>
          <w:lang w:val="en-US"/>
        </w:rPr>
        <w:t>i</w:t>
      </w:r>
      <w:r w:rsidRPr="00AC252F">
        <w:rPr>
          <w:i/>
          <w:iCs/>
          <w:szCs w:val="24"/>
          <w:lang w:val="en-US"/>
        </w:rPr>
        <w:t xml:space="preserve"> − R</w:t>
      </w:r>
      <w:r w:rsidRPr="00AC252F">
        <w:rPr>
          <w:i/>
          <w:iCs/>
          <w:szCs w:val="24"/>
          <w:vertAlign w:val="subscript"/>
          <w:lang w:val="en-US"/>
        </w:rPr>
        <w:t>f</w:t>
      </w:r>
      <w:r w:rsidRPr="00AC252F">
        <w:rPr>
          <w:i/>
          <w:iCs/>
          <w:szCs w:val="24"/>
          <w:lang w:val="en-US"/>
        </w:rPr>
        <w:t xml:space="preserve"> = </w:t>
      </w:r>
      <w:r>
        <w:rPr>
          <w:i/>
          <w:iCs/>
          <w:szCs w:val="24"/>
        </w:rPr>
        <w:t>α</w:t>
      </w:r>
      <w:r w:rsidRPr="00AC252F">
        <w:rPr>
          <w:i/>
          <w:iCs/>
          <w:szCs w:val="24"/>
          <w:lang w:val="en-US"/>
        </w:rPr>
        <w:t xml:space="preserve"> + </w:t>
      </w:r>
      <w:r>
        <w:rPr>
          <w:i/>
          <w:iCs/>
          <w:szCs w:val="24"/>
        </w:rPr>
        <w:t>β</w:t>
      </w:r>
      <w:r w:rsidRPr="00AC252F">
        <w:rPr>
          <w:i/>
          <w:iCs/>
          <w:szCs w:val="24"/>
          <w:lang w:val="en-US"/>
        </w:rPr>
        <w:t>(R</w:t>
      </w:r>
      <w:r w:rsidRPr="00AC252F">
        <w:rPr>
          <w:i/>
          <w:iCs/>
          <w:szCs w:val="24"/>
          <w:vertAlign w:val="subscript"/>
          <w:lang w:val="en-US"/>
        </w:rPr>
        <w:t>m</w:t>
      </w:r>
      <w:r w:rsidRPr="00AC252F">
        <w:rPr>
          <w:i/>
          <w:iCs/>
          <w:szCs w:val="24"/>
          <w:lang w:val="en-US"/>
        </w:rPr>
        <w:t xml:space="preserve"> − R</w:t>
      </w:r>
      <w:r w:rsidRPr="00AC252F">
        <w:rPr>
          <w:i/>
          <w:iCs/>
          <w:szCs w:val="24"/>
          <w:vertAlign w:val="subscript"/>
          <w:lang w:val="en-US"/>
        </w:rPr>
        <w:t>f</w:t>
      </w:r>
      <w:r w:rsidRPr="00AC252F">
        <w:rPr>
          <w:i/>
          <w:iCs/>
          <w:szCs w:val="24"/>
          <w:lang w:val="en-US"/>
        </w:rPr>
        <w:t xml:space="preserve">) + </w:t>
      </w:r>
      <w:proofErr w:type="spellStart"/>
      <w:r w:rsidRPr="00AC252F">
        <w:rPr>
          <w:i/>
          <w:iCs/>
          <w:szCs w:val="24"/>
          <w:lang w:val="en-US"/>
        </w:rPr>
        <w:t>s·SMB</w:t>
      </w:r>
      <w:proofErr w:type="spellEnd"/>
      <w:r w:rsidRPr="00AC252F">
        <w:rPr>
          <w:i/>
          <w:iCs/>
          <w:szCs w:val="24"/>
          <w:lang w:val="en-US"/>
        </w:rPr>
        <w:t xml:space="preserve"> + </w:t>
      </w:r>
      <w:proofErr w:type="spellStart"/>
      <w:r w:rsidRPr="00AC252F">
        <w:rPr>
          <w:i/>
          <w:iCs/>
          <w:szCs w:val="24"/>
          <w:lang w:val="en-US"/>
        </w:rPr>
        <w:t>h·HML</w:t>
      </w:r>
      <w:proofErr w:type="spellEnd"/>
      <w:r w:rsidRPr="00AC252F">
        <w:rPr>
          <w:i/>
          <w:iCs/>
          <w:szCs w:val="24"/>
          <w:lang w:val="en-US"/>
        </w:rPr>
        <w:t xml:space="preserve"> + </w:t>
      </w:r>
      <w:r>
        <w:rPr>
          <w:i/>
          <w:iCs/>
          <w:szCs w:val="24"/>
        </w:rPr>
        <w:t>ε</w:t>
      </w:r>
      <w:r w:rsidRPr="00AC252F">
        <w:rPr>
          <w:szCs w:val="24"/>
          <w:lang w:val="en-US"/>
        </w:rPr>
        <w:tab/>
        <w:t>[2]</w:t>
      </w:r>
    </w:p>
    <w:p w14:paraId="26DA6EDC" w14:textId="77777777" w:rsidR="00C74D18" w:rsidRDefault="00C74D18" w:rsidP="00C74D18">
      <w:r>
        <w:rPr>
          <w:szCs w:val="24"/>
        </w:rPr>
        <w:t>donde el factor SMB (</w:t>
      </w:r>
      <w:r>
        <w:rPr>
          <w:i/>
          <w:iCs/>
          <w:szCs w:val="24"/>
        </w:rPr>
        <w:t>Small Minus Big</w:t>
      </w:r>
      <w:r>
        <w:rPr>
          <w:szCs w:val="24"/>
        </w:rPr>
        <w:t>) recoge la prima por tamaño, calculada como la diferencia de rentabilidad entre carteras de empresas de pequeña y gran capitalización, y el factor HML (</w:t>
      </w:r>
      <w:r>
        <w:rPr>
          <w:i/>
          <w:iCs/>
          <w:szCs w:val="24"/>
        </w:rPr>
        <w:t>High Minus Low</w:t>
      </w:r>
      <w:r>
        <w:rPr>
          <w:szCs w:val="24"/>
        </w:rPr>
        <w:t>) recoge la prima por valor, calculada como la diferencia entre empresas de alta y baja ratio valor contable-valor de mercado. Posteriormente, Fama y French (2015) ampliaron el modelo a cinco factores, añadiendo el factor RMW (</w:t>
      </w:r>
      <w:proofErr w:type="spellStart"/>
      <w:r>
        <w:rPr>
          <w:i/>
          <w:iCs/>
          <w:szCs w:val="24"/>
        </w:rPr>
        <w:t>Robust</w:t>
      </w:r>
      <w:proofErr w:type="spellEnd"/>
      <w:r>
        <w:rPr>
          <w:i/>
          <w:iCs/>
          <w:szCs w:val="24"/>
        </w:rPr>
        <w:t xml:space="preserve"> Minus Weak</w:t>
      </w:r>
      <w:r>
        <w:rPr>
          <w:szCs w:val="24"/>
        </w:rPr>
        <w:t>), relativo a la rentabilidad operativa, y el factor CMA (</w:t>
      </w:r>
      <w:r>
        <w:rPr>
          <w:i/>
          <w:iCs/>
          <w:szCs w:val="24"/>
        </w:rPr>
        <w:t xml:space="preserve">Conservative Minus </w:t>
      </w:r>
      <w:proofErr w:type="spellStart"/>
      <w:r>
        <w:rPr>
          <w:i/>
          <w:iCs/>
          <w:szCs w:val="24"/>
        </w:rPr>
        <w:t>Aggressive</w:t>
      </w:r>
      <w:proofErr w:type="spellEnd"/>
      <w:r>
        <w:rPr>
          <w:szCs w:val="24"/>
        </w:rPr>
        <w:t>), relativo a la política de inversión.</w:t>
      </w:r>
    </w:p>
    <w:p w14:paraId="24DBAB4A" w14:textId="77777777" w:rsidR="00C74D18" w:rsidRDefault="00C74D18" w:rsidP="00C74D18">
      <w:r>
        <w:rPr>
          <w:szCs w:val="24"/>
        </w:rPr>
        <w:lastRenderedPageBreak/>
        <w:t>Resulta crucial destacar, a efectos de este trabajo, la lógica subyacente a la construcción de estos factores: cada factor se obtiene como la diferencia de rentabilidad entre carteras situadas en los extremos de una determinada característica (tamaño, valor, rentabilidad o inversión). Es precisamente este procedimiento el que se replica en el presente estudio para construir un factor basado en la característica ESG.</w:t>
      </w:r>
    </w:p>
    <w:p w14:paraId="0A9513C5" w14:textId="77777777" w:rsidR="00C74D18" w:rsidRDefault="00C74D18" w:rsidP="00C74D18">
      <w:pPr>
        <w:pStyle w:val="Ttulo2"/>
      </w:pPr>
      <w:bookmarkStart w:id="6" w:name="_Toc231769125"/>
      <w:r>
        <w:rPr>
          <w:rFonts w:ascii="Times New Roman" w:eastAsia="Times New Roman" w:hAnsi="Times New Roman" w:cs="Times New Roman"/>
          <w:b/>
          <w:bCs/>
          <w:sz w:val="26"/>
          <w:szCs w:val="26"/>
        </w:rPr>
        <w:t>2.5. La teoría de valoración por arbitraje (APT)</w:t>
      </w:r>
      <w:bookmarkEnd w:id="6"/>
    </w:p>
    <w:p w14:paraId="1FF7F78B" w14:textId="77777777" w:rsidR="00C74D18" w:rsidRDefault="00C74D18" w:rsidP="00C74D18">
      <w:r>
        <w:rPr>
          <w:szCs w:val="24"/>
        </w:rPr>
        <w:t>Una fundamentación teórica más general para la existencia de múltiples factores de riesgo la proporciona la Teoría de Valoración por Arbitraje (APT), desarrollada por Ross (1976). A diferencia del CAPM, que postula un único factor de riesgo, la APT parte de un modelo en el que la rentabilidad de cada activo se genera a partir de varias fuentes de riesgo sistemático comunes. Bajo el supuesto de ausencia de oportunidades de arbitraje y con un número suficiente de activos que permita diversificar el riesgo idiosincrásico, la rentabilidad esperada de un activo debe ser una función lineal de sus sensibilidades a dichos factores:</w:t>
      </w:r>
    </w:p>
    <w:p w14:paraId="06E05FE6" w14:textId="77777777" w:rsidR="00C74D18" w:rsidRDefault="00C74D18" w:rsidP="00C74D18">
      <w:pPr>
        <w:tabs>
          <w:tab w:val="right" w:pos="9020"/>
        </w:tabs>
        <w:spacing w:before="100" w:after="140"/>
        <w:jc w:val="center"/>
      </w:pPr>
      <w:r>
        <w:rPr>
          <w:i/>
          <w:iCs/>
          <w:szCs w:val="24"/>
        </w:rPr>
        <w:t>E(</w:t>
      </w:r>
      <w:proofErr w:type="spellStart"/>
      <w:r>
        <w:rPr>
          <w:i/>
          <w:iCs/>
          <w:szCs w:val="24"/>
        </w:rPr>
        <w:t>R</w:t>
      </w:r>
      <w:r>
        <w:rPr>
          <w:i/>
          <w:iCs/>
          <w:szCs w:val="24"/>
          <w:vertAlign w:val="subscript"/>
        </w:rPr>
        <w:t>i</w:t>
      </w:r>
      <w:proofErr w:type="spellEnd"/>
      <w:r>
        <w:rPr>
          <w:i/>
          <w:iCs/>
          <w:szCs w:val="24"/>
        </w:rPr>
        <w:t>) = λ</w:t>
      </w:r>
      <w:r>
        <w:rPr>
          <w:i/>
          <w:iCs/>
          <w:szCs w:val="24"/>
          <w:vertAlign w:val="subscript"/>
        </w:rPr>
        <w:t>0</w:t>
      </w:r>
      <w:r>
        <w:rPr>
          <w:i/>
          <w:iCs/>
          <w:szCs w:val="24"/>
        </w:rPr>
        <w:t xml:space="preserve"> + λ</w:t>
      </w:r>
      <w:r>
        <w:rPr>
          <w:i/>
          <w:iCs/>
          <w:szCs w:val="24"/>
          <w:vertAlign w:val="subscript"/>
        </w:rPr>
        <w:t>1</w:t>
      </w:r>
      <w:r>
        <w:rPr>
          <w:i/>
          <w:iCs/>
          <w:szCs w:val="24"/>
        </w:rPr>
        <w:t>b</w:t>
      </w:r>
      <w:r>
        <w:rPr>
          <w:i/>
          <w:iCs/>
          <w:szCs w:val="24"/>
          <w:vertAlign w:val="subscript"/>
        </w:rPr>
        <w:t>i1</w:t>
      </w:r>
      <w:r>
        <w:rPr>
          <w:i/>
          <w:iCs/>
          <w:szCs w:val="24"/>
        </w:rPr>
        <w:t xml:space="preserve"> + λ</w:t>
      </w:r>
      <w:r>
        <w:rPr>
          <w:i/>
          <w:iCs/>
          <w:szCs w:val="24"/>
          <w:vertAlign w:val="subscript"/>
        </w:rPr>
        <w:t>2</w:t>
      </w:r>
      <w:r>
        <w:rPr>
          <w:i/>
          <w:iCs/>
          <w:szCs w:val="24"/>
        </w:rPr>
        <w:t>b</w:t>
      </w:r>
      <w:r>
        <w:rPr>
          <w:i/>
          <w:iCs/>
          <w:szCs w:val="24"/>
          <w:vertAlign w:val="subscript"/>
        </w:rPr>
        <w:t>i2</w:t>
      </w:r>
      <w:r>
        <w:rPr>
          <w:i/>
          <w:iCs/>
          <w:szCs w:val="24"/>
        </w:rPr>
        <w:t xml:space="preserve"> + ... + </w:t>
      </w:r>
      <w:proofErr w:type="spellStart"/>
      <w:r>
        <w:rPr>
          <w:i/>
          <w:iCs/>
          <w:szCs w:val="24"/>
        </w:rPr>
        <w:t>λ</w:t>
      </w:r>
      <w:r>
        <w:rPr>
          <w:i/>
          <w:iCs/>
          <w:szCs w:val="24"/>
          <w:vertAlign w:val="subscript"/>
        </w:rPr>
        <w:t>k</w:t>
      </w:r>
      <w:r>
        <w:rPr>
          <w:i/>
          <w:iCs/>
          <w:szCs w:val="24"/>
        </w:rPr>
        <w:t>b</w:t>
      </w:r>
      <w:r>
        <w:rPr>
          <w:i/>
          <w:iCs/>
          <w:szCs w:val="24"/>
          <w:vertAlign w:val="subscript"/>
        </w:rPr>
        <w:t>ik</w:t>
      </w:r>
      <w:proofErr w:type="spellEnd"/>
      <w:r>
        <w:rPr>
          <w:szCs w:val="24"/>
        </w:rPr>
        <w:tab/>
        <w:t>[3]</w:t>
      </w:r>
    </w:p>
    <w:p w14:paraId="68CBAA35" w14:textId="77777777" w:rsidR="00C74D18" w:rsidRDefault="00C74D18" w:rsidP="00C74D18">
      <w:r>
        <w:rPr>
          <w:szCs w:val="24"/>
        </w:rPr>
        <w:t>donde cada λ representa la prima de riesgo asociada al factor correspondiente. La principal ventaja de la APT frente al CAPM es su mayor flexibilidad: no especifica a priori cuáles ni cuántos son los factores relevantes, que pueden ser variables macroeconómicas o factores construidos a partir de carteras. La APT proporciona, por tanto, el sustento teórico idóneo para plantear la sostenibilidad como un posible factor de riesgo sistemático adicional, en la medida en que las preferencias de los inversores por los activos sostenibles puedan afectar de forma sistemática a su valoración.</w:t>
      </w:r>
    </w:p>
    <w:p w14:paraId="656E7058" w14:textId="77777777" w:rsidR="00C74D18" w:rsidRDefault="00C74D18" w:rsidP="00C74D18">
      <w:pPr>
        <w:pStyle w:val="Ttulo2"/>
      </w:pPr>
      <w:bookmarkStart w:id="7" w:name="_Toc231769126"/>
      <w:r>
        <w:rPr>
          <w:rFonts w:ascii="Times New Roman" w:eastAsia="Times New Roman" w:hAnsi="Times New Roman" w:cs="Times New Roman"/>
          <w:b/>
          <w:bCs/>
          <w:sz w:val="26"/>
          <w:szCs w:val="26"/>
        </w:rPr>
        <w:t>2.6. Sostenibilidad y rentabilidad: revisión de la literatura</w:t>
      </w:r>
      <w:bookmarkEnd w:id="7"/>
    </w:p>
    <w:p w14:paraId="0FB67390" w14:textId="77777777" w:rsidR="00C74D18" w:rsidRDefault="00C74D18" w:rsidP="00C74D18">
      <w:r>
        <w:rPr>
          <w:szCs w:val="24"/>
        </w:rPr>
        <w:t xml:space="preserve">La relación entre el desempeño en sostenibilidad y la rentabilidad financiera ha sido objeto de una extensa literatura, sin que se haya alcanzado un consenso definitivo. Desde una perspectiva favorable a la inversión sostenible, la teoría de los grupos de interés (Freeman, 1984) sostiene que las empresas que gestionan adecuadamente sus relaciones con todos sus </w:t>
      </w:r>
      <w:proofErr w:type="spellStart"/>
      <w:r>
        <w:rPr>
          <w:szCs w:val="24"/>
        </w:rPr>
        <w:t>stakeholders</w:t>
      </w:r>
      <w:proofErr w:type="spellEnd"/>
      <w:r>
        <w:rPr>
          <w:szCs w:val="24"/>
        </w:rPr>
        <w:t xml:space="preserve"> —empleados, clientes, proveedores, comunidad y medio ambiente— pueden desarrollar ventajas competitivas sostenibles que se traduzcan en mejores resultados financieros a largo plazo.</w:t>
      </w:r>
    </w:p>
    <w:p w14:paraId="657C0B44" w14:textId="77777777" w:rsidR="00C74D18" w:rsidRDefault="00C74D18" w:rsidP="00C74D18">
      <w:r>
        <w:rPr>
          <w:szCs w:val="24"/>
        </w:rPr>
        <w:lastRenderedPageBreak/>
        <w:t xml:space="preserve">En sentido contrario, Hong y </w:t>
      </w:r>
      <w:proofErr w:type="spellStart"/>
      <w:r>
        <w:rPr>
          <w:szCs w:val="24"/>
        </w:rPr>
        <w:t>Kacperczyk</w:t>
      </w:r>
      <w:proofErr w:type="spellEnd"/>
      <w:r>
        <w:rPr>
          <w:szCs w:val="24"/>
        </w:rPr>
        <w:t xml:space="preserve"> (2009) documentan la existencia de un «sin premium»: las denominadas sin stocks —empresas de sectores controvertidos como el tabaco, el alcohol o el juego— obtendrían rentabilidades superiores. La explicación reside en que, al ser sistemáticamente evitadas por un segmento de inversores con criterios éticos o por restricciones normativas, estas empresas cotizarían con un descuento que se traduciría en mayores rentabilidades esperadas para quienes sí las mantienen en cartera.</w:t>
      </w:r>
    </w:p>
    <w:p w14:paraId="62C91322" w14:textId="77777777" w:rsidR="00C74D18" w:rsidRDefault="00C74D18" w:rsidP="00C74D18">
      <w:r>
        <w:rPr>
          <w:szCs w:val="24"/>
        </w:rPr>
        <w:t xml:space="preserve">Desde una perspectiva de equilibrio más reciente, </w:t>
      </w:r>
      <w:proofErr w:type="spellStart"/>
      <w:r>
        <w:rPr>
          <w:szCs w:val="24"/>
        </w:rPr>
        <w:t>Pástor</w:t>
      </w:r>
      <w:proofErr w:type="spellEnd"/>
      <w:r>
        <w:rPr>
          <w:szCs w:val="24"/>
        </w:rPr>
        <w:t>, Stambaugh y Taylor (2021) desarrollan un modelo en el que los activos «verdes» presentan rentabilidades esperadas inferiores a las de los activos «marrones». Ello se debe a dos razones: por un lado, los inversores obtienen una utilidad no pecuniaria por mantener activos sostenibles, por lo que aceptan una menor rentabilidad; por otro, los activos verdes proporcionan cobertura frente a los riesgos climáticos. No obstante, los mismos autores señalan que, en el corto plazo, los activos verdes pueden superar a los marrones si se producen aumentos inesperados en la preocupación por la sostenibilidad. En una línea metodológica muy próxima a la de este trabajo, Görgen et al. (2020) construyen un factor de riesgo de carbono, denominado Brown Minus Green, para capturar la exposición de las empresas al riesgo de transición.</w:t>
      </w:r>
    </w:p>
    <w:p w14:paraId="56EFDA9D" w14:textId="77777777" w:rsidR="00C74D18" w:rsidRDefault="00C74D18" w:rsidP="00C74D18">
      <w:r>
        <w:rPr>
          <w:szCs w:val="24"/>
        </w:rPr>
        <w:t xml:space="preserve">Por último, es obligado mencionar la importante advertencia de Berg, Kölbel y </w:t>
      </w:r>
      <w:proofErr w:type="spellStart"/>
      <w:r>
        <w:rPr>
          <w:szCs w:val="24"/>
        </w:rPr>
        <w:t>Rigobon</w:t>
      </w:r>
      <w:proofErr w:type="spellEnd"/>
      <w:r>
        <w:rPr>
          <w:szCs w:val="24"/>
        </w:rPr>
        <w:t xml:space="preserve"> (2022) sobre la divergencia de las calificaciones ESG. Estos autores documentan que las puntuaciones asignadas por distintos proveedores a una misma empresa presentan correlaciones notablemente bajas, debido a diferencias en el alcance, la medición y la ponderación de los indicadores. Esta «confusión agregada» implica que los resultados de cualquier estudio sobre ESG pueden depender en parte del proveedor de datos elegido, lo que aconseja una interpretación prudente de las conclusiones.</w:t>
      </w:r>
    </w:p>
    <w:p w14:paraId="47CF2C5D" w14:textId="77777777" w:rsidR="00C74D18" w:rsidRDefault="00C74D18" w:rsidP="00C74D18">
      <w:pPr>
        <w:pStyle w:val="Ttulo2"/>
      </w:pPr>
      <w:bookmarkStart w:id="8" w:name="_Toc231769127"/>
      <w:r>
        <w:rPr>
          <w:rFonts w:ascii="Times New Roman" w:eastAsia="Times New Roman" w:hAnsi="Times New Roman" w:cs="Times New Roman"/>
          <w:b/>
          <w:bCs/>
          <w:sz w:val="26"/>
          <w:szCs w:val="26"/>
        </w:rPr>
        <w:t>2.7. Hipótesis de investigación</w:t>
      </w:r>
      <w:bookmarkEnd w:id="8"/>
    </w:p>
    <w:p w14:paraId="6BF95682" w14:textId="77777777" w:rsidR="00C74D18" w:rsidRDefault="00C74D18" w:rsidP="00C74D18">
      <w:r>
        <w:rPr>
          <w:szCs w:val="24"/>
        </w:rPr>
        <w:t>A partir del marco teórico expuesto y de la revisión de la literatura, y en coherencia con los objetivos del trabajo, se plantean las siguientes cuatro hipótesis de investigación, que serán contrastadas empíricamente en los epígrafes posteriores:</w:t>
      </w:r>
    </w:p>
    <w:p w14:paraId="5778A532" w14:textId="77777777" w:rsidR="00C74D18" w:rsidRDefault="00C74D18" w:rsidP="00C74D18">
      <w:pPr>
        <w:pBdr>
          <w:left w:val="single" w:sz="18" w:space="12" w:color="2E5496"/>
        </w:pBdr>
        <w:spacing w:before="120"/>
        <w:ind w:left="340"/>
      </w:pPr>
      <w:r>
        <w:rPr>
          <w:b/>
          <w:bCs/>
          <w:szCs w:val="24"/>
        </w:rPr>
        <w:t xml:space="preserve">H1 — Ausencia de prima ESG. </w:t>
      </w:r>
      <w:r>
        <w:rPr>
          <w:i/>
          <w:iCs/>
          <w:szCs w:val="24"/>
        </w:rPr>
        <w:t>No existe una prima de rentabilidad estadísticamente significativa asociada al factor ESG en el mercado de renta variable europeo durante el período analizado.</w:t>
      </w:r>
    </w:p>
    <w:p w14:paraId="4A6665A0" w14:textId="77777777" w:rsidR="00C74D18" w:rsidRDefault="00C74D18" w:rsidP="00C74D18">
      <w:pPr>
        <w:pBdr>
          <w:left w:val="single" w:sz="18" w:space="12" w:color="2E5496"/>
        </w:pBdr>
        <w:spacing w:before="120"/>
        <w:ind w:left="340"/>
      </w:pPr>
      <w:r>
        <w:rPr>
          <w:b/>
          <w:bCs/>
          <w:szCs w:val="24"/>
        </w:rPr>
        <w:lastRenderedPageBreak/>
        <w:t xml:space="preserve">H2 — Capacidad discriminante del factor. </w:t>
      </w:r>
      <w:r>
        <w:rPr>
          <w:i/>
          <w:iCs/>
          <w:szCs w:val="24"/>
        </w:rPr>
        <w:t>La sensibilidad de las empresas al factor ESG, medida por el coeficiente e, difiere significativamente según su perfil de sostenibilidad, presentando un gradiente creciente desde las empresas de menor puntuación (Brown) hasta las de mayor puntuación (Green).</w:t>
      </w:r>
    </w:p>
    <w:p w14:paraId="55558BA2" w14:textId="77777777" w:rsidR="00C74D18" w:rsidRDefault="00C74D18" w:rsidP="00C74D18">
      <w:pPr>
        <w:pBdr>
          <w:left w:val="single" w:sz="18" w:space="12" w:color="2E5496"/>
        </w:pBdr>
        <w:spacing w:before="120"/>
        <w:ind w:left="340"/>
      </w:pPr>
      <w:r>
        <w:rPr>
          <w:b/>
          <w:bCs/>
          <w:szCs w:val="24"/>
        </w:rPr>
        <w:t xml:space="preserve">H3 — Independencia del factor. </w:t>
      </w:r>
      <w:r>
        <w:rPr>
          <w:i/>
          <w:iCs/>
          <w:szCs w:val="24"/>
        </w:rPr>
        <w:t>El factor ESG aporta información sobre las rentabilidades no recogida en su totalidad por los factores tradicionales de Fama y French (mercado, tamaño y valor).</w:t>
      </w:r>
    </w:p>
    <w:p w14:paraId="4DDA9DE4" w14:textId="5F392856" w:rsidR="00C74D18" w:rsidRDefault="00C74D18" w:rsidP="00C74D18">
      <w:pPr>
        <w:pBdr>
          <w:left w:val="single" w:sz="18" w:space="12" w:color="2E5496"/>
        </w:pBdr>
        <w:spacing w:before="120"/>
        <w:ind w:left="340"/>
      </w:pPr>
      <w:r>
        <w:rPr>
          <w:b/>
          <w:bCs/>
          <w:szCs w:val="24"/>
        </w:rPr>
        <w:t xml:space="preserve">H4 — Coherencia con la eficiencia del mercado. </w:t>
      </w:r>
      <w:r>
        <w:rPr>
          <w:i/>
          <w:iCs/>
          <w:szCs w:val="24"/>
        </w:rPr>
        <w:t>No existen diferencias</w:t>
      </w:r>
      <w:r>
        <w:rPr>
          <w:i/>
          <w:iCs/>
          <w:szCs w:val="24"/>
        </w:rPr>
        <w:t xml:space="preserve"> </w:t>
      </w:r>
      <w:r>
        <w:rPr>
          <w:i/>
          <w:iCs/>
          <w:szCs w:val="24"/>
        </w:rPr>
        <w:t>significativas de rentabilidad anormal (alfa) entre las carteras de distinto perfil ESG, lo que resultaría coherente con la hipótesis de eficiencia de los mercados.</w:t>
      </w:r>
    </w:p>
    <w:p w14:paraId="33742790" w14:textId="5E286047" w:rsidR="000172AF" w:rsidRDefault="00C74D18" w:rsidP="000172AF">
      <w:r>
        <w:rPr>
          <w:szCs w:val="24"/>
        </w:rPr>
        <w:t>El contraste conjunto de estas hipótesis permitirá determinar si la sostenibilidad constituye una dimensión relevante en la valoración de los activos europeos y, en su caso, de qué naturaleza es dicha relevancia: si se traduce en una prima de rentabilidad explotable o si, por el contrario, opera como un factor de riesgo que el mercado incorpora eficientemente en los precios.</w:t>
      </w:r>
    </w:p>
    <w:p w14:paraId="4E02783B" w14:textId="77777777" w:rsidR="000172AF" w:rsidRDefault="000172AF">
      <w:pPr>
        <w:keepLines w:val="0"/>
        <w:jc w:val="left"/>
      </w:pPr>
      <w:r>
        <w:br w:type="page"/>
      </w:r>
    </w:p>
    <w:p w14:paraId="30DB0A56" w14:textId="77777777" w:rsidR="00C74D18" w:rsidRPr="00C74D18" w:rsidRDefault="00C74D18" w:rsidP="000172AF"/>
    <w:p w14:paraId="142BDDE6" w14:textId="27F341C6" w:rsidR="003016D6" w:rsidRDefault="00C74D18" w:rsidP="009B25BD">
      <w:pPr>
        <w:pStyle w:val="Ttulo1"/>
        <w:rPr>
          <w:b/>
          <w:bCs/>
          <w:lang w:val="es-ES"/>
        </w:rPr>
      </w:pPr>
      <w:bookmarkStart w:id="9" w:name="_Toc231769128"/>
      <w:r>
        <w:rPr>
          <w:b/>
          <w:bCs/>
          <w:lang w:val="es-ES"/>
        </w:rPr>
        <w:t>3. SELECCIÓN DE LA MUESTRA Y METODOLOGÍA</w:t>
      </w:r>
      <w:bookmarkEnd w:id="9"/>
    </w:p>
    <w:p w14:paraId="3B224A96" w14:textId="141287C0" w:rsidR="00C74D18" w:rsidRPr="00C74D18" w:rsidRDefault="00C74D18" w:rsidP="00C74D18">
      <w:pPr>
        <w:pStyle w:val="Ttulo3"/>
        <w:rPr>
          <w:lang w:val="es-ES"/>
        </w:rPr>
      </w:pPr>
      <w:bookmarkStart w:id="10" w:name="_Toc231769129"/>
      <w:r>
        <w:rPr>
          <w:rFonts w:eastAsia="Times New Roman" w:cs="Times New Roman"/>
          <w:b/>
          <w:bCs/>
          <w:sz w:val="26"/>
          <w:szCs w:val="26"/>
        </w:rPr>
        <w:t>3.1. Selección de la muestra</w:t>
      </w:r>
      <w:bookmarkEnd w:id="10"/>
    </w:p>
    <w:p w14:paraId="071B3A52" w14:textId="77777777" w:rsidR="00C74D18" w:rsidRDefault="00C74D18" w:rsidP="00C74D18">
      <w:r>
        <w:rPr>
          <w:szCs w:val="24"/>
        </w:rPr>
        <w:t>El universo de partida de este estudio está constituido por las empresas que integran el índice STOXX Europe 600, uno de los principales índices bursátiles europeos, que recoge a las 600 mayores empresas cotizadas de 17 países de Europa y ofrece una representación amplia y diversificada del mercado de renta variable de la región. La elección de este índice responde a su carácter representativo y a su uso habitual como referencia en los estudios sobre el mercado europeo.</w:t>
      </w:r>
    </w:p>
    <w:p w14:paraId="3A9904ED" w14:textId="77777777" w:rsidR="00C74D18" w:rsidRDefault="00C74D18" w:rsidP="00C74D18">
      <w:r>
        <w:rPr>
          <w:szCs w:val="24"/>
        </w:rPr>
        <w:t>Sobre este universo de partida se aplicaron varios criterios de filtrado. En primer lugar, se excluyeron las empresas pertenecientes a los sectores de banca, seguros, servicios financieros de base tecnológica (</w:t>
      </w:r>
      <w:proofErr w:type="spellStart"/>
      <w:r>
        <w:rPr>
          <w:szCs w:val="24"/>
        </w:rPr>
        <w:t>fintech</w:t>
      </w:r>
      <w:proofErr w:type="spellEnd"/>
      <w:r>
        <w:rPr>
          <w:szCs w:val="24"/>
        </w:rPr>
        <w:t>), sociedades de cartera de naturaleza financiera (holdings) e inmobiliarias. La razón de esta exclusión es metodológica: las entidades financieras presentan estructuras de balance, niveles de apalancamiento y modelos de negocio sustancialmente distintos del resto de sectores, lo que es práctica habitual en la literatura de factores de riesgo (los propios Fama y French excluyen las financieras de algunos de sus análisis) con el fin de evitar distorsiones.</w:t>
      </w:r>
    </w:p>
    <w:p w14:paraId="1B5EC739" w14:textId="77777777" w:rsidR="00C74D18" w:rsidRDefault="00C74D18" w:rsidP="00C74D18">
      <w:r>
        <w:rPr>
          <w:szCs w:val="24"/>
        </w:rPr>
        <w:t>En segundo lugar, se requirió que las empresas dispusieran de una puntuación ESG en la base de datos empleada y de un historial de cotización suficiente, fijándose un mínimo de 24 observaciones mensuales. Tras la aplicación de estos filtros, se identificaron y excluyeron además dos empresas concretas por motivos justificados: Wise PLC, por tratarse de una empresa de tecnología financiera (</w:t>
      </w:r>
      <w:proofErr w:type="spellStart"/>
      <w:r>
        <w:rPr>
          <w:szCs w:val="24"/>
        </w:rPr>
        <w:t>fintech</w:t>
      </w:r>
      <w:proofErr w:type="spellEnd"/>
      <w:r>
        <w:rPr>
          <w:szCs w:val="24"/>
        </w:rPr>
        <w:t xml:space="preserve">) que, pese a estar clasificada por el proveedor de datos en un sector no financiero, encaja en los criterios de exclusión establecidos; y </w:t>
      </w:r>
      <w:proofErr w:type="spellStart"/>
      <w:r>
        <w:rPr>
          <w:szCs w:val="24"/>
        </w:rPr>
        <w:t>Zegona</w:t>
      </w:r>
      <w:proofErr w:type="spellEnd"/>
      <w:r>
        <w:rPr>
          <w:szCs w:val="24"/>
        </w:rPr>
        <w:t xml:space="preserve"> </w:t>
      </w:r>
      <w:proofErr w:type="spellStart"/>
      <w:r>
        <w:rPr>
          <w:szCs w:val="24"/>
        </w:rPr>
        <w:t>Communications</w:t>
      </w:r>
      <w:proofErr w:type="spellEnd"/>
      <w:r>
        <w:rPr>
          <w:szCs w:val="24"/>
        </w:rPr>
        <w:t>, por constituir un caso atípico extremo (</w:t>
      </w:r>
      <w:proofErr w:type="spellStart"/>
      <w:r>
        <w:rPr>
          <w:szCs w:val="24"/>
        </w:rPr>
        <w:t>outlier</w:t>
      </w:r>
      <w:proofErr w:type="spellEnd"/>
      <w:r>
        <w:rPr>
          <w:szCs w:val="24"/>
        </w:rPr>
        <w:t>) cuya cotización se multiplicó por cinco a raíz de la adquisición de Vodafone España en 2024, un evento corporativo extraordinario que distorsionaba la estimación del modelo.</w:t>
      </w:r>
    </w:p>
    <w:p w14:paraId="1E0DA85B" w14:textId="77777777" w:rsidR="00C74D18" w:rsidRDefault="00C74D18" w:rsidP="00C74D18">
      <w:r>
        <w:rPr>
          <w:szCs w:val="24"/>
        </w:rPr>
        <w:t xml:space="preserve">La muestra final resultante está compuesta por </w:t>
      </w:r>
      <w:r>
        <w:rPr>
          <w:b/>
          <w:bCs/>
          <w:szCs w:val="24"/>
        </w:rPr>
        <w:t>431 empresas</w:t>
      </w:r>
      <w:r>
        <w:rPr>
          <w:szCs w:val="24"/>
        </w:rPr>
        <w:t>, distribuidas en 21 países y 22 sectores de actividad, lo que garantiza una elevada diversificación tanto geográfica como sectorial. La Tabla 1 presenta la distribución de la muestra por país para los diez países con mayor representación.</w:t>
      </w:r>
    </w:p>
    <w:p w14:paraId="0D006BF3" w14:textId="77777777" w:rsidR="00C74D18" w:rsidRDefault="00C74D18" w:rsidP="000601C9">
      <w:pPr>
        <w:spacing w:before="120" w:after="60"/>
        <w:jc w:val="center"/>
      </w:pPr>
      <w:r>
        <w:rPr>
          <w:b/>
          <w:bCs/>
          <w:sz w:val="22"/>
        </w:rPr>
        <w:lastRenderedPageBreak/>
        <w:t>Tabla 1. Distribución de la muestra por país (10 primeros)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3120"/>
        <w:gridCol w:w="1560"/>
      </w:tblGrid>
      <w:tr w:rsidR="00C74D18" w14:paraId="55BEDE17"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643A084A" w14:textId="77777777" w:rsidR="00C74D18" w:rsidRDefault="00C74D18" w:rsidP="00D012BC">
            <w:pPr>
              <w:jc w:val="center"/>
            </w:pPr>
            <w:r>
              <w:rPr>
                <w:b/>
                <w:bCs/>
                <w:color w:val="FFFFFF"/>
                <w:sz w:val="20"/>
                <w:szCs w:val="20"/>
              </w:rPr>
              <w:t>País</w:t>
            </w:r>
          </w:p>
        </w:tc>
        <w:tc>
          <w:tcPr>
            <w:tcW w:w="156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215CF5DF" w14:textId="77777777" w:rsidR="00C74D18" w:rsidRDefault="00C74D18" w:rsidP="00D012BC">
            <w:pPr>
              <w:jc w:val="center"/>
            </w:pPr>
            <w:proofErr w:type="spellStart"/>
            <w:r>
              <w:rPr>
                <w:b/>
                <w:bCs/>
                <w:color w:val="FFFFFF"/>
                <w:sz w:val="20"/>
                <w:szCs w:val="20"/>
              </w:rPr>
              <w:t>Nº</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06513093" w14:textId="77777777" w:rsidR="00C74D18" w:rsidRDefault="00C74D18" w:rsidP="00D012BC">
            <w:pPr>
              <w:jc w:val="center"/>
            </w:pPr>
            <w:r>
              <w:rPr>
                <w:b/>
                <w:bCs/>
                <w:color w:val="FFFFFF"/>
                <w:sz w:val="20"/>
                <w:szCs w:val="20"/>
              </w:rPr>
              <w:t>País</w:t>
            </w:r>
          </w:p>
        </w:tc>
        <w:tc>
          <w:tcPr>
            <w:tcW w:w="156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73C13298" w14:textId="77777777" w:rsidR="00C74D18" w:rsidRDefault="00C74D18" w:rsidP="00D012BC">
            <w:pPr>
              <w:jc w:val="center"/>
            </w:pPr>
            <w:proofErr w:type="spellStart"/>
            <w:r>
              <w:rPr>
                <w:b/>
                <w:bCs/>
                <w:color w:val="FFFFFF"/>
                <w:sz w:val="20"/>
                <w:szCs w:val="20"/>
              </w:rPr>
              <w:t>Nº</w:t>
            </w:r>
            <w:proofErr w:type="spellEnd"/>
          </w:p>
        </w:tc>
      </w:tr>
      <w:tr w:rsidR="00C74D18" w14:paraId="0B662F80"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65AEF5A" w14:textId="77777777" w:rsidR="00C74D18" w:rsidRDefault="00C74D18" w:rsidP="00D012BC">
            <w:r>
              <w:rPr>
                <w:sz w:val="20"/>
                <w:szCs w:val="20"/>
              </w:rPr>
              <w:t>Reino Unido</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99CFEC0" w14:textId="77777777" w:rsidR="00C74D18" w:rsidRDefault="00C74D18" w:rsidP="00D012BC">
            <w:pPr>
              <w:jc w:val="center"/>
            </w:pPr>
            <w:r>
              <w:rPr>
                <w:sz w:val="20"/>
                <w:szCs w:val="20"/>
              </w:rPr>
              <w:t>83</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6E5E849" w14:textId="77777777" w:rsidR="00C74D18" w:rsidRDefault="00C74D18" w:rsidP="00D012BC">
            <w:r>
              <w:rPr>
                <w:sz w:val="20"/>
                <w:szCs w:val="20"/>
              </w:rPr>
              <w:t>Dinamarca</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D0D1EDF" w14:textId="77777777" w:rsidR="00C74D18" w:rsidRDefault="00C74D18" w:rsidP="00D012BC">
            <w:pPr>
              <w:jc w:val="center"/>
            </w:pPr>
            <w:r>
              <w:rPr>
                <w:sz w:val="20"/>
                <w:szCs w:val="20"/>
              </w:rPr>
              <w:t>20</w:t>
            </w:r>
          </w:p>
        </w:tc>
      </w:tr>
      <w:tr w:rsidR="00C74D18" w14:paraId="7559ED05"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A38F6D9" w14:textId="77777777" w:rsidR="00C74D18" w:rsidRDefault="00C74D18" w:rsidP="00D012BC">
            <w:r>
              <w:rPr>
                <w:sz w:val="20"/>
                <w:szCs w:val="20"/>
              </w:rPr>
              <w:t>Alemania</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662C943" w14:textId="77777777" w:rsidR="00C74D18" w:rsidRDefault="00C74D18" w:rsidP="00D012BC">
            <w:pPr>
              <w:jc w:val="center"/>
            </w:pPr>
            <w:r>
              <w:rPr>
                <w:sz w:val="20"/>
                <w:szCs w:val="20"/>
              </w:rPr>
              <w:t>56</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6CFCE6E" w14:textId="77777777" w:rsidR="00C74D18" w:rsidRDefault="00C74D18" w:rsidP="00D012BC">
            <w:r>
              <w:rPr>
                <w:sz w:val="20"/>
                <w:szCs w:val="20"/>
              </w:rPr>
              <w:t>España</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D2F298D" w14:textId="77777777" w:rsidR="00C74D18" w:rsidRDefault="00C74D18" w:rsidP="00D012BC">
            <w:pPr>
              <w:jc w:val="center"/>
            </w:pPr>
            <w:r>
              <w:rPr>
                <w:sz w:val="20"/>
                <w:szCs w:val="20"/>
              </w:rPr>
              <w:t>17</w:t>
            </w:r>
          </w:p>
        </w:tc>
      </w:tr>
      <w:tr w:rsidR="00C74D18" w14:paraId="4D63AAE9"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5E6E11D" w14:textId="77777777" w:rsidR="00C74D18" w:rsidRDefault="00C74D18" w:rsidP="00D012BC">
            <w:r>
              <w:rPr>
                <w:sz w:val="20"/>
                <w:szCs w:val="20"/>
              </w:rPr>
              <w:t>Francia</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556D898" w14:textId="77777777" w:rsidR="00C74D18" w:rsidRDefault="00C74D18" w:rsidP="00D012BC">
            <w:pPr>
              <w:jc w:val="center"/>
            </w:pPr>
            <w:r>
              <w:rPr>
                <w:sz w:val="20"/>
                <w:szCs w:val="20"/>
              </w:rPr>
              <w:t>48</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FC02EDC" w14:textId="77777777" w:rsidR="00C74D18" w:rsidRDefault="00C74D18" w:rsidP="00D012BC">
            <w:r>
              <w:rPr>
                <w:sz w:val="20"/>
                <w:szCs w:val="20"/>
              </w:rPr>
              <w:t>Finlandia</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AD2A07E" w14:textId="77777777" w:rsidR="00C74D18" w:rsidRDefault="00C74D18" w:rsidP="00D012BC">
            <w:pPr>
              <w:jc w:val="center"/>
            </w:pPr>
            <w:r>
              <w:rPr>
                <w:sz w:val="20"/>
                <w:szCs w:val="20"/>
              </w:rPr>
              <w:t>15</w:t>
            </w:r>
          </w:p>
        </w:tc>
      </w:tr>
      <w:tr w:rsidR="00C74D18" w14:paraId="2625B02B"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3A07BC6" w14:textId="77777777" w:rsidR="00C74D18" w:rsidRDefault="00C74D18" w:rsidP="00D012BC">
            <w:r>
              <w:rPr>
                <w:sz w:val="20"/>
                <w:szCs w:val="20"/>
              </w:rPr>
              <w:t>Suiza</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EB90736" w14:textId="77777777" w:rsidR="00C74D18" w:rsidRDefault="00C74D18" w:rsidP="00D012BC">
            <w:pPr>
              <w:jc w:val="center"/>
            </w:pPr>
            <w:r>
              <w:rPr>
                <w:sz w:val="20"/>
                <w:szCs w:val="20"/>
              </w:rPr>
              <w:t>42</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B5689DE" w14:textId="77777777" w:rsidR="00C74D18" w:rsidRDefault="00C74D18" w:rsidP="00D012BC">
            <w:r>
              <w:rPr>
                <w:sz w:val="20"/>
                <w:szCs w:val="20"/>
              </w:rPr>
              <w:t>Noruega</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1F3EF07" w14:textId="77777777" w:rsidR="00C74D18" w:rsidRDefault="00C74D18" w:rsidP="00D012BC">
            <w:pPr>
              <w:jc w:val="center"/>
            </w:pPr>
            <w:r>
              <w:rPr>
                <w:sz w:val="20"/>
                <w:szCs w:val="20"/>
              </w:rPr>
              <w:t>13</w:t>
            </w:r>
          </w:p>
        </w:tc>
      </w:tr>
      <w:tr w:rsidR="00C74D18" w14:paraId="7BE6673C"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EE4262F" w14:textId="77777777" w:rsidR="00C74D18" w:rsidRDefault="00C74D18" w:rsidP="00D012BC">
            <w:r>
              <w:rPr>
                <w:sz w:val="20"/>
                <w:szCs w:val="20"/>
              </w:rPr>
              <w:t>Suecia</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1999444" w14:textId="77777777" w:rsidR="00C74D18" w:rsidRDefault="00C74D18" w:rsidP="00D012BC">
            <w:pPr>
              <w:jc w:val="center"/>
            </w:pPr>
            <w:r>
              <w:rPr>
                <w:sz w:val="20"/>
                <w:szCs w:val="20"/>
              </w:rPr>
              <w:t>38</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BD9E193" w14:textId="77777777" w:rsidR="00C74D18" w:rsidRDefault="00C74D18" w:rsidP="00D012BC">
            <w:r>
              <w:rPr>
                <w:sz w:val="20"/>
                <w:szCs w:val="20"/>
              </w:rPr>
              <w:t>Países Bajos</w:t>
            </w:r>
          </w:p>
        </w:tc>
        <w:tc>
          <w:tcPr>
            <w:tcW w:w="15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0AF9B52" w14:textId="77777777" w:rsidR="00C74D18" w:rsidRDefault="00C74D18" w:rsidP="00D012BC">
            <w:pPr>
              <w:jc w:val="center"/>
            </w:pPr>
            <w:r>
              <w:rPr>
                <w:sz w:val="20"/>
                <w:szCs w:val="20"/>
              </w:rPr>
              <w:t>25</w:t>
            </w:r>
          </w:p>
        </w:tc>
      </w:tr>
      <w:tr w:rsidR="00C74D18" w14:paraId="2236F66D"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1136FD1" w14:textId="77777777" w:rsidR="00C74D18" w:rsidRDefault="00C74D18" w:rsidP="00D012BC">
            <w:r>
              <w:rPr>
                <w:sz w:val="20"/>
                <w:szCs w:val="20"/>
              </w:rPr>
              <w:t>Italia</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1B58B0D" w14:textId="77777777" w:rsidR="00C74D18" w:rsidRDefault="00C74D18" w:rsidP="00D012BC">
            <w:pPr>
              <w:jc w:val="center"/>
            </w:pPr>
            <w:r>
              <w:rPr>
                <w:sz w:val="20"/>
                <w:szCs w:val="20"/>
              </w:rPr>
              <w:t>26</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CA461AA" w14:textId="77777777" w:rsidR="00C74D18" w:rsidRDefault="00C74D18" w:rsidP="00D012BC">
            <w:r>
              <w:rPr>
                <w:sz w:val="20"/>
                <w:szCs w:val="20"/>
              </w:rPr>
              <w:t>Otros (12)</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9439EFC" w14:textId="77777777" w:rsidR="00C74D18" w:rsidRDefault="00C74D18" w:rsidP="00D012BC">
            <w:pPr>
              <w:jc w:val="center"/>
            </w:pPr>
            <w:r>
              <w:rPr>
                <w:sz w:val="20"/>
                <w:szCs w:val="20"/>
              </w:rPr>
              <w:t>48</w:t>
            </w:r>
          </w:p>
        </w:tc>
      </w:tr>
    </w:tbl>
    <w:p w14:paraId="31987503" w14:textId="77777777" w:rsidR="00C74D18" w:rsidRDefault="00C74D18" w:rsidP="000601C9">
      <w:pPr>
        <w:spacing w:before="40" w:after="160"/>
        <w:jc w:val="center"/>
        <w:rPr>
          <w:sz w:val="20"/>
          <w:szCs w:val="20"/>
        </w:rPr>
      </w:pPr>
      <w:r>
        <w:rPr>
          <w:i/>
          <w:iCs/>
          <w:sz w:val="20"/>
          <w:szCs w:val="20"/>
        </w:rPr>
        <w:t xml:space="preserve">Fuente: </w:t>
      </w:r>
      <w:r>
        <w:rPr>
          <w:sz w:val="20"/>
          <w:szCs w:val="20"/>
        </w:rPr>
        <w:t xml:space="preserve">elaboración propia a partir de datos de </w:t>
      </w:r>
      <w:proofErr w:type="spellStart"/>
      <w:r>
        <w:rPr>
          <w:sz w:val="20"/>
          <w:szCs w:val="20"/>
        </w:rPr>
        <w:t>Refinitiv</w:t>
      </w:r>
      <w:proofErr w:type="spellEnd"/>
      <w:r>
        <w:rPr>
          <w:sz w:val="20"/>
          <w:szCs w:val="20"/>
        </w:rPr>
        <w:t>.</w:t>
      </w:r>
    </w:p>
    <w:p w14:paraId="46665F67" w14:textId="77777777" w:rsidR="00C74D18" w:rsidRDefault="00C74D18" w:rsidP="00C74D18">
      <w:pPr>
        <w:pStyle w:val="Ttulo2"/>
      </w:pPr>
      <w:bookmarkStart w:id="11" w:name="_Toc231769130"/>
      <w:r>
        <w:rPr>
          <w:rFonts w:ascii="Times New Roman" w:eastAsia="Times New Roman" w:hAnsi="Times New Roman" w:cs="Times New Roman"/>
          <w:b/>
          <w:bCs/>
          <w:sz w:val="26"/>
          <w:szCs w:val="26"/>
        </w:rPr>
        <w:t>3.2. Fuentes de datos</w:t>
      </w:r>
      <w:bookmarkEnd w:id="11"/>
    </w:p>
    <w:p w14:paraId="711E817E" w14:textId="77777777" w:rsidR="00C74D18" w:rsidRDefault="00C74D18" w:rsidP="00C74D18">
      <w:r>
        <w:rPr>
          <w:szCs w:val="24"/>
        </w:rPr>
        <w:t xml:space="preserve">La información utilizada en el trabajo procede de tres fuentes. Las puntuaciones ESG y los datos de clasificación sectorial de las empresas se obtuvieron de la base de datos </w:t>
      </w:r>
      <w:proofErr w:type="spellStart"/>
      <w:r>
        <w:rPr>
          <w:b/>
          <w:bCs/>
          <w:szCs w:val="24"/>
        </w:rPr>
        <w:t>Refinitiv</w:t>
      </w:r>
      <w:proofErr w:type="spellEnd"/>
      <w:r>
        <w:rPr>
          <w:szCs w:val="24"/>
        </w:rPr>
        <w:t xml:space="preserve">, a través de la plataforma </w:t>
      </w:r>
      <w:proofErr w:type="spellStart"/>
      <w:r>
        <w:rPr>
          <w:szCs w:val="24"/>
        </w:rPr>
        <w:t>Eikon</w:t>
      </w:r>
      <w:proofErr w:type="spellEnd"/>
      <w:r>
        <w:rPr>
          <w:szCs w:val="24"/>
        </w:rPr>
        <w:t xml:space="preserve">. Esta constituye la única fuente de información de carácter no gratuito empleada en el estudio. Las puntuaciones ESG se extrajeron en abril de 2026. La variable de sostenibilidad empleada es la puntuación ESG combinada (ESG Score) que proporciona </w:t>
      </w:r>
      <w:proofErr w:type="spellStart"/>
      <w:r>
        <w:rPr>
          <w:szCs w:val="24"/>
        </w:rPr>
        <w:t>Refinitiv</w:t>
      </w:r>
      <w:proofErr w:type="spellEnd"/>
      <w:r>
        <w:rPr>
          <w:szCs w:val="24"/>
        </w:rPr>
        <w:t>, la cual integra en una única medida, en una escala de 0 a 100, el desempeño de la empresa en los tres pilares —ambiental, social y de gobernanza— a partir de un amplio conjunto de indicadores.</w:t>
      </w:r>
    </w:p>
    <w:p w14:paraId="3A5ABF94" w14:textId="77777777" w:rsidR="00C74D18" w:rsidRDefault="00C74D18" w:rsidP="00C74D18">
      <w:r>
        <w:rPr>
          <w:szCs w:val="24"/>
        </w:rPr>
        <w:t xml:space="preserve">Los precios de cotización se obtuvieron de </w:t>
      </w:r>
      <w:proofErr w:type="spellStart"/>
      <w:r>
        <w:rPr>
          <w:szCs w:val="24"/>
        </w:rPr>
        <w:t>Yahoo</w:t>
      </w:r>
      <w:proofErr w:type="spellEnd"/>
      <w:r>
        <w:rPr>
          <w:szCs w:val="24"/>
        </w:rPr>
        <w:t xml:space="preserve"> </w:t>
      </w:r>
      <w:proofErr w:type="spellStart"/>
      <w:r>
        <w:rPr>
          <w:szCs w:val="24"/>
        </w:rPr>
        <w:t>Finance</w:t>
      </w:r>
      <w:proofErr w:type="spellEnd"/>
      <w:r>
        <w:rPr>
          <w:szCs w:val="24"/>
        </w:rPr>
        <w:t xml:space="preserve">, una fuente de acceso libre y gratuito, mediante la librería </w:t>
      </w:r>
      <w:proofErr w:type="spellStart"/>
      <w:r>
        <w:rPr>
          <w:szCs w:val="24"/>
        </w:rPr>
        <w:t>yfinance</w:t>
      </w:r>
      <w:proofErr w:type="spellEnd"/>
      <w:r>
        <w:rPr>
          <w:szCs w:val="24"/>
        </w:rPr>
        <w:t xml:space="preserve"> del lenguaje de programación Python. Se emplearon precios mensuales ajustados, que incorporan el efecto de los dividendos y las operaciones sobre el capital (es decir, rentabilidad total o total </w:t>
      </w:r>
      <w:proofErr w:type="spellStart"/>
      <w:r>
        <w:rPr>
          <w:szCs w:val="24"/>
        </w:rPr>
        <w:t>return</w:t>
      </w:r>
      <w:proofErr w:type="spellEnd"/>
      <w:r>
        <w:rPr>
          <w:szCs w:val="24"/>
        </w:rPr>
        <w:t>), lo que garantiza una medición correcta de la rentabilidad obtenida por el inversor. Finalmente, los factores de Fama y French para el mercado europeo —el factor de mercado, SMB, HML y el tipo de interés libre de riesgo— se descargaron del repositorio público y gratuito de la Kenneth R. French Data Library.</w:t>
      </w:r>
    </w:p>
    <w:p w14:paraId="57DCC1F1" w14:textId="77777777" w:rsidR="00C74D18" w:rsidRDefault="00C74D18" w:rsidP="00C74D18">
      <w:pPr>
        <w:pStyle w:val="Ttulo2"/>
      </w:pPr>
      <w:bookmarkStart w:id="12" w:name="_Toc231769131"/>
      <w:r>
        <w:rPr>
          <w:rFonts w:ascii="Times New Roman" w:eastAsia="Times New Roman" w:hAnsi="Times New Roman" w:cs="Times New Roman"/>
          <w:b/>
          <w:bCs/>
          <w:sz w:val="26"/>
          <w:szCs w:val="26"/>
        </w:rPr>
        <w:lastRenderedPageBreak/>
        <w:t>3.3. Período de análisis</w:t>
      </w:r>
      <w:bookmarkEnd w:id="12"/>
    </w:p>
    <w:p w14:paraId="6C9E1729" w14:textId="77777777" w:rsidR="00C74D18" w:rsidRDefault="00C74D18" w:rsidP="00C74D18">
      <w:r>
        <w:rPr>
          <w:szCs w:val="24"/>
        </w:rPr>
        <w:t>El período de análisis abarca desde enero de 2021 hasta diciembre de 2025, lo que proporciona un total de 60 observaciones mensuales de precios y, en consecuencia, 59 rentabilidades mensuales. La elección de este período responde a dos consideraciones principales. En primer lugar, el inicio en 2021 coincide con la entrada en vigor del Reglamento SFDR (marzo de 2021), que marca el comienzo de una etapa de mayor relevancia e institucionalización de los criterios ESG en la inversión europea. En segundo lugar, este período garantiza la disponibilidad de puntuaciones ESG de calidad y con una metodología homogénea.</w:t>
      </w:r>
    </w:p>
    <w:p w14:paraId="07EB6EDE" w14:textId="77777777" w:rsidR="00C74D18" w:rsidRDefault="00C74D18" w:rsidP="00C74D18">
      <w:r>
        <w:rPr>
          <w:szCs w:val="24"/>
        </w:rPr>
        <w:t>Conviene reconocer que la extensión temporal de la muestra (59 observaciones) es inferior a la empleada en los estudios clásicos sobre factores de riesgo. No obstante, se sitúa en el mínimo razonable considerado por la literatura para la estimación de modelos factoriales sobre activos individuales, y la limitación que ello supone se aborda explícitamente en el epígrafe de conclusiones.</w:t>
      </w:r>
    </w:p>
    <w:p w14:paraId="006DA3EE" w14:textId="77777777" w:rsidR="00C74D18" w:rsidRDefault="00C74D18" w:rsidP="00C74D18">
      <w:pPr>
        <w:pStyle w:val="Ttulo2"/>
      </w:pPr>
      <w:bookmarkStart w:id="13" w:name="_Toc231769132"/>
      <w:r>
        <w:rPr>
          <w:rFonts w:ascii="Times New Roman" w:eastAsia="Times New Roman" w:hAnsi="Times New Roman" w:cs="Times New Roman"/>
          <w:b/>
          <w:bCs/>
          <w:sz w:val="26"/>
          <w:szCs w:val="26"/>
        </w:rPr>
        <w:t>3.4. Construcción del factor ESG</w:t>
      </w:r>
      <w:bookmarkEnd w:id="13"/>
    </w:p>
    <w:p w14:paraId="3A22BFE9" w14:textId="77777777" w:rsidR="00C74D18" w:rsidRDefault="00C74D18" w:rsidP="00C74D18">
      <w:r>
        <w:rPr>
          <w:szCs w:val="24"/>
        </w:rPr>
        <w:t>La construcción del factor ESG sigue fielmente la metodología empleada por Fama y French (1993) para la elaboración de sus factores. En primer lugar, las 431 empresas de la muestra se ordenaron de menor a mayor según su puntuación ESG y se dividieron en tres grupos de igual tamaño (</w:t>
      </w:r>
      <w:proofErr w:type="spellStart"/>
      <w:r>
        <w:rPr>
          <w:szCs w:val="24"/>
        </w:rPr>
        <w:t>terciles</w:t>
      </w:r>
      <w:proofErr w:type="spellEnd"/>
      <w:r>
        <w:rPr>
          <w:szCs w:val="24"/>
        </w:rPr>
        <w:t xml:space="preserve">). El </w:t>
      </w:r>
      <w:proofErr w:type="spellStart"/>
      <w:r>
        <w:rPr>
          <w:szCs w:val="24"/>
        </w:rPr>
        <w:t>tercil</w:t>
      </w:r>
      <w:proofErr w:type="spellEnd"/>
      <w:r>
        <w:rPr>
          <w:szCs w:val="24"/>
        </w:rPr>
        <w:t xml:space="preserve"> de empresas con mayor puntuación constituye la cartera </w:t>
      </w:r>
      <w:r>
        <w:rPr>
          <w:i/>
          <w:iCs/>
          <w:szCs w:val="24"/>
        </w:rPr>
        <w:t>Green</w:t>
      </w:r>
      <w:r>
        <w:rPr>
          <w:szCs w:val="24"/>
        </w:rPr>
        <w:t xml:space="preserve">, el de menor puntuación la cartera </w:t>
      </w:r>
      <w:r>
        <w:rPr>
          <w:i/>
          <w:iCs/>
          <w:szCs w:val="24"/>
        </w:rPr>
        <w:t>Brown</w:t>
      </w:r>
      <w:r>
        <w:rPr>
          <w:szCs w:val="24"/>
        </w:rPr>
        <w:t xml:space="preserve"> y el intermedio la cartera </w:t>
      </w:r>
      <w:r>
        <w:rPr>
          <w:i/>
          <w:iCs/>
          <w:szCs w:val="24"/>
        </w:rPr>
        <w:t>Medium</w:t>
      </w:r>
      <w:r>
        <w:rPr>
          <w:szCs w:val="24"/>
        </w:rPr>
        <w:t>.</w:t>
      </w:r>
    </w:p>
    <w:p w14:paraId="622918CC" w14:textId="77777777" w:rsidR="00C74D18" w:rsidRDefault="00C74D18" w:rsidP="00C74D18">
      <w:r>
        <w:rPr>
          <w:szCs w:val="24"/>
        </w:rPr>
        <w:t>La clasificación se realiza de forma estática, es decir, las empresas mantienen su adscripción a una cartera durante todo el período de análisis, bajo el supuesto de persistencia de su perfil de sostenibilidad. Este supuesto se apoya en la elevada estabilidad temporal que caracteriza a las puntuaciones ESG, si bien introduce un sesgo de anticipación (look-</w:t>
      </w:r>
      <w:proofErr w:type="spellStart"/>
      <w:r>
        <w:rPr>
          <w:szCs w:val="24"/>
        </w:rPr>
        <w:t>ahead</w:t>
      </w:r>
      <w:proofErr w:type="spellEnd"/>
      <w:r>
        <w:rPr>
          <w:szCs w:val="24"/>
        </w:rPr>
        <w:t xml:space="preserve"> </w:t>
      </w:r>
      <w:proofErr w:type="spellStart"/>
      <w:r>
        <w:rPr>
          <w:szCs w:val="24"/>
        </w:rPr>
        <w:t>bias</w:t>
      </w:r>
      <w:proofErr w:type="spellEnd"/>
      <w:r>
        <w:rPr>
          <w:szCs w:val="24"/>
        </w:rPr>
        <w:t>) que se reconoce explícitamente como limitación, dado que las puntuaciones se extrajeron en una fecha posterior al período de estudio.</w:t>
      </w:r>
    </w:p>
    <w:p w14:paraId="5DA92B11" w14:textId="77777777" w:rsidR="00C74D18" w:rsidRDefault="00C74D18" w:rsidP="00C74D18">
      <w:r>
        <w:rPr>
          <w:szCs w:val="24"/>
        </w:rPr>
        <w:t>El factor ESG se define, para cada mes t, como la diferencia entre la rentabilidad media equiponderada de la cartera Green y la de la cartera Brown:</w:t>
      </w:r>
    </w:p>
    <w:p w14:paraId="3DE606AA" w14:textId="77777777" w:rsidR="00C74D18" w:rsidRPr="00AC252F" w:rsidRDefault="00C74D18" w:rsidP="00C74D18">
      <w:pPr>
        <w:tabs>
          <w:tab w:val="right" w:pos="9020"/>
        </w:tabs>
        <w:spacing w:before="100" w:after="140"/>
        <w:jc w:val="center"/>
        <w:rPr>
          <w:lang w:val="en-US"/>
        </w:rPr>
      </w:pPr>
      <w:r w:rsidRPr="00AC252F">
        <w:rPr>
          <w:i/>
          <w:iCs/>
          <w:szCs w:val="24"/>
          <w:lang w:val="en-US"/>
        </w:rPr>
        <w:t xml:space="preserve">ESG(t) = </w:t>
      </w:r>
      <w:proofErr w:type="spellStart"/>
      <w:r w:rsidRPr="00AC252F">
        <w:rPr>
          <w:i/>
          <w:iCs/>
          <w:szCs w:val="24"/>
          <w:lang w:val="en-US"/>
        </w:rPr>
        <w:t>R</w:t>
      </w:r>
      <w:r w:rsidRPr="00AC252F">
        <w:rPr>
          <w:i/>
          <w:iCs/>
          <w:szCs w:val="24"/>
          <w:vertAlign w:val="subscript"/>
          <w:lang w:val="en-US"/>
        </w:rPr>
        <w:t>Green</w:t>
      </w:r>
      <w:proofErr w:type="spellEnd"/>
      <w:r w:rsidRPr="00AC252F">
        <w:rPr>
          <w:i/>
          <w:iCs/>
          <w:szCs w:val="24"/>
          <w:lang w:val="en-US"/>
        </w:rPr>
        <w:t xml:space="preserve">(t) − </w:t>
      </w:r>
      <w:proofErr w:type="spellStart"/>
      <w:r w:rsidRPr="00AC252F">
        <w:rPr>
          <w:i/>
          <w:iCs/>
          <w:szCs w:val="24"/>
          <w:lang w:val="en-US"/>
        </w:rPr>
        <w:t>R</w:t>
      </w:r>
      <w:r w:rsidRPr="00AC252F">
        <w:rPr>
          <w:i/>
          <w:iCs/>
          <w:szCs w:val="24"/>
          <w:vertAlign w:val="subscript"/>
          <w:lang w:val="en-US"/>
        </w:rPr>
        <w:t>Brown</w:t>
      </w:r>
      <w:proofErr w:type="spellEnd"/>
      <w:r w:rsidRPr="00AC252F">
        <w:rPr>
          <w:i/>
          <w:iCs/>
          <w:szCs w:val="24"/>
          <w:lang w:val="en-US"/>
        </w:rPr>
        <w:t>(t)</w:t>
      </w:r>
      <w:r w:rsidRPr="00AC252F">
        <w:rPr>
          <w:szCs w:val="24"/>
          <w:lang w:val="en-US"/>
        </w:rPr>
        <w:tab/>
        <w:t>[4]</w:t>
      </w:r>
    </w:p>
    <w:p w14:paraId="3C9A7948" w14:textId="77777777" w:rsidR="00C74D18" w:rsidRDefault="00C74D18" w:rsidP="00C74D18">
      <w:r>
        <w:rPr>
          <w:szCs w:val="24"/>
        </w:rPr>
        <w:lastRenderedPageBreak/>
        <w:t>Un valor positivo del factor en un mes determinado indica que las empresas más sostenibles han superado en rentabilidad a las menos sostenibles, y un valor negativo lo contrario. La media de esta serie a lo largo del período representa la prima ESG, cuyo signo y significatividad constituyen el objeto del primer contraste.</w:t>
      </w:r>
    </w:p>
    <w:p w14:paraId="1969F3E0" w14:textId="77777777" w:rsidR="00C74D18" w:rsidRDefault="00C74D18" w:rsidP="00C74D18">
      <w:pPr>
        <w:pStyle w:val="Ttulo2"/>
      </w:pPr>
      <w:bookmarkStart w:id="14" w:name="_Toc231769133"/>
      <w:r>
        <w:rPr>
          <w:rFonts w:ascii="Times New Roman" w:eastAsia="Times New Roman" w:hAnsi="Times New Roman" w:cs="Times New Roman"/>
          <w:b/>
          <w:bCs/>
          <w:sz w:val="26"/>
          <w:szCs w:val="26"/>
        </w:rPr>
        <w:t>3.5. El modelo de cuatro factores</w:t>
      </w:r>
      <w:bookmarkEnd w:id="14"/>
    </w:p>
    <w:p w14:paraId="00B777DD" w14:textId="77777777" w:rsidR="00C74D18" w:rsidRDefault="00C74D18" w:rsidP="00C74D18">
      <w:r>
        <w:rPr>
          <w:szCs w:val="24"/>
        </w:rPr>
        <w:t>El modelo econométrico central del trabajo amplía el modelo de tres factores de Fama y French incorporando el factor ESG construido, dando lugar al siguiente modelo de cuatro factores, que se estima de forma individual para cada empresa i:</w:t>
      </w:r>
    </w:p>
    <w:p w14:paraId="197E154E" w14:textId="77777777" w:rsidR="00C74D18" w:rsidRDefault="00C74D18" w:rsidP="00C74D18">
      <w:pPr>
        <w:tabs>
          <w:tab w:val="right" w:pos="9020"/>
        </w:tabs>
        <w:spacing w:before="100" w:after="140"/>
        <w:jc w:val="center"/>
      </w:pPr>
      <w:proofErr w:type="spellStart"/>
      <w:r>
        <w:rPr>
          <w:i/>
          <w:iCs/>
          <w:szCs w:val="24"/>
        </w:rPr>
        <w:t>R</w:t>
      </w:r>
      <w:r>
        <w:rPr>
          <w:i/>
          <w:iCs/>
          <w:szCs w:val="24"/>
          <w:vertAlign w:val="subscript"/>
        </w:rPr>
        <w:t>i</w:t>
      </w:r>
      <w:proofErr w:type="spellEnd"/>
      <w:r>
        <w:rPr>
          <w:i/>
          <w:iCs/>
          <w:szCs w:val="24"/>
        </w:rPr>
        <w:t>(t) − R</w:t>
      </w:r>
      <w:r>
        <w:rPr>
          <w:i/>
          <w:iCs/>
          <w:szCs w:val="24"/>
          <w:vertAlign w:val="subscript"/>
        </w:rPr>
        <w:t>f</w:t>
      </w:r>
      <w:r>
        <w:rPr>
          <w:i/>
          <w:iCs/>
          <w:szCs w:val="24"/>
        </w:rPr>
        <w:t xml:space="preserve">(t) = α + β·MKTRF + </w:t>
      </w:r>
      <w:proofErr w:type="spellStart"/>
      <w:r>
        <w:rPr>
          <w:i/>
          <w:iCs/>
          <w:szCs w:val="24"/>
        </w:rPr>
        <w:t>s·SMB</w:t>
      </w:r>
      <w:proofErr w:type="spellEnd"/>
      <w:r>
        <w:rPr>
          <w:i/>
          <w:iCs/>
          <w:szCs w:val="24"/>
        </w:rPr>
        <w:t xml:space="preserve"> + </w:t>
      </w:r>
      <w:proofErr w:type="spellStart"/>
      <w:r>
        <w:rPr>
          <w:i/>
          <w:iCs/>
          <w:szCs w:val="24"/>
        </w:rPr>
        <w:t>h·HML</w:t>
      </w:r>
      <w:proofErr w:type="spellEnd"/>
      <w:r>
        <w:rPr>
          <w:i/>
          <w:iCs/>
          <w:szCs w:val="24"/>
        </w:rPr>
        <w:t xml:space="preserve"> + </w:t>
      </w:r>
      <w:proofErr w:type="spellStart"/>
      <w:r>
        <w:rPr>
          <w:i/>
          <w:iCs/>
          <w:szCs w:val="24"/>
        </w:rPr>
        <w:t>e·ESG</w:t>
      </w:r>
      <w:proofErr w:type="spellEnd"/>
      <w:r>
        <w:rPr>
          <w:i/>
          <w:iCs/>
          <w:szCs w:val="24"/>
        </w:rPr>
        <w:t xml:space="preserve"> + </w:t>
      </w:r>
      <w:proofErr w:type="spellStart"/>
      <w:r>
        <w:rPr>
          <w:i/>
          <w:iCs/>
          <w:szCs w:val="24"/>
        </w:rPr>
        <w:t>ε</w:t>
      </w:r>
      <w:r>
        <w:rPr>
          <w:i/>
          <w:iCs/>
          <w:szCs w:val="24"/>
          <w:vertAlign w:val="subscript"/>
        </w:rPr>
        <w:t>i</w:t>
      </w:r>
      <w:proofErr w:type="spellEnd"/>
      <w:r>
        <w:rPr>
          <w:i/>
          <w:iCs/>
          <w:szCs w:val="24"/>
        </w:rPr>
        <w:t>(t)</w:t>
      </w:r>
      <w:r>
        <w:rPr>
          <w:szCs w:val="24"/>
        </w:rPr>
        <w:tab/>
        <w:t>[5]</w:t>
      </w:r>
    </w:p>
    <w:p w14:paraId="150417C6" w14:textId="77777777" w:rsidR="00C74D18" w:rsidRDefault="00C74D18" w:rsidP="00C74D18">
      <w:r>
        <w:rPr>
          <w:szCs w:val="24"/>
        </w:rPr>
        <w:t xml:space="preserve">donde el exceso de rentabilidad de la empresa sobre el tipo libre de riesgo se explica por su exposición a los cuatro factores. El coeficiente de mayor interés es </w:t>
      </w:r>
      <w:r>
        <w:rPr>
          <w:b/>
          <w:bCs/>
          <w:i/>
          <w:iCs/>
          <w:szCs w:val="24"/>
        </w:rPr>
        <w:t>e</w:t>
      </w:r>
      <w:r>
        <w:rPr>
          <w:szCs w:val="24"/>
        </w:rPr>
        <w:t>, que mide la sensibilidad de la empresa al factor ESG: un valor positivo indica que la empresa tiende a comportarse como las sostenibles (se beneficia cuando las Green superan a las Brown), mientras que un valor negativo indica lo contrario. El término independiente α representa la rentabilidad anormal no explicada por los cuatro factores.</w:t>
      </w:r>
    </w:p>
    <w:p w14:paraId="1A3FE31E" w14:textId="77777777" w:rsidR="00C74D18" w:rsidRDefault="00C74D18" w:rsidP="00C74D18">
      <w:pPr>
        <w:pStyle w:val="Ttulo2"/>
      </w:pPr>
      <w:bookmarkStart w:id="15" w:name="_Toc231769134"/>
      <w:r>
        <w:rPr>
          <w:rFonts w:ascii="Times New Roman" w:eastAsia="Times New Roman" w:hAnsi="Times New Roman" w:cs="Times New Roman"/>
          <w:b/>
          <w:bCs/>
          <w:sz w:val="26"/>
          <w:szCs w:val="26"/>
        </w:rPr>
        <w:t>3.6. Técnica de estimación</w:t>
      </w:r>
      <w:bookmarkEnd w:id="15"/>
    </w:p>
    <w:p w14:paraId="0A83B0C1" w14:textId="77777777" w:rsidR="00C74D18" w:rsidRDefault="00C74D18" w:rsidP="00C74D18">
      <w:r>
        <w:rPr>
          <w:szCs w:val="24"/>
        </w:rPr>
        <w:t>El modelo se estima mediante el método de mínimos cuadrados ordinarios (MCO) de forma independiente para cada una de las 431 empresas de la muestra. Dado que las series de rentabilidades financieras suelen presentar problemas de heterocedasticidad (varianza no constante de los residuos) y de autocorrelación (correlación de los residuos en el tiempo), que invalidarían la inferencia basada en los errores estándar convencionales, los errores estándar se calculan mediante el estimador robusto de Newey y West (1987), también conocido como estimador HAC (consistente ante heterocedasticidad y autocorrelación), con tres retardos. Esta elección es coherente con la práctica habitual en la literatura y con los materiales metodológicos de referencia de la asignatura.</w:t>
      </w:r>
    </w:p>
    <w:p w14:paraId="5C1008A8" w14:textId="6A00F7EA" w:rsidR="00730BD4" w:rsidRDefault="00C74D18" w:rsidP="00C74D18">
      <w:pPr>
        <w:rPr>
          <w:szCs w:val="24"/>
        </w:rPr>
      </w:pPr>
      <w:r>
        <w:rPr>
          <w:szCs w:val="24"/>
        </w:rPr>
        <w:lastRenderedPageBreak/>
        <w:t>La significatividad estadística de los coeficientes se evalúa mediante los correspondientes contrastes t. Para el contraste de la hipótesis H1, relativa a la existencia de prima ESG, se aplica un contraste t sobre la media de la serie del factor (con hipótesis nula de media igual a cero). Para el contraste de la hipótesis H2, relativa a la capacidad discriminante, se aplica un contraste t de diferencia de medias del coeficiente e entre las carteras Green y Brown. La hipótesis H3 se evalúa mediante el análisis de las correlaciones entre el factor ESG y los factores tradicionales, y la hipótesis H4 mediante la comparación de los alfas medios entre carteras.</w:t>
      </w:r>
    </w:p>
    <w:p w14:paraId="11C26748" w14:textId="6617083B" w:rsidR="00C74D18" w:rsidRPr="00730BD4" w:rsidRDefault="00730BD4" w:rsidP="00730BD4">
      <w:pPr>
        <w:keepLines w:val="0"/>
        <w:jc w:val="left"/>
        <w:rPr>
          <w:szCs w:val="24"/>
        </w:rPr>
      </w:pPr>
      <w:r>
        <w:rPr>
          <w:szCs w:val="24"/>
        </w:rPr>
        <w:br w:type="page"/>
      </w:r>
    </w:p>
    <w:p w14:paraId="1352C42B" w14:textId="195DEBA4" w:rsidR="009510C1" w:rsidRPr="00C74D18" w:rsidRDefault="005D738B" w:rsidP="00C74D18">
      <w:pPr>
        <w:pStyle w:val="Ttulo1"/>
        <w:rPr>
          <w:b/>
          <w:bCs/>
          <w:lang w:val="es-ES"/>
        </w:rPr>
      </w:pPr>
      <w:bookmarkStart w:id="16" w:name="_Toc231769135"/>
      <w:r w:rsidRPr="00F077B7">
        <w:rPr>
          <w:b/>
          <w:bCs/>
          <w:lang w:val="es-ES"/>
        </w:rPr>
        <w:lastRenderedPageBreak/>
        <w:t xml:space="preserve">4. </w:t>
      </w:r>
      <w:r w:rsidR="00C74D18">
        <w:rPr>
          <w:b/>
          <w:bCs/>
          <w:lang w:val="es-ES"/>
        </w:rPr>
        <w:t>RESULTADOS</w:t>
      </w:r>
      <w:bookmarkEnd w:id="16"/>
    </w:p>
    <w:p w14:paraId="3D9DBE09" w14:textId="17732C82" w:rsidR="009510C1" w:rsidRPr="00F14D34" w:rsidRDefault="009510C1" w:rsidP="00F14D34">
      <w:pPr>
        <w:pStyle w:val="Ttulo3"/>
        <w:rPr>
          <w:b/>
          <w:bCs/>
          <w:lang w:val="es-ES"/>
        </w:rPr>
      </w:pPr>
      <w:bookmarkStart w:id="17" w:name="_Toc231769136"/>
      <w:r w:rsidRPr="00F14D34">
        <w:rPr>
          <w:b/>
          <w:bCs/>
          <w:lang w:val="es-ES"/>
        </w:rPr>
        <w:t xml:space="preserve">4.1 </w:t>
      </w:r>
      <w:r w:rsidR="00C74D18">
        <w:rPr>
          <w:rFonts w:eastAsia="Times New Roman" w:cs="Times New Roman"/>
          <w:b/>
          <w:bCs/>
          <w:sz w:val="26"/>
          <w:szCs w:val="26"/>
        </w:rPr>
        <w:t>Comportamiento del factor ESG</w:t>
      </w:r>
      <w:bookmarkEnd w:id="17"/>
    </w:p>
    <w:p w14:paraId="195CFBD4" w14:textId="77777777" w:rsidR="0093523A" w:rsidRDefault="0093523A" w:rsidP="0093523A">
      <w:r>
        <w:rPr>
          <w:szCs w:val="24"/>
        </w:rPr>
        <w:t>La Tabla 2 recoge los principales estadísticos descriptivos del factor ESG construido. El factor presenta una rentabilidad media mensual de −0,1485 %, equivalente a una rentabilidad anualizada de −1,77 %, lo que indica que, durante el período analizado, las empresas Brown superaron en rentabilidad a las Green. No obstante, el contraste t sobre la media arroja un estadístico de −0,78 con un p-valor de 0,436, por lo que no se rechaza la hipótesis nula de que la prima ESG sea igual a cero. Este resultado constituye la primera evidencia a favor de la hipótesis H1.</w:t>
      </w:r>
    </w:p>
    <w:p w14:paraId="1F35C29E" w14:textId="77777777" w:rsidR="0093523A" w:rsidRDefault="0093523A" w:rsidP="000601C9">
      <w:pPr>
        <w:spacing w:before="120" w:after="60"/>
        <w:jc w:val="center"/>
      </w:pPr>
      <w:r>
        <w:rPr>
          <w:b/>
          <w:bCs/>
          <w:sz w:val="22"/>
        </w:rPr>
        <w:t>Tabla 2. Estadísticos descriptivos del factor ESG (2021-2025)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93523A" w14:paraId="7BD75A89"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6C77EFA0" w14:textId="77777777" w:rsidR="0093523A" w:rsidRDefault="0093523A" w:rsidP="000601C9">
            <w:pPr>
              <w:spacing w:after="0"/>
              <w:jc w:val="center"/>
            </w:pPr>
            <w:r>
              <w:rPr>
                <w:b/>
                <w:bCs/>
                <w:color w:val="FFFFFF"/>
                <w:sz w:val="20"/>
                <w:szCs w:val="20"/>
              </w:rPr>
              <w:t>Estadístico</w:t>
            </w:r>
          </w:p>
        </w:tc>
        <w:tc>
          <w:tcPr>
            <w:tcW w:w="390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5030D139" w14:textId="77777777" w:rsidR="0093523A" w:rsidRDefault="0093523A" w:rsidP="000601C9">
            <w:pPr>
              <w:spacing w:after="0"/>
              <w:jc w:val="center"/>
            </w:pPr>
            <w:r>
              <w:rPr>
                <w:b/>
                <w:bCs/>
                <w:color w:val="FFFFFF"/>
                <w:sz w:val="20"/>
                <w:szCs w:val="20"/>
              </w:rPr>
              <w:t>Valor</w:t>
            </w:r>
          </w:p>
        </w:tc>
      </w:tr>
      <w:tr w:rsidR="0093523A" w14:paraId="4B468B68"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FB92A04" w14:textId="77777777" w:rsidR="0093523A" w:rsidRDefault="0093523A" w:rsidP="000601C9">
            <w:pPr>
              <w:spacing w:after="0"/>
            </w:pPr>
            <w:r>
              <w:rPr>
                <w:sz w:val="20"/>
                <w:szCs w:val="20"/>
              </w:rPr>
              <w:t>Observaciones (meses)</w:t>
            </w:r>
          </w:p>
        </w:tc>
        <w:tc>
          <w:tcPr>
            <w:tcW w:w="39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D8D92D3" w14:textId="77777777" w:rsidR="0093523A" w:rsidRDefault="0093523A" w:rsidP="000601C9">
            <w:pPr>
              <w:spacing w:after="0"/>
              <w:jc w:val="center"/>
            </w:pPr>
            <w:r>
              <w:rPr>
                <w:sz w:val="20"/>
                <w:szCs w:val="20"/>
              </w:rPr>
              <w:t>59</w:t>
            </w:r>
          </w:p>
        </w:tc>
      </w:tr>
      <w:tr w:rsidR="0093523A" w14:paraId="62D38030"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C5EFE0E" w14:textId="77777777" w:rsidR="0093523A" w:rsidRDefault="0093523A" w:rsidP="000601C9">
            <w:pPr>
              <w:spacing w:after="0"/>
            </w:pPr>
            <w:r>
              <w:rPr>
                <w:sz w:val="20"/>
                <w:szCs w:val="20"/>
              </w:rPr>
              <w:t>Media mensual</w:t>
            </w:r>
          </w:p>
        </w:tc>
        <w:tc>
          <w:tcPr>
            <w:tcW w:w="39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34540CC" w14:textId="77777777" w:rsidR="0093523A" w:rsidRDefault="0093523A" w:rsidP="000601C9">
            <w:pPr>
              <w:spacing w:after="0"/>
              <w:jc w:val="center"/>
            </w:pPr>
            <w:r>
              <w:rPr>
                <w:sz w:val="20"/>
                <w:szCs w:val="20"/>
              </w:rPr>
              <w:t>−0,1485 %</w:t>
            </w:r>
          </w:p>
        </w:tc>
      </w:tr>
      <w:tr w:rsidR="0093523A" w14:paraId="39D778EE"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6E9A679" w14:textId="77777777" w:rsidR="0093523A" w:rsidRDefault="0093523A" w:rsidP="000601C9">
            <w:pPr>
              <w:spacing w:after="0"/>
            </w:pPr>
            <w:r>
              <w:rPr>
                <w:sz w:val="20"/>
                <w:szCs w:val="20"/>
              </w:rPr>
              <w:t>Media anualizada</w:t>
            </w:r>
          </w:p>
        </w:tc>
        <w:tc>
          <w:tcPr>
            <w:tcW w:w="39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CA46585" w14:textId="77777777" w:rsidR="0093523A" w:rsidRDefault="0093523A" w:rsidP="000601C9">
            <w:pPr>
              <w:spacing w:after="0"/>
              <w:jc w:val="center"/>
            </w:pPr>
            <w:r>
              <w:rPr>
                <w:sz w:val="20"/>
                <w:szCs w:val="20"/>
              </w:rPr>
              <w:t>−1,77 %</w:t>
            </w:r>
          </w:p>
        </w:tc>
      </w:tr>
      <w:tr w:rsidR="0093523A" w14:paraId="001CE8C7"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A472598" w14:textId="77777777" w:rsidR="0093523A" w:rsidRDefault="0093523A" w:rsidP="000601C9">
            <w:pPr>
              <w:spacing w:after="0"/>
            </w:pPr>
            <w:r>
              <w:rPr>
                <w:sz w:val="20"/>
                <w:szCs w:val="20"/>
              </w:rPr>
              <w:t>Desviación típica mensual</w:t>
            </w:r>
          </w:p>
        </w:tc>
        <w:tc>
          <w:tcPr>
            <w:tcW w:w="39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679F79C" w14:textId="77777777" w:rsidR="0093523A" w:rsidRDefault="0093523A" w:rsidP="000601C9">
            <w:pPr>
              <w:spacing w:after="0"/>
              <w:jc w:val="center"/>
            </w:pPr>
            <w:r>
              <w:rPr>
                <w:sz w:val="20"/>
                <w:szCs w:val="20"/>
              </w:rPr>
              <w:t>1,4548 %</w:t>
            </w:r>
          </w:p>
        </w:tc>
      </w:tr>
      <w:tr w:rsidR="0093523A" w14:paraId="44D82B26"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01ACA3F" w14:textId="77777777" w:rsidR="0093523A" w:rsidRDefault="0093523A" w:rsidP="000601C9">
            <w:pPr>
              <w:spacing w:after="0"/>
            </w:pPr>
            <w:r>
              <w:rPr>
                <w:sz w:val="20"/>
                <w:szCs w:val="20"/>
              </w:rPr>
              <w:t>Ratio de Sharpe (anualizado)</w:t>
            </w:r>
          </w:p>
        </w:tc>
        <w:tc>
          <w:tcPr>
            <w:tcW w:w="39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ECDB651" w14:textId="77777777" w:rsidR="0093523A" w:rsidRDefault="0093523A" w:rsidP="000601C9">
            <w:pPr>
              <w:spacing w:after="0"/>
              <w:jc w:val="center"/>
            </w:pPr>
            <w:r>
              <w:rPr>
                <w:sz w:val="20"/>
                <w:szCs w:val="20"/>
              </w:rPr>
              <w:t>−0,3535</w:t>
            </w:r>
          </w:p>
        </w:tc>
      </w:tr>
      <w:tr w:rsidR="0093523A" w14:paraId="67F14EEA"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3FC35F5" w14:textId="77777777" w:rsidR="0093523A" w:rsidRDefault="0093523A" w:rsidP="000601C9">
            <w:pPr>
              <w:spacing w:after="0"/>
            </w:pPr>
            <w:r>
              <w:rPr>
                <w:sz w:val="20"/>
                <w:szCs w:val="20"/>
              </w:rPr>
              <w:t>Estadístico t (H0: media = 0)</w:t>
            </w:r>
          </w:p>
        </w:tc>
        <w:tc>
          <w:tcPr>
            <w:tcW w:w="39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DAEDA15" w14:textId="77777777" w:rsidR="0093523A" w:rsidRDefault="0093523A" w:rsidP="000601C9">
            <w:pPr>
              <w:spacing w:after="0"/>
              <w:jc w:val="center"/>
            </w:pPr>
            <w:r>
              <w:rPr>
                <w:sz w:val="20"/>
                <w:szCs w:val="20"/>
              </w:rPr>
              <w:t>−0,78</w:t>
            </w:r>
          </w:p>
        </w:tc>
      </w:tr>
      <w:tr w:rsidR="0093523A" w14:paraId="429812A2"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F6D4771" w14:textId="77777777" w:rsidR="0093523A" w:rsidRDefault="0093523A" w:rsidP="000601C9">
            <w:pPr>
              <w:spacing w:after="0"/>
            </w:pPr>
            <w:r>
              <w:rPr>
                <w:sz w:val="20"/>
                <w:szCs w:val="20"/>
              </w:rPr>
              <w:t>p-valor</w:t>
            </w:r>
          </w:p>
        </w:tc>
        <w:tc>
          <w:tcPr>
            <w:tcW w:w="39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E5A8B20" w14:textId="77777777" w:rsidR="0093523A" w:rsidRDefault="0093523A" w:rsidP="000601C9">
            <w:pPr>
              <w:spacing w:after="0"/>
              <w:jc w:val="center"/>
            </w:pPr>
            <w:r>
              <w:rPr>
                <w:sz w:val="20"/>
                <w:szCs w:val="20"/>
              </w:rPr>
              <w:t>0,436</w:t>
            </w:r>
          </w:p>
        </w:tc>
      </w:tr>
    </w:tbl>
    <w:p w14:paraId="5F0F99AE" w14:textId="77777777" w:rsidR="0093523A" w:rsidRDefault="0093523A" w:rsidP="000601C9">
      <w:pPr>
        <w:spacing w:before="40" w:after="160"/>
        <w:jc w:val="center"/>
      </w:pPr>
      <w:r>
        <w:rPr>
          <w:i/>
          <w:iCs/>
          <w:sz w:val="20"/>
          <w:szCs w:val="20"/>
        </w:rPr>
        <w:t xml:space="preserve">Fuente: </w:t>
      </w:r>
      <w:r>
        <w:rPr>
          <w:sz w:val="20"/>
          <w:szCs w:val="20"/>
        </w:rPr>
        <w:t>elaboración propia.</w:t>
      </w:r>
    </w:p>
    <w:p>
      <w:pPr>
        <w:jc w:val="center"/>
      </w:pPr>
      <w:r>
        <w:drawing>
          <wp:inline xmlns:a="http://schemas.openxmlformats.org/drawingml/2006/main" xmlns:pic="http://schemas.openxmlformats.org/drawingml/2006/picture">
            <wp:extent cx="5029200" cy="3233057"/>
            <wp:docPr id="2119753279" name="Picture 2119753279"/>
            <wp:cNvGraphicFramePr>
              <a:graphicFrameLocks noChangeAspect="1"/>
            </wp:cNvGraphicFramePr>
            <a:graphic>
              <a:graphicData uri="http://schemas.openxmlformats.org/drawingml/2006/picture">
                <pic:pic>
                  <pic:nvPicPr>
                    <pic:cNvPr id="0" name="01_factor_ESG_evolucion.png"/>
                    <pic:cNvPicPr/>
                  </pic:nvPicPr>
                  <pic:blipFill>
                    <a:blip r:embed="rId23"/>
                    <a:stretch>
                      <a:fillRect/>
                    </a:stretch>
                  </pic:blipFill>
                  <pic:spPr>
                    <a:xfrm>
                      <a:off x="0" y="0"/>
                      <a:ext cx="5029200" cy="3233057"/>
                    </a:xfrm>
                    <a:prstGeom prst="rect"/>
                  </pic:spPr>
                </pic:pic>
              </a:graphicData>
            </a:graphic>
          </wp:inline>
        </w:drawing>
      </w:r>
    </w:p>
    <w:p>
      <w:pPr>
        <w:jc w:val="center"/>
      </w:pPr>
      <w:r>
        <w:rPr>
          <w:i/>
          <w:sz w:val="16"/>
        </w:rPr>
        <w:t>Gráfico 1. Rentabilidad acumulada del factor ESG (Green Minus Brown) y de las carteras por tercil ESG (base 100 = enero 2021). Período: enero 2021–diciembre 2025. Fuente: elaboración propia.</w:t>
      </w:r>
    </w:p>
    <w:p w14:paraId="4BA07F93" w14:textId="5975D95D" w:rsidR="00730BD4" w:rsidRPr="00C74D18" w:rsidRDefault="0093523A" w:rsidP="000601C9">
      <w:r>
        <w:rPr>
          <w:szCs w:val="24"/>
        </w:rPr>
        <w:t>El análisis de la evolución temporal del factor, recogido en el Gráfico 1, resulta especialmente ilustrativo. Durante 2021, el factor se mantuvo próximo a cero, en un contexto de fuerte impulso de la inversión sostenible. Sin embargo, a partir de 2022 muestra una tendencia descendente sostenida, coincidiendo con la crisis energética derivada del conflicto en Ucrania y con el endurecimiento de la política monetaria del Banco Central Europeo, circunstancias que favorecieron de forma notable a los sectores tradicionalmente clasificados como Brown, en particular la energía fósil y la industria de defensa.</w:t>
      </w:r>
    </w:p>
    <w:p w14:paraId="33CA4FA3" w14:textId="2D64B214" w:rsidR="00C314F8" w:rsidRPr="00F14D34" w:rsidRDefault="00C314F8" w:rsidP="00F14D34">
      <w:pPr>
        <w:pStyle w:val="Ttulo3"/>
        <w:rPr>
          <w:b/>
          <w:bCs/>
        </w:rPr>
      </w:pPr>
      <w:bookmarkStart w:id="18" w:name="_Toc231769137"/>
      <w:r w:rsidRPr="00F14D34">
        <w:rPr>
          <w:b/>
          <w:bCs/>
          <w:lang w:val="es-ES"/>
        </w:rPr>
        <w:t xml:space="preserve">4.2 </w:t>
      </w:r>
      <w:r w:rsidR="00C74D18">
        <w:rPr>
          <w:rFonts w:eastAsia="Times New Roman" w:cs="Times New Roman"/>
          <w:b/>
          <w:bCs/>
          <w:sz w:val="26"/>
          <w:szCs w:val="26"/>
        </w:rPr>
        <w:t>Relación con los factores de Fama y French</w:t>
      </w:r>
      <w:bookmarkEnd w:id="18"/>
    </w:p>
    <w:p w14:paraId="74E00006" w14:textId="77777777" w:rsidR="00C74D18" w:rsidRDefault="00C74D18" w:rsidP="00C74D18">
      <w:r>
        <w:rPr>
          <w:szCs w:val="24"/>
        </w:rPr>
        <w:t>La Tabla 3 presenta las correlaciones del factor ESG con los tres factores tradicionales, relevantes para el contraste de la hipótesis H3. La correlación con el factor de mercado es prácticamente nula (−0,071), lo que confirma que el factor ESG aporta información independiente del riesgo de mercado. La correlación con el factor tamaño (SMB) es moderada y negativa (−0,450), lo que sugiere que las empresas Green tienden a ser de mayor capitalización, en coherencia con el hecho de que las grandes compañías disponen de más recursos para invertir en sostenibilidad. Finalmente, la correlación con el factor valor (HML) es moderada-alta y positiva (+0,689); aunque no alcanza el umbral que indicaría redundancia, este valor revela una proximidad apreciable con el factor valor que debe tenerse en cuenta en la interpretación.</w:t>
      </w:r>
    </w:p>
    <w:p w14:paraId="506DEEBC" w14:textId="77777777" w:rsidR="00C74D18" w:rsidRPr="00AC252F" w:rsidRDefault="00C74D18" w:rsidP="000601C9">
      <w:pPr>
        <w:spacing w:before="120" w:after="60"/>
        <w:jc w:val="center"/>
        <w:rPr>
          <w:b/>
          <w:bCs/>
        </w:rPr>
      </w:pPr>
      <w:r w:rsidRPr="00AC252F">
        <w:rPr>
          <w:b/>
          <w:bCs/>
          <w:sz w:val="22"/>
        </w:rPr>
        <w:lastRenderedPageBreak/>
        <w:t>Tabla 3. Correlación del factor ESG con los factores de Fama y French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74D18" w14:paraId="56FF18BA"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246C90F8" w14:textId="77777777" w:rsidR="00C74D18" w:rsidRDefault="00C74D18" w:rsidP="00D012BC">
            <w:pPr>
              <w:jc w:val="center"/>
            </w:pPr>
            <w:r>
              <w:rPr>
                <w:b/>
                <w:bCs/>
                <w:color w:val="FFFFFF"/>
                <w:sz w:val="20"/>
                <w:szCs w:val="20"/>
              </w:rPr>
              <w:t>Par de factores</w:t>
            </w:r>
          </w:p>
        </w:tc>
        <w:tc>
          <w:tcPr>
            <w:tcW w:w="312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7402386E" w14:textId="77777777" w:rsidR="00C74D18" w:rsidRDefault="00C74D18" w:rsidP="00D012BC">
            <w:pPr>
              <w:jc w:val="center"/>
            </w:pPr>
            <w:r>
              <w:rPr>
                <w:b/>
                <w:bCs/>
                <w:color w:val="FFFFFF"/>
                <w:sz w:val="20"/>
                <w:szCs w:val="20"/>
              </w:rPr>
              <w:t>Correlación</w:t>
            </w:r>
          </w:p>
        </w:tc>
        <w:tc>
          <w:tcPr>
            <w:tcW w:w="312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43BD8F6" w14:textId="77777777" w:rsidR="00C74D18" w:rsidRDefault="00C74D18" w:rsidP="00D012BC">
            <w:pPr>
              <w:jc w:val="center"/>
            </w:pPr>
            <w:r>
              <w:rPr>
                <w:b/>
                <w:bCs/>
                <w:color w:val="FFFFFF"/>
                <w:sz w:val="20"/>
                <w:szCs w:val="20"/>
              </w:rPr>
              <w:t>Interpretación</w:t>
            </w:r>
          </w:p>
        </w:tc>
      </w:tr>
      <w:tr w:rsidR="00C74D18" w14:paraId="074BC946"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3647CBA" w14:textId="77777777" w:rsidR="00C74D18" w:rsidRDefault="00C74D18" w:rsidP="00D012BC">
            <w:pPr>
              <w:jc w:val="center"/>
            </w:pPr>
            <w:r>
              <w:rPr>
                <w:sz w:val="20"/>
                <w:szCs w:val="20"/>
              </w:rPr>
              <w:t>ESG – MKTRF</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111A74B" w14:textId="77777777" w:rsidR="00C74D18" w:rsidRDefault="00C74D18" w:rsidP="00D012BC">
            <w:pPr>
              <w:jc w:val="center"/>
            </w:pPr>
            <w:r>
              <w:rPr>
                <w:sz w:val="20"/>
                <w:szCs w:val="20"/>
              </w:rPr>
              <w:t>−0,071</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D4B92CE" w14:textId="77777777" w:rsidR="00C74D18" w:rsidRDefault="00C74D18" w:rsidP="00D012BC">
            <w:pPr>
              <w:jc w:val="center"/>
            </w:pPr>
            <w:r>
              <w:rPr>
                <w:sz w:val="20"/>
                <w:szCs w:val="20"/>
              </w:rPr>
              <w:t>Baja (independiente)</w:t>
            </w:r>
          </w:p>
        </w:tc>
      </w:tr>
      <w:tr w:rsidR="00C74D18" w14:paraId="3F383D1D"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1752D38" w14:textId="77777777" w:rsidR="00C74D18" w:rsidRDefault="00C74D18" w:rsidP="00D012BC">
            <w:pPr>
              <w:jc w:val="center"/>
            </w:pPr>
            <w:r>
              <w:rPr>
                <w:sz w:val="20"/>
                <w:szCs w:val="20"/>
              </w:rPr>
              <w:t>ESG – SMB</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75465F5" w14:textId="77777777" w:rsidR="00C74D18" w:rsidRDefault="00C74D18" w:rsidP="00D012BC">
            <w:pPr>
              <w:jc w:val="center"/>
            </w:pPr>
            <w:r>
              <w:rPr>
                <w:sz w:val="20"/>
                <w:szCs w:val="20"/>
              </w:rPr>
              <w:t>−0,450</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BD82CB7" w14:textId="77777777" w:rsidR="00C74D18" w:rsidRDefault="00C74D18" w:rsidP="00D012BC">
            <w:pPr>
              <w:jc w:val="center"/>
            </w:pPr>
            <w:r>
              <w:rPr>
                <w:sz w:val="20"/>
                <w:szCs w:val="20"/>
              </w:rPr>
              <w:t>Moderada</w:t>
            </w:r>
          </w:p>
        </w:tc>
      </w:tr>
      <w:tr w:rsidR="00C74D18" w14:paraId="74E3B144" w14:textId="77777777" w:rsidTr="00D012BC">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B8D4E69" w14:textId="77777777" w:rsidR="00C74D18" w:rsidRDefault="00C74D18" w:rsidP="00D012BC">
            <w:pPr>
              <w:jc w:val="center"/>
            </w:pPr>
            <w:r>
              <w:rPr>
                <w:sz w:val="20"/>
                <w:szCs w:val="20"/>
              </w:rPr>
              <w:t>ESG – HML</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705F9EC" w14:textId="77777777" w:rsidR="00C74D18" w:rsidRDefault="00C74D18" w:rsidP="00D012BC">
            <w:pPr>
              <w:jc w:val="center"/>
            </w:pPr>
            <w:r>
              <w:rPr>
                <w:sz w:val="20"/>
                <w:szCs w:val="20"/>
              </w:rPr>
              <w:t>+0,689</w:t>
            </w:r>
          </w:p>
        </w:tc>
        <w:tc>
          <w:tcPr>
            <w:tcW w:w="312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B519C3E" w14:textId="77777777" w:rsidR="00C74D18" w:rsidRDefault="00C74D18" w:rsidP="00D012BC">
            <w:pPr>
              <w:jc w:val="center"/>
            </w:pPr>
            <w:r>
              <w:rPr>
                <w:sz w:val="20"/>
                <w:szCs w:val="20"/>
              </w:rPr>
              <w:t>Moderada-alta</w:t>
            </w:r>
          </w:p>
        </w:tc>
      </w:tr>
    </w:tbl>
    <w:p w14:paraId="1E8FC846" w14:textId="02BCF789" w:rsidR="0093523A" w:rsidRPr="000601C9" w:rsidRDefault="00C74D18" w:rsidP="000601C9">
      <w:pPr>
        <w:spacing w:before="40" w:after="160"/>
        <w:jc w:val="center"/>
        <w:rPr>
          <w:sz w:val="20"/>
          <w:szCs w:val="20"/>
        </w:rPr>
      </w:pPr>
      <w:r>
        <w:rPr>
          <w:i/>
          <w:iCs/>
          <w:sz w:val="20"/>
          <w:szCs w:val="20"/>
        </w:rPr>
        <w:t xml:space="preserve">Fuente: </w:t>
      </w:r>
      <w:r>
        <w:rPr>
          <w:sz w:val="20"/>
          <w:szCs w:val="20"/>
        </w:rPr>
        <w:t>elaboración propia.</w:t>
      </w:r>
    </w:p>
    <w:p w14:paraId="3D1660E3" w14:textId="4B1EB129" w:rsidR="0093523A" w:rsidRDefault="000601C9" w:rsidP="00C74D18">
      <w:pPr>
        <w:spacing w:before="40" w:after="160"/>
      </w:pPr>
      <w:r>
        <w:rPr>
          <w:noProof/>
        </w:rPr>
        <w:drawing>
          <wp:inline distT="0" distB="0" distL="0" distR="0" wp14:anchorId="07B62687" wp14:editId="50303E5D">
            <wp:extent cx="5394325" cy="4625975"/>
            <wp:effectExtent l="0" t="0" r="0" b="3175"/>
            <wp:docPr id="76175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325" cy="4625975"/>
                    </a:xfrm>
                    <a:prstGeom prst="rect">
                      <a:avLst/>
                    </a:prstGeom>
                    <a:noFill/>
                    <a:ln>
                      <a:noFill/>
                    </a:ln>
                  </pic:spPr>
                </pic:pic>
              </a:graphicData>
            </a:graphic>
          </wp:inline>
        </w:drawing>
      </w:r>
    </w:p>
    <w:p w14:paraId="44BBADFD" w14:textId="77777777" w:rsidR="003F1294" w:rsidRDefault="003F1294" w:rsidP="003F1294">
      <w:pPr>
        <w:pStyle w:val="Ttulo2"/>
      </w:pPr>
      <w:bookmarkStart w:id="19" w:name="_Toc231769138"/>
      <w:r>
        <w:rPr>
          <w:rFonts w:ascii="Times New Roman" w:eastAsia="Times New Roman" w:hAnsi="Times New Roman" w:cs="Times New Roman"/>
          <w:b/>
          <w:bCs/>
          <w:sz w:val="26"/>
          <w:szCs w:val="26"/>
        </w:rPr>
        <w:lastRenderedPageBreak/>
        <w:t>4.3. Estimación del modelo de cuatro factores</w:t>
      </w:r>
      <w:bookmarkEnd w:id="19"/>
    </w:p>
    <w:p w14:paraId="086EDBDF" w14:textId="77777777" w:rsidR="003F1294" w:rsidRDefault="003F1294" w:rsidP="003F1294">
      <w:r>
        <w:rPr>
          <w:szCs w:val="24"/>
        </w:rPr>
        <w:t xml:space="preserve">La Tabla 4 presenta los coeficientes medios de sensibilidad al factor ESG (e) y los alfas medios, agrupados por </w:t>
      </w:r>
      <w:proofErr w:type="spellStart"/>
      <w:r>
        <w:rPr>
          <w:szCs w:val="24"/>
        </w:rPr>
        <w:t>tercil</w:t>
      </w:r>
      <w:proofErr w:type="spellEnd"/>
      <w:r>
        <w:rPr>
          <w:szCs w:val="24"/>
        </w:rPr>
        <w:t xml:space="preserve">. El resultado más destacado es la existencia de un gradiente monótono y creciente del coeficiente e: las empresas Brown presentan una sensibilidad media prácticamente nula (−0,037), las Medium una sensibilidad positiva moderada (+0,563) y las Green una sensibilidad claramente positiva (+0,946). El contraste t de diferencia de medias entre los </w:t>
      </w:r>
      <w:proofErr w:type="spellStart"/>
      <w:r>
        <w:rPr>
          <w:szCs w:val="24"/>
        </w:rPr>
        <w:t>terciles</w:t>
      </w:r>
      <w:proofErr w:type="spellEnd"/>
      <w:r>
        <w:rPr>
          <w:szCs w:val="24"/>
        </w:rPr>
        <w:t xml:space="preserve"> extremos confirma que esta diferencia es altamente significativa (t = 6,03; p &lt; 0,0001), lo que constituye una sólida evidencia a favor de la hipótesis H2.</w:t>
      </w:r>
    </w:p>
    <w:p w14:paraId="1FF5C0E5" w14:textId="77777777" w:rsidR="003F1294" w:rsidRDefault="003F1294" w:rsidP="003F1294">
      <w:pPr>
        <w:spacing w:before="120" w:after="60"/>
      </w:pPr>
      <w:r>
        <w:rPr>
          <w:b/>
          <w:bCs/>
          <w:sz w:val="22"/>
        </w:rPr>
        <w:t xml:space="preserve">Tabla 4. Coeficiente de sensibilidad al factor ESG (e) y alfa medios por </w:t>
      </w:r>
      <w:proofErr w:type="spellStart"/>
      <w:r>
        <w:rPr>
          <w:b/>
          <w:bCs/>
          <w:sz w:val="22"/>
        </w:rPr>
        <w:t>tercil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300"/>
        <w:gridCol w:w="2665"/>
        <w:gridCol w:w="2665"/>
      </w:tblGrid>
      <w:tr w:rsidR="003F1294" w14:paraId="46A10E7F" w14:textId="77777777" w:rsidTr="00D012BC">
        <w:tblPrEx>
          <w:tblCellMar>
            <w:top w:w="0" w:type="dxa"/>
            <w:bottom w:w="0" w:type="dxa"/>
          </w:tblCellMar>
        </w:tblPrEx>
        <w:tc>
          <w:tcPr>
            <w:tcW w:w="273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31F5E496" w14:textId="77777777" w:rsidR="003F1294" w:rsidRDefault="003F1294" w:rsidP="00D012BC">
            <w:pPr>
              <w:jc w:val="center"/>
            </w:pPr>
            <w:proofErr w:type="spellStart"/>
            <w:r>
              <w:rPr>
                <w:b/>
                <w:bCs/>
                <w:color w:val="FFFFFF"/>
                <w:sz w:val="20"/>
                <w:szCs w:val="20"/>
              </w:rPr>
              <w:t>Tercil</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414F2EB3" w14:textId="77777777" w:rsidR="003F1294" w:rsidRDefault="003F1294" w:rsidP="00D012BC">
            <w:pPr>
              <w:jc w:val="center"/>
            </w:pPr>
            <w:r>
              <w:rPr>
                <w:b/>
                <w:bCs/>
                <w:color w:val="FFFFFF"/>
                <w:sz w:val="20"/>
                <w:szCs w:val="20"/>
              </w:rPr>
              <w:t>N</w:t>
            </w:r>
          </w:p>
        </w:tc>
        <w:tc>
          <w:tcPr>
            <w:tcW w:w="266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5BF6B90" w14:textId="77777777" w:rsidR="003F1294" w:rsidRDefault="003F1294" w:rsidP="00D012BC">
            <w:pPr>
              <w:jc w:val="center"/>
            </w:pPr>
            <w:proofErr w:type="spellStart"/>
            <w:r>
              <w:rPr>
                <w:b/>
                <w:bCs/>
                <w:color w:val="FFFFFF"/>
                <w:sz w:val="20"/>
                <w:szCs w:val="20"/>
              </w:rPr>
              <w:t>e</w:t>
            </w:r>
            <w:proofErr w:type="spellEnd"/>
            <w:r>
              <w:rPr>
                <w:b/>
                <w:bCs/>
                <w:color w:val="FFFFFF"/>
                <w:sz w:val="20"/>
                <w:szCs w:val="20"/>
              </w:rPr>
              <w:t xml:space="preserve"> medio</w:t>
            </w:r>
          </w:p>
        </w:tc>
        <w:tc>
          <w:tcPr>
            <w:tcW w:w="266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6B8E2151" w14:textId="77777777" w:rsidR="003F1294" w:rsidRDefault="003F1294" w:rsidP="00D012BC">
            <w:pPr>
              <w:jc w:val="center"/>
            </w:pPr>
            <w:r>
              <w:rPr>
                <w:b/>
                <w:bCs/>
                <w:color w:val="FFFFFF"/>
                <w:sz w:val="20"/>
                <w:szCs w:val="20"/>
              </w:rPr>
              <w:t>α medio</w:t>
            </w:r>
          </w:p>
        </w:tc>
      </w:tr>
      <w:tr w:rsidR="003F1294" w14:paraId="38E3DDF0" w14:textId="77777777" w:rsidTr="00D012BC">
        <w:tblPrEx>
          <w:tblCellMar>
            <w:top w:w="0" w:type="dxa"/>
            <w:bottom w:w="0" w:type="dxa"/>
          </w:tblCellMar>
        </w:tblPrEx>
        <w:tc>
          <w:tcPr>
            <w:tcW w:w="273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BB5F189" w14:textId="77777777" w:rsidR="003F1294" w:rsidRDefault="003F1294" w:rsidP="00D012BC">
            <w:r>
              <w:rPr>
                <w:sz w:val="20"/>
                <w:szCs w:val="20"/>
              </w:rPr>
              <w:t>Brown (ESG bajo)</w:t>
            </w:r>
          </w:p>
        </w:tc>
        <w:tc>
          <w:tcPr>
            <w:tcW w:w="13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DFFCE9C" w14:textId="77777777" w:rsidR="003F1294" w:rsidRDefault="003F1294" w:rsidP="00D012BC">
            <w:pPr>
              <w:jc w:val="center"/>
            </w:pPr>
            <w:r>
              <w:rPr>
                <w:sz w:val="20"/>
                <w:szCs w:val="20"/>
              </w:rPr>
              <w:t>144</w:t>
            </w:r>
          </w:p>
        </w:tc>
        <w:tc>
          <w:tcPr>
            <w:tcW w:w="266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9A63F91" w14:textId="77777777" w:rsidR="003F1294" w:rsidRDefault="003F1294" w:rsidP="00D012BC">
            <w:pPr>
              <w:jc w:val="center"/>
            </w:pPr>
            <w:r>
              <w:rPr>
                <w:sz w:val="20"/>
                <w:szCs w:val="20"/>
              </w:rPr>
              <w:t>−0,037</w:t>
            </w:r>
          </w:p>
        </w:tc>
        <w:tc>
          <w:tcPr>
            <w:tcW w:w="266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9E1721E" w14:textId="77777777" w:rsidR="003F1294" w:rsidRDefault="003F1294" w:rsidP="00D012BC">
            <w:pPr>
              <w:jc w:val="center"/>
            </w:pPr>
            <w:r>
              <w:rPr>
                <w:sz w:val="20"/>
                <w:szCs w:val="20"/>
              </w:rPr>
              <w:t>+0,70 %</w:t>
            </w:r>
          </w:p>
        </w:tc>
      </w:tr>
      <w:tr w:rsidR="003F1294" w14:paraId="4DB0F48E" w14:textId="77777777" w:rsidTr="00D012BC">
        <w:tblPrEx>
          <w:tblCellMar>
            <w:top w:w="0" w:type="dxa"/>
            <w:bottom w:w="0" w:type="dxa"/>
          </w:tblCellMar>
        </w:tblPrEx>
        <w:tc>
          <w:tcPr>
            <w:tcW w:w="273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8C60F64" w14:textId="77777777" w:rsidR="003F1294" w:rsidRDefault="003F1294" w:rsidP="00D012BC">
            <w:r>
              <w:rPr>
                <w:sz w:val="20"/>
                <w:szCs w:val="20"/>
              </w:rPr>
              <w:t>Medium</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1492295" w14:textId="77777777" w:rsidR="003F1294" w:rsidRDefault="003F1294" w:rsidP="00D012BC">
            <w:pPr>
              <w:jc w:val="center"/>
            </w:pPr>
            <w:r>
              <w:rPr>
                <w:sz w:val="20"/>
                <w:szCs w:val="20"/>
              </w:rPr>
              <w:t>143</w:t>
            </w:r>
          </w:p>
        </w:tc>
        <w:tc>
          <w:tcPr>
            <w:tcW w:w="266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DC06AE5" w14:textId="77777777" w:rsidR="003F1294" w:rsidRDefault="003F1294" w:rsidP="00D012BC">
            <w:pPr>
              <w:jc w:val="center"/>
            </w:pPr>
            <w:r>
              <w:rPr>
                <w:sz w:val="20"/>
                <w:szCs w:val="20"/>
              </w:rPr>
              <w:t>+0,563</w:t>
            </w:r>
          </w:p>
        </w:tc>
        <w:tc>
          <w:tcPr>
            <w:tcW w:w="266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9D1B8F3" w14:textId="77777777" w:rsidR="003F1294" w:rsidRDefault="003F1294" w:rsidP="00D012BC">
            <w:pPr>
              <w:jc w:val="center"/>
            </w:pPr>
            <w:r>
              <w:rPr>
                <w:sz w:val="20"/>
                <w:szCs w:val="20"/>
              </w:rPr>
              <w:t>+0,76 %</w:t>
            </w:r>
          </w:p>
        </w:tc>
      </w:tr>
      <w:tr w:rsidR="003F1294" w14:paraId="42730641" w14:textId="77777777" w:rsidTr="00D012BC">
        <w:tblPrEx>
          <w:tblCellMar>
            <w:top w:w="0" w:type="dxa"/>
            <w:bottom w:w="0" w:type="dxa"/>
          </w:tblCellMar>
        </w:tblPrEx>
        <w:tc>
          <w:tcPr>
            <w:tcW w:w="273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8A2C0DB" w14:textId="77777777" w:rsidR="003F1294" w:rsidRDefault="003F1294" w:rsidP="00D012BC">
            <w:r>
              <w:rPr>
                <w:sz w:val="20"/>
                <w:szCs w:val="20"/>
              </w:rPr>
              <w:t>Green (ESG alto)</w:t>
            </w:r>
          </w:p>
        </w:tc>
        <w:tc>
          <w:tcPr>
            <w:tcW w:w="13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6CD6029" w14:textId="77777777" w:rsidR="003F1294" w:rsidRDefault="003F1294" w:rsidP="00D012BC">
            <w:pPr>
              <w:jc w:val="center"/>
            </w:pPr>
            <w:r>
              <w:rPr>
                <w:sz w:val="20"/>
                <w:szCs w:val="20"/>
              </w:rPr>
              <w:t>144</w:t>
            </w:r>
          </w:p>
        </w:tc>
        <w:tc>
          <w:tcPr>
            <w:tcW w:w="266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FEECD1F" w14:textId="77777777" w:rsidR="003F1294" w:rsidRDefault="003F1294" w:rsidP="00D012BC">
            <w:pPr>
              <w:jc w:val="center"/>
            </w:pPr>
            <w:r>
              <w:rPr>
                <w:sz w:val="20"/>
                <w:szCs w:val="20"/>
              </w:rPr>
              <w:t>+0,946</w:t>
            </w:r>
          </w:p>
        </w:tc>
        <w:tc>
          <w:tcPr>
            <w:tcW w:w="266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740225D" w14:textId="77777777" w:rsidR="003F1294" w:rsidRDefault="003F1294" w:rsidP="00D012BC">
            <w:pPr>
              <w:jc w:val="center"/>
            </w:pPr>
            <w:r>
              <w:rPr>
                <w:sz w:val="20"/>
                <w:szCs w:val="20"/>
              </w:rPr>
              <w:t>+0,72 %</w:t>
            </w:r>
          </w:p>
        </w:tc>
      </w:tr>
    </w:tbl>
    <w:p w14:paraId="51C3B57E" w14:textId="77777777" w:rsidR="003F1294" w:rsidRDefault="003F1294" w:rsidP="003F1294">
      <w:pPr>
        <w:spacing w:before="40" w:after="160"/>
        <w:rPr>
          <w:sz w:val="20"/>
          <w:szCs w:val="20"/>
        </w:rPr>
      </w:pPr>
      <w:r>
        <w:rPr>
          <w:i/>
          <w:iCs/>
          <w:sz w:val="20"/>
          <w:szCs w:val="20"/>
        </w:rPr>
        <w:t xml:space="preserve">Fuente: </w:t>
      </w:r>
      <w:r>
        <w:rPr>
          <w:sz w:val="20"/>
          <w:szCs w:val="20"/>
        </w:rPr>
        <w:t>elaboración propia.</w:t>
      </w:r>
    </w:p>
    <w:p w14:paraId="784DB7D7" w14:textId="7FDED43E" w:rsidR="000601C9" w:rsidRDefault="000601C9" w:rsidP="003F1294">
      <w:pPr>
        <w:spacing w:before="40" w:after="160"/>
        <w:rPr>
          <w:sz w:val="20"/>
          <w:szCs w:val="20"/>
        </w:rPr>
      </w:pPr>
      <w:r>
        <w:rPr>
          <w:noProof/>
          <w:sz w:val="20"/>
          <w:szCs w:val="20"/>
        </w:rPr>
        <w:drawing>
          <wp:inline distT="0" distB="0" distL="0" distR="0" wp14:anchorId="23EB29B1" wp14:editId="2937792B">
            <wp:extent cx="5400040" cy="3601720"/>
            <wp:effectExtent l="0" t="0" r="0" b="0"/>
            <wp:docPr id="19965222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53745B05" w14:textId="77777777" w:rsidR="0093523A" w:rsidRDefault="0093523A" w:rsidP="0093523A">
      <w:r>
        <w:rPr>
          <w:szCs w:val="24"/>
        </w:rPr>
        <w:lastRenderedPageBreak/>
        <w:t xml:space="preserve">Resulta especialmente relevante que los alfas medios son prácticamente idénticos entre los tres </w:t>
      </w:r>
      <w:proofErr w:type="spellStart"/>
      <w:r>
        <w:rPr>
          <w:szCs w:val="24"/>
        </w:rPr>
        <w:t>terciles</w:t>
      </w:r>
      <w:proofErr w:type="spellEnd"/>
      <w:r>
        <w:rPr>
          <w:szCs w:val="24"/>
        </w:rPr>
        <w:t xml:space="preserve"> (entre +0,70 % y +0,76 % mensual). Esto indica que, una vez controlada la exposición a los cuatro factores de riesgo, no existen diferencias de rentabilidad anormal entre invertir en empresas Green o Brown, lo que constituye evidencia a favor de la hipótesis H4 y resulta plenamente coherente con la hipótesis de eficiencia de los mercados.</w:t>
      </w:r>
    </w:p>
    <w:p w14:paraId="718DA4AD" w14:textId="77777777" w:rsidR="0093523A" w:rsidRDefault="0093523A" w:rsidP="003F1294">
      <w:pPr>
        <w:spacing w:before="40" w:after="160"/>
      </w:pPr>
    </w:p>
    <w:p w14:paraId="5DB43756" w14:textId="77777777" w:rsidR="003F1294" w:rsidRDefault="003F1294" w:rsidP="003F1294">
      <w:pPr>
        <w:pStyle w:val="Ttulo2"/>
      </w:pPr>
      <w:bookmarkStart w:id="20" w:name="_Toc231769139"/>
      <w:r>
        <w:rPr>
          <w:rFonts w:ascii="Times New Roman" w:eastAsia="Times New Roman" w:hAnsi="Times New Roman" w:cs="Times New Roman"/>
          <w:b/>
          <w:bCs/>
          <w:sz w:val="26"/>
          <w:szCs w:val="26"/>
        </w:rPr>
        <w:t>4.4. Distribución de la sensibilidad al factor ESG</w:t>
      </w:r>
      <w:bookmarkEnd w:id="20"/>
    </w:p>
    <w:p w14:paraId="4BFCFC55" w14:textId="77777777" w:rsidR="003F1294" w:rsidRDefault="003F1294" w:rsidP="003F1294">
      <w:r>
        <w:rPr>
          <w:szCs w:val="24"/>
        </w:rPr>
        <w:t>El análisis de la significatividad individual del coeficiente e (Tabla 5) muestra que la mayoría de las empresas (81,2 %) no presentan una sensibilidad estadísticamente significativa al factor al nivel del 5 %. Entre las que sí la presentan, se observa un claro predominio de las sensibilidades positivas (66 empresas, 15,3 %) sobre las negativas (15 empresas, 3,5 %). Este patrón sugiere que, si bien el factor ESG no constituye todavía un determinante sistemático del conjunto del mercado, sí afecta de manera significativa a un subconjunto relevante de empresas, mayoritariamente en sentido positivo.</w:t>
      </w:r>
    </w:p>
    <w:p w14:paraId="43691D53" w14:textId="77777777" w:rsidR="003F1294" w:rsidRDefault="003F1294" w:rsidP="003F1294">
      <w:pPr>
        <w:spacing w:before="120" w:after="60"/>
      </w:pPr>
      <w:r>
        <w:rPr>
          <w:b/>
          <w:bCs/>
          <w:sz w:val="22"/>
        </w:rPr>
        <w:t>Tabla 5. Distribución de la significatividad del coeficiente e (nivel del 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F1294" w14:paraId="0BE51C5A" w14:textId="77777777" w:rsidTr="00D012BC">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3296C7D4" w14:textId="77777777" w:rsidR="003F1294" w:rsidRDefault="003F1294" w:rsidP="00D012BC">
            <w:pPr>
              <w:jc w:val="center"/>
            </w:pPr>
            <w:r>
              <w:rPr>
                <w:b/>
                <w:bCs/>
                <w:color w:val="FFFFFF"/>
                <w:sz w:val="20"/>
                <w:szCs w:val="20"/>
              </w:rPr>
              <w:t>Sensibilidad al factor ESG</w:t>
            </w:r>
          </w:p>
        </w:tc>
        <w:tc>
          <w:tcPr>
            <w:tcW w:w="234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5D7CDF37" w14:textId="77777777" w:rsidR="003F1294" w:rsidRDefault="003F1294" w:rsidP="00D012BC">
            <w:pPr>
              <w:jc w:val="center"/>
            </w:pPr>
            <w:proofErr w:type="spellStart"/>
            <w:r>
              <w:rPr>
                <w:b/>
                <w:bCs/>
                <w:color w:val="FFFFFF"/>
                <w:sz w:val="20"/>
                <w:szCs w:val="20"/>
              </w:rPr>
              <w:t>Nº</w:t>
            </w:r>
            <w:proofErr w:type="spellEnd"/>
            <w:r>
              <w:rPr>
                <w:b/>
                <w:bCs/>
                <w:color w:val="FFFFFF"/>
                <w:sz w:val="20"/>
                <w:szCs w:val="20"/>
              </w:rPr>
              <w:t xml:space="preserve"> empresas</w:t>
            </w:r>
          </w:p>
        </w:tc>
        <w:tc>
          <w:tcPr>
            <w:tcW w:w="234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A8C1A99" w14:textId="77777777" w:rsidR="003F1294" w:rsidRDefault="003F1294" w:rsidP="00D012BC">
            <w:pPr>
              <w:jc w:val="center"/>
            </w:pPr>
            <w:r>
              <w:rPr>
                <w:b/>
                <w:bCs/>
                <w:color w:val="FFFFFF"/>
                <w:sz w:val="20"/>
                <w:szCs w:val="20"/>
              </w:rPr>
              <w:t>% muestra</w:t>
            </w:r>
          </w:p>
        </w:tc>
      </w:tr>
      <w:tr w:rsidR="003F1294" w14:paraId="084F1893" w14:textId="77777777" w:rsidTr="00D012BC">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F7D6815" w14:textId="77777777" w:rsidR="003F1294" w:rsidRDefault="003F1294" w:rsidP="00D012BC">
            <w:proofErr w:type="spellStart"/>
            <w:r>
              <w:rPr>
                <w:sz w:val="20"/>
                <w:szCs w:val="20"/>
              </w:rPr>
              <w:t>e</w:t>
            </w:r>
            <w:proofErr w:type="spellEnd"/>
            <w:r>
              <w:rPr>
                <w:sz w:val="20"/>
                <w:szCs w:val="20"/>
              </w:rPr>
              <w:t xml:space="preserve"> &gt; 0 y significativo</w:t>
            </w:r>
          </w:p>
        </w:tc>
        <w:tc>
          <w:tcPr>
            <w:tcW w:w="234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90EE118" w14:textId="77777777" w:rsidR="003F1294" w:rsidRDefault="003F1294" w:rsidP="00D012BC">
            <w:pPr>
              <w:jc w:val="center"/>
            </w:pPr>
            <w:r>
              <w:rPr>
                <w:sz w:val="20"/>
                <w:szCs w:val="20"/>
              </w:rPr>
              <w:t>66</w:t>
            </w:r>
          </w:p>
        </w:tc>
        <w:tc>
          <w:tcPr>
            <w:tcW w:w="234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ADE2C1D" w14:textId="77777777" w:rsidR="003F1294" w:rsidRDefault="003F1294" w:rsidP="00D012BC">
            <w:pPr>
              <w:jc w:val="center"/>
            </w:pPr>
            <w:r>
              <w:rPr>
                <w:sz w:val="20"/>
                <w:szCs w:val="20"/>
              </w:rPr>
              <w:t>15,3 %</w:t>
            </w:r>
          </w:p>
        </w:tc>
      </w:tr>
      <w:tr w:rsidR="003F1294" w14:paraId="37CCFAC5" w14:textId="77777777" w:rsidTr="00D012BC">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D6E702E" w14:textId="77777777" w:rsidR="003F1294" w:rsidRDefault="003F1294" w:rsidP="00D012BC">
            <w:proofErr w:type="spellStart"/>
            <w:r>
              <w:rPr>
                <w:sz w:val="20"/>
                <w:szCs w:val="20"/>
              </w:rPr>
              <w:t>e</w:t>
            </w:r>
            <w:proofErr w:type="spellEnd"/>
            <w:r>
              <w:rPr>
                <w:sz w:val="20"/>
                <w:szCs w:val="20"/>
              </w:rPr>
              <w:t xml:space="preserve"> &lt; 0 y significativo</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0D27810" w14:textId="77777777" w:rsidR="003F1294" w:rsidRDefault="003F1294" w:rsidP="00D012BC">
            <w:pPr>
              <w:jc w:val="center"/>
            </w:pPr>
            <w:r>
              <w:rPr>
                <w:sz w:val="20"/>
                <w:szCs w:val="20"/>
              </w:rPr>
              <w:t>15</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554F878" w14:textId="77777777" w:rsidR="003F1294" w:rsidRDefault="003F1294" w:rsidP="00D012BC">
            <w:pPr>
              <w:jc w:val="center"/>
            </w:pPr>
            <w:r>
              <w:rPr>
                <w:sz w:val="20"/>
                <w:szCs w:val="20"/>
              </w:rPr>
              <w:t>3,5 %</w:t>
            </w:r>
          </w:p>
        </w:tc>
      </w:tr>
      <w:tr w:rsidR="003F1294" w14:paraId="0B5F8F27" w14:textId="77777777" w:rsidTr="00D012BC">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DBD35FA" w14:textId="77777777" w:rsidR="003F1294" w:rsidRDefault="003F1294" w:rsidP="00D012BC">
            <w:r>
              <w:rPr>
                <w:sz w:val="20"/>
                <w:szCs w:val="20"/>
              </w:rPr>
              <w:t>No significativo</w:t>
            </w:r>
          </w:p>
        </w:tc>
        <w:tc>
          <w:tcPr>
            <w:tcW w:w="234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ECC8C90" w14:textId="77777777" w:rsidR="003F1294" w:rsidRDefault="003F1294" w:rsidP="00D012BC">
            <w:pPr>
              <w:jc w:val="center"/>
            </w:pPr>
            <w:r>
              <w:rPr>
                <w:sz w:val="20"/>
                <w:szCs w:val="20"/>
              </w:rPr>
              <w:t>350</w:t>
            </w:r>
          </w:p>
        </w:tc>
        <w:tc>
          <w:tcPr>
            <w:tcW w:w="234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8395ADD" w14:textId="77777777" w:rsidR="003F1294" w:rsidRDefault="003F1294" w:rsidP="00D012BC">
            <w:pPr>
              <w:jc w:val="center"/>
            </w:pPr>
            <w:r>
              <w:rPr>
                <w:sz w:val="20"/>
                <w:szCs w:val="20"/>
              </w:rPr>
              <w:t>81,2 %</w:t>
            </w:r>
          </w:p>
        </w:tc>
      </w:tr>
    </w:tbl>
    <w:p w14:paraId="6C038DDA" w14:textId="77777777" w:rsidR="003F1294" w:rsidRDefault="003F1294" w:rsidP="003F1294">
      <w:pPr>
        <w:spacing w:before="40" w:after="160"/>
        <w:rPr>
          <w:sz w:val="20"/>
          <w:szCs w:val="20"/>
        </w:rPr>
      </w:pPr>
      <w:r>
        <w:rPr>
          <w:i/>
          <w:iCs/>
          <w:sz w:val="20"/>
          <w:szCs w:val="20"/>
        </w:rPr>
        <w:t xml:space="preserve">Fuente: </w:t>
      </w:r>
      <w:r>
        <w:rPr>
          <w:sz w:val="20"/>
          <w:szCs w:val="20"/>
        </w:rPr>
        <w:t>elaboración propia.</w:t>
      </w:r>
    </w:p>
    <w:p w14:paraId="119F4462" w14:textId="5011312B" w:rsidR="00304B20" w:rsidRPr="000601C9" w:rsidRDefault="000601C9" w:rsidP="000601C9">
      <w:pPr>
        <w:spacing w:before="40" w:after="160"/>
      </w:pPr>
      <w:r>
        <w:rPr>
          <w:noProof/>
        </w:rPr>
        <w:drawing>
          <wp:inline distT="0" distB="0" distL="0" distR="0" wp14:anchorId="4033F997" wp14:editId="791B5922">
            <wp:extent cx="5387340" cy="2156460"/>
            <wp:effectExtent l="0" t="0" r="3810" b="0"/>
            <wp:docPr id="6563286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7340" cy="2156460"/>
                    </a:xfrm>
                    <a:prstGeom prst="rect">
                      <a:avLst/>
                    </a:prstGeom>
                    <a:noFill/>
                    <a:ln>
                      <a:noFill/>
                    </a:ln>
                  </pic:spPr>
                </pic:pic>
              </a:graphicData>
            </a:graphic>
          </wp:inline>
        </w:drawing>
      </w:r>
    </w:p>
    <w:p w14:paraId="491DDA2E" w14:textId="1CD363DC" w:rsidR="00304B20" w:rsidRPr="00F14D34" w:rsidRDefault="00304B20" w:rsidP="00F14D34">
      <w:pPr>
        <w:pStyle w:val="Ttulo3"/>
        <w:rPr>
          <w:b/>
          <w:bCs/>
          <w:lang w:val="es-ES"/>
        </w:rPr>
      </w:pPr>
      <w:bookmarkStart w:id="21" w:name="_Toc231769140"/>
      <w:r w:rsidRPr="00F14D34">
        <w:rPr>
          <w:b/>
          <w:bCs/>
          <w:lang w:val="es-ES"/>
        </w:rPr>
        <w:lastRenderedPageBreak/>
        <w:t>4.</w:t>
      </w:r>
      <w:r w:rsidR="00730BD4">
        <w:rPr>
          <w:b/>
          <w:bCs/>
          <w:lang w:val="es-ES"/>
        </w:rPr>
        <w:t>5 Análisis por sectores</w:t>
      </w:r>
      <w:bookmarkEnd w:id="21"/>
    </w:p>
    <w:p w14:paraId="4612F583" w14:textId="77777777" w:rsidR="00730BD4" w:rsidRDefault="00730BD4" w:rsidP="00730BD4">
      <w:pPr>
        <w:rPr>
          <w:szCs w:val="24"/>
        </w:rPr>
      </w:pPr>
      <w:r>
        <w:rPr>
          <w:szCs w:val="24"/>
        </w:rPr>
        <w:t>El análisis del coeficiente e medio por sector ofrece una perspectiva adicional muy interpretable. Los sectores con mayor sensibilidad positiva al factor ESG tienden a ser los de consumo cíclico, automoción y bienes industriales con elevada puntuación de sostenibilidad. En el extremo opuesto, los sectores con sensibilidad más negativa son los vinculados a la energía fósil, los recursos minerales y, de forma destacada, la industria de defensa. Este último resultado es especialmente ilustrativo: el sector de defensa experimentó una fuerte revalorización durante el período 2022-2024 a raíz del conflicto en Ucrania, justamente en la etapa en que la cartera Green mostró su peor comportamiento relativo, lo que explica su acusada sensibilidad negativa al factor.</w:t>
      </w:r>
    </w:p>
    <w:p>
      <w:pPr/>
      <w:r>
        <w:rPr>
          <w:b/>
          <w:sz w:val="18"/>
        </w:rPr>
        <w:t>Tabla 7. Coeficiente medio de sensibilidad al factor ESG por sector</w:t>
      </w:r>
    </w:p>
    <w:tbl>
      <w:tblPr>
        <w:tblStyle w:val="Tablanormal2"/>
        <w:tblW w:type="auto" w:w="0"/>
        <w:tblLook w:firstColumn="1" w:firstRow="1" w:lastColumn="0" w:lastRow="0" w:noHBand="0" w:noVBand="1" w:val="04A0"/>
      </w:tblPr>
      <w:tblGrid>
        <w:gridCol w:w="1701"/>
        <w:gridCol w:w="1701"/>
        <w:gridCol w:w="1701"/>
        <w:gridCol w:w="1701"/>
        <w:gridCol w:w="1701"/>
      </w:tblGrid>
      <w:tr>
        <w:tc>
          <w:tcPr>
            <w:tcW w:type="dxa" w:w="1701"/>
            <w:shd w:val="clear" w:color="auto" w:fill="D0D0D0"/>
          </w:tcPr>
          <w:p>
            <w:r/>
            <w:r>
              <w:rPr>
                <w:b/>
                <w:i w:val="0"/>
                <w:sz w:val="18"/>
              </w:rPr>
              <w:t>Sector</w:t>
            </w:r>
          </w:p>
        </w:tc>
        <w:tc>
          <w:tcPr>
            <w:tcW w:type="dxa" w:w="1701"/>
            <w:shd w:val="clear" w:color="auto" w:fill="D0D0D0"/>
          </w:tcPr>
          <w:p>
            <w:pPr>
              <w:jc w:val="center"/>
            </w:pPr>
            <w:r/>
            <w:r>
              <w:rPr>
                <w:b/>
                <w:i w:val="0"/>
                <w:sz w:val="18"/>
              </w:rPr>
              <w:t>n</w:t>
            </w:r>
          </w:p>
        </w:tc>
        <w:tc>
          <w:tcPr>
            <w:tcW w:type="dxa" w:w="1701"/>
            <w:shd w:val="clear" w:color="auto" w:fill="D0D0D0"/>
          </w:tcPr>
          <w:p>
            <w:pPr>
              <w:jc w:val="center"/>
            </w:pPr>
            <w:r/>
            <w:r>
              <w:rPr>
                <w:b/>
                <w:i w:val="0"/>
                <w:sz w:val="18"/>
              </w:rPr>
              <w:t>ē medio</w:t>
            </w:r>
          </w:p>
        </w:tc>
        <w:tc>
          <w:tcPr>
            <w:tcW w:type="dxa" w:w="1701"/>
            <w:shd w:val="clear" w:color="auto" w:fill="D0D0D0"/>
          </w:tcPr>
          <w:p>
            <w:pPr>
              <w:jc w:val="center"/>
            </w:pPr>
            <w:r/>
            <w:r>
              <w:rPr>
                <w:b/>
                <w:i w:val="0"/>
                <w:sz w:val="18"/>
              </w:rPr>
              <w:t>ᾱ medio (%/mes)</w:t>
            </w:r>
          </w:p>
        </w:tc>
        <w:tc>
          <w:tcPr>
            <w:tcW w:type="dxa" w:w="1701"/>
            <w:shd w:val="clear" w:color="auto" w:fill="D0D0D0"/>
          </w:tcPr>
          <w:p>
            <w:pPr>
              <w:jc w:val="center"/>
            </w:pPr>
            <w:r/>
            <w:r>
              <w:rPr>
                <w:b/>
                <w:i w:val="0"/>
                <w:sz w:val="18"/>
              </w:rPr>
              <w:t>ESG Score medio</w:t>
            </w:r>
          </w:p>
        </w:tc>
      </w:tr>
      <w:tr>
        <w:tc>
          <w:tcPr>
            <w:tcW w:type="dxa" w:w="1701"/>
          </w:tcPr>
          <w:p>
            <w:r/>
            <w:r>
              <w:rPr>
                <w:b w:val="0"/>
                <w:i w:val="0"/>
                <w:sz w:val="18"/>
              </w:rPr>
              <w:t>Automóviles y componentes</w:t>
            </w:r>
          </w:p>
        </w:tc>
        <w:tc>
          <w:tcPr>
            <w:tcW w:type="dxa" w:w="1701"/>
          </w:tcPr>
          <w:p>
            <w:pPr>
              <w:jc w:val="center"/>
            </w:pPr>
            <w:r/>
            <w:r>
              <w:rPr>
                <w:b w:val="0"/>
                <w:i w:val="0"/>
                <w:sz w:val="18"/>
              </w:rPr>
              <w:t>14</w:t>
            </w:r>
          </w:p>
        </w:tc>
        <w:tc>
          <w:tcPr>
            <w:tcW w:type="dxa" w:w="1701"/>
          </w:tcPr>
          <w:p>
            <w:pPr>
              <w:jc w:val="center"/>
            </w:pPr>
            <w:r/>
            <w:r>
              <w:rPr>
                <w:b w:val="0"/>
                <w:i w:val="0"/>
                <w:sz w:val="18"/>
              </w:rPr>
              <w:t>+2,08</w:t>
            </w:r>
          </w:p>
        </w:tc>
        <w:tc>
          <w:tcPr>
            <w:tcW w:type="dxa" w:w="1701"/>
          </w:tcPr>
          <w:p>
            <w:pPr>
              <w:jc w:val="center"/>
            </w:pPr>
            <w:r/>
            <w:r>
              <w:rPr>
                <w:b w:val="0"/>
                <w:i w:val="0"/>
                <w:sz w:val="18"/>
              </w:rPr>
              <w:t>+0,53</w:t>
            </w:r>
          </w:p>
        </w:tc>
        <w:tc>
          <w:tcPr>
            <w:tcW w:type="dxa" w:w="1701"/>
          </w:tcPr>
          <w:p>
            <w:pPr>
              <w:jc w:val="center"/>
            </w:pPr>
            <w:r/>
            <w:r>
              <w:rPr>
                <w:b w:val="0"/>
                <w:i w:val="0"/>
                <w:sz w:val="18"/>
              </w:rPr>
              <w:t>69,25</w:t>
            </w:r>
          </w:p>
        </w:tc>
      </w:tr>
      <w:tr>
        <w:tc>
          <w:tcPr>
            <w:tcW w:type="dxa" w:w="1701"/>
          </w:tcPr>
          <w:p>
            <w:r/>
            <w:r>
              <w:rPr>
                <w:b w:val="0"/>
                <w:i w:val="0"/>
                <w:sz w:val="18"/>
              </w:rPr>
              <w:t>Transporte</w:t>
            </w:r>
          </w:p>
        </w:tc>
        <w:tc>
          <w:tcPr>
            <w:tcW w:type="dxa" w:w="1701"/>
          </w:tcPr>
          <w:p>
            <w:pPr>
              <w:jc w:val="center"/>
            </w:pPr>
            <w:r/>
            <w:r>
              <w:rPr>
                <w:b w:val="0"/>
                <w:i w:val="0"/>
                <w:sz w:val="18"/>
              </w:rPr>
              <w:t>16</w:t>
            </w:r>
          </w:p>
        </w:tc>
        <w:tc>
          <w:tcPr>
            <w:tcW w:type="dxa" w:w="1701"/>
          </w:tcPr>
          <w:p>
            <w:pPr>
              <w:jc w:val="center"/>
            </w:pPr>
            <w:r/>
            <w:r>
              <w:rPr>
                <w:b w:val="0"/>
                <w:i w:val="0"/>
                <w:sz w:val="18"/>
              </w:rPr>
              <w:t>+1,53</w:t>
            </w:r>
          </w:p>
        </w:tc>
        <w:tc>
          <w:tcPr>
            <w:tcW w:type="dxa" w:w="1701"/>
          </w:tcPr>
          <w:p>
            <w:pPr>
              <w:jc w:val="center"/>
            </w:pPr>
            <w:r/>
            <w:r>
              <w:rPr>
                <w:b w:val="0"/>
                <w:i w:val="0"/>
                <w:sz w:val="18"/>
              </w:rPr>
              <w:t>+1,21</w:t>
            </w:r>
          </w:p>
        </w:tc>
        <w:tc>
          <w:tcPr>
            <w:tcW w:type="dxa" w:w="1701"/>
          </w:tcPr>
          <w:p>
            <w:pPr>
              <w:jc w:val="center"/>
            </w:pPr>
            <w:r/>
            <w:r>
              <w:rPr>
                <w:b w:val="0"/>
                <w:i w:val="0"/>
                <w:sz w:val="18"/>
              </w:rPr>
              <w:t>66,91</w:t>
            </w:r>
          </w:p>
        </w:tc>
      </w:tr>
      <w:tr>
        <w:tc>
          <w:tcPr>
            <w:tcW w:type="dxa" w:w="1701"/>
          </w:tcPr>
          <w:p>
            <w:r/>
            <w:r>
              <w:rPr>
                <w:b w:val="0"/>
                <w:i w:val="0"/>
                <w:sz w:val="18"/>
              </w:rPr>
              <w:t>Equipos tecnológicos</w:t>
            </w:r>
          </w:p>
        </w:tc>
        <w:tc>
          <w:tcPr>
            <w:tcW w:type="dxa" w:w="1701"/>
          </w:tcPr>
          <w:p>
            <w:pPr>
              <w:jc w:val="center"/>
            </w:pPr>
            <w:r/>
            <w:r>
              <w:rPr>
                <w:b w:val="0"/>
                <w:i w:val="0"/>
                <w:sz w:val="18"/>
              </w:rPr>
              <w:t>14</w:t>
            </w:r>
          </w:p>
        </w:tc>
        <w:tc>
          <w:tcPr>
            <w:tcW w:type="dxa" w:w="1701"/>
          </w:tcPr>
          <w:p>
            <w:pPr>
              <w:jc w:val="center"/>
            </w:pPr>
            <w:r/>
            <w:r>
              <w:rPr>
                <w:b w:val="0"/>
                <w:i w:val="0"/>
                <w:sz w:val="18"/>
              </w:rPr>
              <w:t>+1,41</w:t>
            </w:r>
          </w:p>
        </w:tc>
        <w:tc>
          <w:tcPr>
            <w:tcW w:type="dxa" w:w="1701"/>
          </w:tcPr>
          <w:p>
            <w:pPr>
              <w:jc w:val="center"/>
            </w:pPr>
            <w:r/>
            <w:r>
              <w:rPr>
                <w:b w:val="0"/>
                <w:i w:val="0"/>
                <w:sz w:val="18"/>
              </w:rPr>
              <w:t>+2,31</w:t>
            </w:r>
          </w:p>
        </w:tc>
        <w:tc>
          <w:tcPr>
            <w:tcW w:type="dxa" w:w="1701"/>
          </w:tcPr>
          <w:p>
            <w:pPr>
              <w:jc w:val="center"/>
            </w:pPr>
            <w:r/>
            <w:r>
              <w:rPr>
                <w:b w:val="0"/>
                <w:i w:val="0"/>
                <w:sz w:val="18"/>
              </w:rPr>
              <w:t>69,24</w:t>
            </w:r>
          </w:p>
        </w:tc>
      </w:tr>
      <w:tr>
        <w:tc>
          <w:tcPr>
            <w:tcW w:type="dxa" w:w="1701"/>
          </w:tcPr>
          <w:p>
            <w:r/>
            <w:r>
              <w:rPr>
                <w:b w:val="0"/>
                <w:i w:val="0"/>
                <w:sz w:val="18"/>
              </w:rPr>
              <w:t>Servicios consumo cíclico</w:t>
            </w:r>
          </w:p>
        </w:tc>
        <w:tc>
          <w:tcPr>
            <w:tcW w:type="dxa" w:w="1701"/>
          </w:tcPr>
          <w:p>
            <w:pPr>
              <w:jc w:val="center"/>
            </w:pPr>
            <w:r/>
            <w:r>
              <w:rPr>
                <w:b w:val="0"/>
                <w:i w:val="0"/>
                <w:sz w:val="18"/>
              </w:rPr>
              <w:t>17</w:t>
            </w:r>
          </w:p>
        </w:tc>
        <w:tc>
          <w:tcPr>
            <w:tcW w:type="dxa" w:w="1701"/>
          </w:tcPr>
          <w:p>
            <w:pPr>
              <w:jc w:val="center"/>
            </w:pPr>
            <w:r/>
            <w:r>
              <w:rPr>
                <w:b w:val="0"/>
                <w:i w:val="0"/>
                <w:sz w:val="18"/>
              </w:rPr>
              <w:t>+1,06</w:t>
            </w:r>
          </w:p>
        </w:tc>
        <w:tc>
          <w:tcPr>
            <w:tcW w:type="dxa" w:w="1701"/>
          </w:tcPr>
          <w:p>
            <w:pPr>
              <w:jc w:val="center"/>
            </w:pPr>
            <w:r/>
            <w:r>
              <w:rPr>
                <w:b w:val="0"/>
                <w:i w:val="0"/>
                <w:sz w:val="18"/>
              </w:rPr>
              <w:t>+0,93</w:t>
            </w:r>
          </w:p>
        </w:tc>
        <w:tc>
          <w:tcPr>
            <w:tcW w:type="dxa" w:w="1701"/>
          </w:tcPr>
          <w:p>
            <w:pPr>
              <w:jc w:val="center"/>
            </w:pPr>
            <w:r/>
            <w:r>
              <w:rPr>
                <w:b w:val="0"/>
                <w:i w:val="0"/>
                <w:sz w:val="18"/>
              </w:rPr>
              <w:t>69,11</w:t>
            </w:r>
          </w:p>
        </w:tc>
      </w:tr>
      <w:tr>
        <w:tc>
          <w:tcPr>
            <w:tcW w:type="dxa" w:w="1701"/>
          </w:tcPr>
          <w:p>
            <w:r/>
            <w:r>
              <w:rPr>
                <w:b w:val="0"/>
                <w:i w:val="0"/>
                <w:sz w:val="18"/>
              </w:rPr>
              <w:t>Farmacéutico e inv. médica</w:t>
            </w:r>
          </w:p>
        </w:tc>
        <w:tc>
          <w:tcPr>
            <w:tcW w:type="dxa" w:w="1701"/>
          </w:tcPr>
          <w:p>
            <w:pPr>
              <w:jc w:val="center"/>
            </w:pPr>
            <w:r/>
            <w:r>
              <w:rPr>
                <w:b w:val="0"/>
                <w:i w:val="0"/>
                <w:sz w:val="18"/>
              </w:rPr>
              <w:t>29</w:t>
            </w:r>
          </w:p>
        </w:tc>
        <w:tc>
          <w:tcPr>
            <w:tcW w:type="dxa" w:w="1701"/>
          </w:tcPr>
          <w:p>
            <w:pPr>
              <w:jc w:val="center"/>
            </w:pPr>
            <w:r/>
            <w:r>
              <w:rPr>
                <w:b w:val="0"/>
                <w:i w:val="0"/>
                <w:sz w:val="18"/>
              </w:rPr>
              <w:t>+0,94</w:t>
            </w:r>
          </w:p>
        </w:tc>
        <w:tc>
          <w:tcPr>
            <w:tcW w:type="dxa" w:w="1701"/>
          </w:tcPr>
          <w:p>
            <w:pPr>
              <w:jc w:val="center"/>
            </w:pPr>
            <w:r/>
            <w:r>
              <w:rPr>
                <w:b w:val="0"/>
                <w:i w:val="0"/>
                <w:sz w:val="18"/>
              </w:rPr>
              <w:t>+1,85</w:t>
            </w:r>
          </w:p>
        </w:tc>
        <w:tc>
          <w:tcPr>
            <w:tcW w:type="dxa" w:w="1701"/>
          </w:tcPr>
          <w:p>
            <w:pPr>
              <w:jc w:val="center"/>
            </w:pPr>
            <w:r/>
            <w:r>
              <w:rPr>
                <w:b w:val="0"/>
                <w:i w:val="0"/>
                <w:sz w:val="18"/>
              </w:rPr>
              <w:t>73,45</w:t>
            </w:r>
          </w:p>
        </w:tc>
      </w:tr>
      <w:tr>
        <w:tc>
          <w:tcPr>
            <w:tcW w:type="dxa" w:w="1701"/>
          </w:tcPr>
          <w:p>
            <w:r/>
            <w:r>
              <w:rPr>
                <w:b w:val="0"/>
                <w:i w:val="0"/>
                <w:sz w:val="18"/>
              </w:rPr>
              <w:t>Productos consumo cíclico</w:t>
            </w:r>
          </w:p>
        </w:tc>
        <w:tc>
          <w:tcPr>
            <w:tcW w:type="dxa" w:w="1701"/>
          </w:tcPr>
          <w:p>
            <w:pPr>
              <w:jc w:val="center"/>
            </w:pPr>
            <w:r/>
            <w:r>
              <w:rPr>
                <w:b w:val="0"/>
                <w:i w:val="0"/>
                <w:sz w:val="18"/>
              </w:rPr>
              <w:t>25</w:t>
            </w:r>
          </w:p>
        </w:tc>
        <w:tc>
          <w:tcPr>
            <w:tcW w:type="dxa" w:w="1701"/>
          </w:tcPr>
          <w:p>
            <w:pPr>
              <w:jc w:val="center"/>
            </w:pPr>
            <w:r/>
            <w:r>
              <w:rPr>
                <w:b w:val="0"/>
                <w:i w:val="0"/>
                <w:sz w:val="18"/>
              </w:rPr>
              <w:t>+0,90</w:t>
            </w:r>
          </w:p>
        </w:tc>
        <w:tc>
          <w:tcPr>
            <w:tcW w:type="dxa" w:w="1701"/>
          </w:tcPr>
          <w:p>
            <w:pPr>
              <w:jc w:val="center"/>
            </w:pPr>
            <w:r/>
            <w:r>
              <w:rPr>
                <w:b w:val="0"/>
                <w:i w:val="0"/>
                <w:sz w:val="18"/>
              </w:rPr>
              <w:t>+0,68</w:t>
            </w:r>
          </w:p>
        </w:tc>
        <w:tc>
          <w:tcPr>
            <w:tcW w:type="dxa" w:w="1701"/>
          </w:tcPr>
          <w:p>
            <w:pPr>
              <w:jc w:val="center"/>
            </w:pPr>
            <w:r/>
            <w:r>
              <w:rPr>
                <w:b w:val="0"/>
                <w:i w:val="0"/>
                <w:sz w:val="18"/>
              </w:rPr>
              <w:t>67,80</w:t>
            </w:r>
          </w:p>
        </w:tc>
      </w:tr>
      <w:tr>
        <w:tc>
          <w:tcPr>
            <w:tcW w:type="dxa" w:w="1701"/>
          </w:tcPr>
          <w:p>
            <w:r/>
            <w:r>
              <w:rPr>
                <w:b w:val="0"/>
                <w:i w:val="0"/>
                <w:sz w:val="18"/>
              </w:rPr>
              <w:t>Servicios y equipos sanitarios</w:t>
            </w:r>
          </w:p>
        </w:tc>
        <w:tc>
          <w:tcPr>
            <w:tcW w:type="dxa" w:w="1701"/>
          </w:tcPr>
          <w:p>
            <w:pPr>
              <w:jc w:val="center"/>
            </w:pPr>
            <w:r/>
            <w:r>
              <w:rPr>
                <w:b w:val="0"/>
                <w:i w:val="0"/>
                <w:sz w:val="18"/>
              </w:rPr>
              <w:t>18</w:t>
            </w:r>
          </w:p>
        </w:tc>
        <w:tc>
          <w:tcPr>
            <w:tcW w:type="dxa" w:w="1701"/>
          </w:tcPr>
          <w:p>
            <w:pPr>
              <w:jc w:val="center"/>
            </w:pPr>
            <w:r/>
            <w:r>
              <w:rPr>
                <w:b w:val="0"/>
                <w:i w:val="0"/>
                <w:sz w:val="18"/>
              </w:rPr>
              <w:t>+0,71</w:t>
            </w:r>
          </w:p>
        </w:tc>
        <w:tc>
          <w:tcPr>
            <w:tcW w:type="dxa" w:w="1701"/>
          </w:tcPr>
          <w:p>
            <w:pPr>
              <w:jc w:val="center"/>
            </w:pPr>
            <w:r/>
            <w:r>
              <w:rPr>
                <w:b w:val="0"/>
                <w:i w:val="0"/>
                <w:sz w:val="18"/>
              </w:rPr>
              <w:t>+0,68</w:t>
            </w:r>
          </w:p>
        </w:tc>
        <w:tc>
          <w:tcPr>
            <w:tcW w:type="dxa" w:w="1701"/>
          </w:tcPr>
          <w:p>
            <w:pPr>
              <w:jc w:val="center"/>
            </w:pPr>
            <w:r/>
            <w:r>
              <w:rPr>
                <w:b w:val="0"/>
                <w:i w:val="0"/>
                <w:sz w:val="18"/>
              </w:rPr>
              <w:t>73,57</w:t>
            </w:r>
          </w:p>
        </w:tc>
      </w:tr>
      <w:tr>
        <w:tc>
          <w:tcPr>
            <w:tcW w:type="dxa" w:w="1701"/>
          </w:tcPr>
          <w:p>
            <w:r/>
            <w:r>
              <w:rPr>
                <w:b w:val="0"/>
                <w:i w:val="0"/>
                <w:sz w:val="18"/>
              </w:rPr>
              <w:t>Distribución minorista</w:t>
            </w:r>
          </w:p>
        </w:tc>
        <w:tc>
          <w:tcPr>
            <w:tcW w:type="dxa" w:w="1701"/>
          </w:tcPr>
          <w:p>
            <w:pPr>
              <w:jc w:val="center"/>
            </w:pPr>
            <w:r/>
            <w:r>
              <w:rPr>
                <w:b w:val="0"/>
                <w:i w:val="0"/>
                <w:sz w:val="18"/>
              </w:rPr>
              <w:t>12</w:t>
            </w:r>
          </w:p>
        </w:tc>
        <w:tc>
          <w:tcPr>
            <w:tcW w:type="dxa" w:w="1701"/>
          </w:tcPr>
          <w:p>
            <w:pPr>
              <w:jc w:val="center"/>
            </w:pPr>
            <w:r/>
            <w:r>
              <w:rPr>
                <w:b w:val="0"/>
                <w:i w:val="0"/>
                <w:sz w:val="18"/>
              </w:rPr>
              <w:t>+0,64</w:t>
            </w:r>
          </w:p>
        </w:tc>
        <w:tc>
          <w:tcPr>
            <w:tcW w:type="dxa" w:w="1701"/>
          </w:tcPr>
          <w:p>
            <w:pPr>
              <w:jc w:val="center"/>
            </w:pPr>
            <w:r/>
            <w:r>
              <w:rPr>
                <w:b w:val="0"/>
                <w:i w:val="0"/>
                <w:sz w:val="18"/>
              </w:rPr>
              <w:t>+0,29</w:t>
            </w:r>
          </w:p>
        </w:tc>
        <w:tc>
          <w:tcPr>
            <w:tcW w:type="dxa" w:w="1701"/>
          </w:tcPr>
          <w:p>
            <w:pPr>
              <w:jc w:val="center"/>
            </w:pPr>
            <w:r/>
            <w:r>
              <w:rPr>
                <w:b w:val="0"/>
                <w:i w:val="0"/>
                <w:sz w:val="18"/>
              </w:rPr>
              <w:t>65,50</w:t>
            </w:r>
          </w:p>
        </w:tc>
      </w:tr>
      <w:tr>
        <w:tc>
          <w:tcPr>
            <w:tcW w:type="dxa" w:w="1701"/>
          </w:tcPr>
          <w:p>
            <w:r/>
            <w:r>
              <w:rPr>
                <w:b w:val="0"/>
                <w:i w:val="0"/>
                <w:sz w:val="18"/>
              </w:rPr>
              <w:t>Energía — Comb. fósiles</w:t>
            </w:r>
          </w:p>
        </w:tc>
        <w:tc>
          <w:tcPr>
            <w:tcW w:type="dxa" w:w="1701"/>
          </w:tcPr>
          <w:p>
            <w:pPr>
              <w:jc w:val="center"/>
            </w:pPr>
            <w:r/>
            <w:r>
              <w:rPr>
                <w:b w:val="0"/>
                <w:i w:val="0"/>
                <w:sz w:val="18"/>
              </w:rPr>
              <w:t>24</w:t>
            </w:r>
          </w:p>
        </w:tc>
        <w:tc>
          <w:tcPr>
            <w:tcW w:type="dxa" w:w="1701"/>
          </w:tcPr>
          <w:p>
            <w:pPr>
              <w:jc w:val="center"/>
            </w:pPr>
            <w:r/>
            <w:r>
              <w:rPr>
                <w:b w:val="0"/>
                <w:i w:val="0"/>
                <w:sz w:val="18"/>
              </w:rPr>
              <w:t>+0,60</w:t>
            </w:r>
          </w:p>
        </w:tc>
        <w:tc>
          <w:tcPr>
            <w:tcW w:type="dxa" w:w="1701"/>
          </w:tcPr>
          <w:p>
            <w:pPr>
              <w:jc w:val="center"/>
            </w:pPr>
            <w:r/>
            <w:r>
              <w:rPr>
                <w:b w:val="0"/>
                <w:i w:val="0"/>
                <w:sz w:val="18"/>
              </w:rPr>
              <w:t>+0,24</w:t>
            </w:r>
          </w:p>
        </w:tc>
        <w:tc>
          <w:tcPr>
            <w:tcW w:type="dxa" w:w="1701"/>
          </w:tcPr>
          <w:p>
            <w:pPr>
              <w:jc w:val="center"/>
            </w:pPr>
            <w:r/>
            <w:r>
              <w:rPr>
                <w:b w:val="0"/>
                <w:i w:val="0"/>
                <w:sz w:val="18"/>
              </w:rPr>
              <w:t>72,96</w:t>
            </w:r>
          </w:p>
        </w:tc>
      </w:tr>
      <w:tr>
        <w:tc>
          <w:tcPr>
            <w:tcW w:type="dxa" w:w="1701"/>
          </w:tcPr>
          <w:p>
            <w:r/>
            <w:r>
              <w:rPr>
                <w:b w:val="0"/>
                <w:i w:val="0"/>
                <w:sz w:val="18"/>
              </w:rPr>
              <w:t>Alimentos y bebidas</w:t>
            </w:r>
          </w:p>
        </w:tc>
        <w:tc>
          <w:tcPr>
            <w:tcW w:type="dxa" w:w="1701"/>
          </w:tcPr>
          <w:p>
            <w:pPr>
              <w:jc w:val="center"/>
            </w:pPr>
            <w:r/>
            <w:r>
              <w:rPr>
                <w:b w:val="0"/>
                <w:i w:val="0"/>
                <w:sz w:val="18"/>
              </w:rPr>
              <w:t>25</w:t>
            </w:r>
          </w:p>
        </w:tc>
        <w:tc>
          <w:tcPr>
            <w:tcW w:type="dxa" w:w="1701"/>
          </w:tcPr>
          <w:p>
            <w:pPr>
              <w:jc w:val="center"/>
            </w:pPr>
            <w:r/>
            <w:r>
              <w:rPr>
                <w:b w:val="0"/>
                <w:i w:val="0"/>
                <w:sz w:val="18"/>
              </w:rPr>
              <w:t>+0,53</w:t>
            </w:r>
          </w:p>
        </w:tc>
        <w:tc>
          <w:tcPr>
            <w:tcW w:type="dxa" w:w="1701"/>
          </w:tcPr>
          <w:p>
            <w:pPr>
              <w:jc w:val="center"/>
            </w:pPr>
            <w:r/>
            <w:r>
              <w:rPr>
                <w:b w:val="0"/>
                <w:i w:val="0"/>
                <w:sz w:val="18"/>
              </w:rPr>
              <w:t>+0,29</w:t>
            </w:r>
          </w:p>
        </w:tc>
        <w:tc>
          <w:tcPr>
            <w:tcW w:type="dxa" w:w="1701"/>
          </w:tcPr>
          <w:p>
            <w:pPr>
              <w:jc w:val="center"/>
            </w:pPr>
            <w:r/>
            <w:r>
              <w:rPr>
                <w:b w:val="0"/>
                <w:i w:val="0"/>
                <w:sz w:val="18"/>
              </w:rPr>
              <w:t>71,14</w:t>
            </w:r>
          </w:p>
        </w:tc>
      </w:tr>
      <w:tr>
        <w:tc>
          <w:tcPr>
            <w:tcW w:type="dxa" w:w="1701"/>
          </w:tcPr>
          <w:p>
            <w:r/>
            <w:r>
              <w:rPr>
                <w:b w:val="0"/>
                <w:i w:val="0"/>
                <w:sz w:val="18"/>
              </w:rPr>
              <w:t>Servicios industriales</w:t>
            </w:r>
          </w:p>
        </w:tc>
        <w:tc>
          <w:tcPr>
            <w:tcW w:type="dxa" w:w="1701"/>
          </w:tcPr>
          <w:p>
            <w:pPr>
              <w:jc w:val="center"/>
            </w:pPr>
            <w:r/>
            <w:r>
              <w:rPr>
                <w:b w:val="0"/>
                <w:i w:val="0"/>
                <w:sz w:val="18"/>
              </w:rPr>
              <w:t>36</w:t>
            </w:r>
          </w:p>
        </w:tc>
        <w:tc>
          <w:tcPr>
            <w:tcW w:type="dxa" w:w="1701"/>
          </w:tcPr>
          <w:p>
            <w:pPr>
              <w:jc w:val="center"/>
            </w:pPr>
            <w:r/>
            <w:r>
              <w:rPr>
                <w:b w:val="0"/>
                <w:i w:val="0"/>
                <w:sz w:val="18"/>
              </w:rPr>
              <w:t>+0,45</w:t>
            </w:r>
          </w:p>
        </w:tc>
        <w:tc>
          <w:tcPr>
            <w:tcW w:type="dxa" w:w="1701"/>
          </w:tcPr>
          <w:p>
            <w:pPr>
              <w:jc w:val="center"/>
            </w:pPr>
            <w:r/>
            <w:r>
              <w:rPr>
                <w:b w:val="0"/>
                <w:i w:val="0"/>
                <w:sz w:val="18"/>
              </w:rPr>
              <w:t>+0,98</w:t>
            </w:r>
          </w:p>
        </w:tc>
        <w:tc>
          <w:tcPr>
            <w:tcW w:type="dxa" w:w="1701"/>
          </w:tcPr>
          <w:p>
            <w:pPr>
              <w:jc w:val="center"/>
            </w:pPr>
            <w:r/>
            <w:r>
              <w:rPr>
                <w:b w:val="0"/>
                <w:i w:val="0"/>
                <w:sz w:val="18"/>
              </w:rPr>
              <w:t>70,54</w:t>
            </w:r>
          </w:p>
        </w:tc>
      </w:tr>
      <w:tr>
        <w:tc>
          <w:tcPr>
            <w:tcW w:type="dxa" w:w="1701"/>
          </w:tcPr>
          <w:p>
            <w:r/>
            <w:r>
              <w:rPr>
                <w:b w:val="0"/>
                <w:i w:val="0"/>
                <w:sz w:val="18"/>
              </w:rPr>
              <w:t>Bienes industriales</w:t>
            </w:r>
          </w:p>
        </w:tc>
        <w:tc>
          <w:tcPr>
            <w:tcW w:type="dxa" w:w="1701"/>
          </w:tcPr>
          <w:p>
            <w:pPr>
              <w:jc w:val="center"/>
            </w:pPr>
            <w:r/>
            <w:r>
              <w:rPr>
                <w:b w:val="0"/>
                <w:i w:val="0"/>
                <w:sz w:val="18"/>
              </w:rPr>
              <w:t>63</w:t>
            </w:r>
          </w:p>
        </w:tc>
        <w:tc>
          <w:tcPr>
            <w:tcW w:type="dxa" w:w="1701"/>
          </w:tcPr>
          <w:p>
            <w:pPr>
              <w:jc w:val="center"/>
            </w:pPr>
            <w:r/>
            <w:r>
              <w:rPr>
                <w:b w:val="0"/>
                <w:i w:val="0"/>
                <w:sz w:val="18"/>
              </w:rPr>
              <w:t>+0,38</w:t>
            </w:r>
          </w:p>
        </w:tc>
        <w:tc>
          <w:tcPr>
            <w:tcW w:type="dxa" w:w="1701"/>
          </w:tcPr>
          <w:p>
            <w:pPr>
              <w:jc w:val="center"/>
            </w:pPr>
            <w:r/>
            <w:r>
              <w:rPr>
                <w:b w:val="0"/>
                <w:i w:val="0"/>
                <w:sz w:val="18"/>
              </w:rPr>
              <w:t>+1,33</w:t>
            </w:r>
          </w:p>
        </w:tc>
        <w:tc>
          <w:tcPr>
            <w:tcW w:type="dxa" w:w="1701"/>
          </w:tcPr>
          <w:p>
            <w:pPr>
              <w:jc w:val="center"/>
            </w:pPr>
            <w:r/>
            <w:r>
              <w:rPr>
                <w:b w:val="0"/>
                <w:i w:val="0"/>
                <w:sz w:val="18"/>
              </w:rPr>
              <w:t>68,30</w:t>
            </w:r>
          </w:p>
        </w:tc>
      </w:tr>
      <w:tr>
        <w:tc>
          <w:tcPr>
            <w:tcW w:type="dxa" w:w="1701"/>
          </w:tcPr>
          <w:p>
            <w:r/>
            <w:r>
              <w:rPr>
                <w:b w:val="0"/>
                <w:i w:val="0"/>
                <w:sz w:val="18"/>
              </w:rPr>
              <w:t>Química</w:t>
            </w:r>
          </w:p>
        </w:tc>
        <w:tc>
          <w:tcPr>
            <w:tcW w:type="dxa" w:w="1701"/>
          </w:tcPr>
          <w:p>
            <w:pPr>
              <w:jc w:val="center"/>
            </w:pPr>
            <w:r/>
            <w:r>
              <w:rPr>
                <w:b w:val="0"/>
                <w:i w:val="0"/>
                <w:sz w:val="18"/>
              </w:rPr>
              <w:t>21</w:t>
            </w:r>
          </w:p>
        </w:tc>
        <w:tc>
          <w:tcPr>
            <w:tcW w:type="dxa" w:w="1701"/>
          </w:tcPr>
          <w:p>
            <w:pPr>
              <w:jc w:val="center"/>
            </w:pPr>
            <w:r/>
            <w:r>
              <w:rPr>
                <w:b w:val="0"/>
                <w:i w:val="0"/>
                <w:sz w:val="18"/>
              </w:rPr>
              <w:t>+0,35</w:t>
            </w:r>
          </w:p>
        </w:tc>
        <w:tc>
          <w:tcPr>
            <w:tcW w:type="dxa" w:w="1701"/>
          </w:tcPr>
          <w:p>
            <w:pPr>
              <w:jc w:val="center"/>
            </w:pPr>
            <w:r/>
            <w:r>
              <w:rPr>
                <w:b w:val="0"/>
                <w:i w:val="0"/>
                <w:sz w:val="18"/>
              </w:rPr>
              <w:t>−0,40</w:t>
            </w:r>
          </w:p>
        </w:tc>
        <w:tc>
          <w:tcPr>
            <w:tcW w:type="dxa" w:w="1701"/>
          </w:tcPr>
          <w:p>
            <w:pPr>
              <w:jc w:val="center"/>
            </w:pPr>
            <w:r/>
            <w:r>
              <w:rPr>
                <w:b w:val="0"/>
                <w:i w:val="0"/>
                <w:sz w:val="18"/>
              </w:rPr>
              <w:t>70,76</w:t>
            </w:r>
          </w:p>
        </w:tc>
      </w:tr>
      <w:tr>
        <w:tc>
          <w:tcPr>
            <w:tcW w:type="dxa" w:w="1701"/>
          </w:tcPr>
          <w:p>
            <w:r/>
            <w:r>
              <w:rPr>
                <w:b w:val="0"/>
                <w:i w:val="0"/>
                <w:sz w:val="18"/>
              </w:rPr>
              <w:t>Recursos minerales</w:t>
            </w:r>
          </w:p>
        </w:tc>
        <w:tc>
          <w:tcPr>
            <w:tcW w:type="dxa" w:w="1701"/>
          </w:tcPr>
          <w:p>
            <w:pPr>
              <w:jc w:val="center"/>
            </w:pPr>
            <w:r/>
            <w:r>
              <w:rPr>
                <w:b w:val="0"/>
                <w:i w:val="0"/>
                <w:sz w:val="18"/>
              </w:rPr>
              <w:t>22</w:t>
            </w:r>
          </w:p>
        </w:tc>
        <w:tc>
          <w:tcPr>
            <w:tcW w:type="dxa" w:w="1701"/>
          </w:tcPr>
          <w:p>
            <w:pPr>
              <w:jc w:val="center"/>
            </w:pPr>
            <w:r/>
            <w:r>
              <w:rPr>
                <w:b w:val="0"/>
                <w:i w:val="0"/>
                <w:sz w:val="18"/>
              </w:rPr>
              <w:t>+0,05</w:t>
            </w:r>
          </w:p>
        </w:tc>
        <w:tc>
          <w:tcPr>
            <w:tcW w:type="dxa" w:w="1701"/>
          </w:tcPr>
          <w:p>
            <w:pPr>
              <w:jc w:val="center"/>
            </w:pPr>
            <w:r/>
            <w:r>
              <w:rPr>
                <w:b w:val="0"/>
                <w:i w:val="0"/>
                <w:sz w:val="18"/>
              </w:rPr>
              <w:t>+0,26</w:t>
            </w:r>
          </w:p>
        </w:tc>
        <w:tc>
          <w:tcPr>
            <w:tcW w:type="dxa" w:w="1701"/>
          </w:tcPr>
          <w:p>
            <w:pPr>
              <w:jc w:val="center"/>
            </w:pPr>
            <w:r/>
            <w:r>
              <w:rPr>
                <w:b w:val="0"/>
                <w:i w:val="0"/>
                <w:sz w:val="18"/>
              </w:rPr>
              <w:t>71,65</w:t>
            </w:r>
          </w:p>
        </w:tc>
      </w:tr>
      <w:tr>
        <w:tc>
          <w:tcPr>
            <w:tcW w:type="dxa" w:w="1701"/>
          </w:tcPr>
          <w:p>
            <w:r/>
            <w:r>
              <w:rPr>
                <w:b w:val="0"/>
                <w:i w:val="0"/>
                <w:sz w:val="18"/>
              </w:rPr>
              <w:t>Alimentación y distribución</w:t>
            </w:r>
          </w:p>
        </w:tc>
        <w:tc>
          <w:tcPr>
            <w:tcW w:type="dxa" w:w="1701"/>
          </w:tcPr>
          <w:p>
            <w:pPr>
              <w:jc w:val="center"/>
            </w:pPr>
            <w:r/>
            <w:r>
              <w:rPr>
                <w:b w:val="0"/>
                <w:i w:val="0"/>
                <w:sz w:val="18"/>
              </w:rPr>
              <w:t>9</w:t>
            </w:r>
          </w:p>
        </w:tc>
        <w:tc>
          <w:tcPr>
            <w:tcW w:type="dxa" w:w="1701"/>
          </w:tcPr>
          <w:p>
            <w:pPr>
              <w:jc w:val="center"/>
            </w:pPr>
            <w:r/>
            <w:r>
              <w:rPr>
                <w:b w:val="0"/>
                <w:i w:val="0"/>
                <w:sz w:val="18"/>
              </w:rPr>
              <w:t>+0,04</w:t>
            </w:r>
          </w:p>
        </w:tc>
        <w:tc>
          <w:tcPr>
            <w:tcW w:type="dxa" w:w="1701"/>
          </w:tcPr>
          <w:p>
            <w:pPr>
              <w:jc w:val="center"/>
            </w:pPr>
            <w:r/>
            <w:r>
              <w:rPr>
                <w:b w:val="0"/>
                <w:i w:val="0"/>
                <w:sz w:val="18"/>
              </w:rPr>
              <w:t>+0,74</w:t>
            </w:r>
          </w:p>
        </w:tc>
        <w:tc>
          <w:tcPr>
            <w:tcW w:type="dxa" w:w="1701"/>
          </w:tcPr>
          <w:p>
            <w:pPr>
              <w:jc w:val="center"/>
            </w:pPr>
            <w:r/>
            <w:r>
              <w:rPr>
                <w:b w:val="0"/>
                <w:i w:val="0"/>
                <w:sz w:val="18"/>
              </w:rPr>
              <w:t>69,97</w:t>
            </w:r>
          </w:p>
        </w:tc>
      </w:tr>
      <w:tr>
        <w:tc>
          <w:tcPr>
            <w:tcW w:type="dxa" w:w="1701"/>
          </w:tcPr>
          <w:p>
            <w:r/>
            <w:r>
              <w:rPr>
                <w:b w:val="0"/>
                <w:i w:val="0"/>
                <w:sz w:val="18"/>
              </w:rPr>
              <w:t>Utilities (electricidad, agua)</w:t>
            </w:r>
          </w:p>
        </w:tc>
        <w:tc>
          <w:tcPr>
            <w:tcW w:type="dxa" w:w="1701"/>
          </w:tcPr>
          <w:p>
            <w:pPr>
              <w:jc w:val="center"/>
            </w:pPr>
            <w:r/>
            <w:r>
              <w:rPr>
                <w:b w:val="0"/>
                <w:i w:val="0"/>
                <w:sz w:val="18"/>
              </w:rPr>
              <w:t>27</w:t>
            </w:r>
          </w:p>
        </w:tc>
        <w:tc>
          <w:tcPr>
            <w:tcW w:type="dxa" w:w="1701"/>
          </w:tcPr>
          <w:p>
            <w:pPr>
              <w:jc w:val="center"/>
            </w:pPr>
            <w:r/>
            <w:r>
              <w:rPr>
                <w:b w:val="0"/>
                <w:i w:val="0"/>
                <w:sz w:val="18"/>
              </w:rPr>
              <w:t>−0,43</w:t>
            </w:r>
          </w:p>
        </w:tc>
        <w:tc>
          <w:tcPr>
            <w:tcW w:type="dxa" w:w="1701"/>
          </w:tcPr>
          <w:p>
            <w:pPr>
              <w:jc w:val="center"/>
            </w:pPr>
            <w:r/>
            <w:r>
              <w:rPr>
                <w:b w:val="0"/>
                <w:i w:val="0"/>
                <w:sz w:val="18"/>
              </w:rPr>
              <w:t>+0,22</w:t>
            </w:r>
          </w:p>
        </w:tc>
        <w:tc>
          <w:tcPr>
            <w:tcW w:type="dxa" w:w="1701"/>
          </w:tcPr>
          <w:p>
            <w:pPr>
              <w:jc w:val="center"/>
            </w:pPr>
            <w:r/>
            <w:r>
              <w:rPr>
                <w:b w:val="0"/>
                <w:i w:val="0"/>
                <w:sz w:val="18"/>
              </w:rPr>
              <w:t>69,85</w:t>
            </w:r>
          </w:p>
        </w:tc>
      </w:tr>
      <w:tr>
        <w:tc>
          <w:tcPr>
            <w:tcW w:type="dxa" w:w="1701"/>
          </w:tcPr>
          <w:p>
            <w:r/>
            <w:r>
              <w:rPr>
                <w:b w:val="0"/>
                <w:i w:val="0"/>
                <w:sz w:val="18"/>
              </w:rPr>
              <w:t>Telecomunicaciones</w:t>
            </w:r>
          </w:p>
        </w:tc>
        <w:tc>
          <w:tcPr>
            <w:tcW w:type="dxa" w:w="1701"/>
          </w:tcPr>
          <w:p>
            <w:pPr>
              <w:jc w:val="center"/>
            </w:pPr>
            <w:r/>
            <w:r>
              <w:rPr>
                <w:b w:val="0"/>
                <w:i w:val="0"/>
                <w:sz w:val="18"/>
              </w:rPr>
              <w:t>16</w:t>
            </w:r>
          </w:p>
        </w:tc>
        <w:tc>
          <w:tcPr>
            <w:tcW w:type="dxa" w:w="1701"/>
          </w:tcPr>
          <w:p>
            <w:pPr>
              <w:jc w:val="center"/>
            </w:pPr>
            <w:r/>
            <w:r>
              <w:rPr>
                <w:b w:val="0"/>
                <w:i w:val="0"/>
                <w:sz w:val="18"/>
              </w:rPr>
              <w:t>−0,55</w:t>
            </w:r>
          </w:p>
        </w:tc>
        <w:tc>
          <w:tcPr>
            <w:tcW w:type="dxa" w:w="1701"/>
          </w:tcPr>
          <w:p>
            <w:pPr>
              <w:jc w:val="center"/>
            </w:pPr>
            <w:r/>
            <w:r>
              <w:rPr>
                <w:b w:val="0"/>
                <w:i w:val="0"/>
                <w:sz w:val="18"/>
              </w:rPr>
              <w:t>−0,34</w:t>
            </w:r>
          </w:p>
        </w:tc>
        <w:tc>
          <w:tcPr>
            <w:tcW w:type="dxa" w:w="1701"/>
          </w:tcPr>
          <w:p>
            <w:pPr>
              <w:jc w:val="center"/>
            </w:pPr>
            <w:r/>
            <w:r>
              <w:rPr>
                <w:b w:val="0"/>
                <w:i w:val="0"/>
                <w:sz w:val="18"/>
              </w:rPr>
              <w:t>70,24</w:t>
            </w:r>
          </w:p>
        </w:tc>
      </w:tr>
      <w:tr>
        <w:tc>
          <w:tcPr>
            <w:tcW w:type="dxa" w:w="1701"/>
          </w:tcPr>
          <w:p>
            <w:r/>
            <w:r>
              <w:rPr>
                <w:b w:val="0"/>
                <w:i w:val="0"/>
                <w:sz w:val="18"/>
              </w:rPr>
              <w:t>Software y servicios TI</w:t>
            </w:r>
          </w:p>
        </w:tc>
        <w:tc>
          <w:tcPr>
            <w:tcW w:type="dxa" w:w="1701"/>
          </w:tcPr>
          <w:p>
            <w:pPr>
              <w:jc w:val="center"/>
            </w:pPr>
            <w:r/>
            <w:r>
              <w:rPr>
                <w:b w:val="0"/>
                <w:i w:val="0"/>
                <w:sz w:val="18"/>
              </w:rPr>
              <w:t>21</w:t>
            </w:r>
          </w:p>
        </w:tc>
        <w:tc>
          <w:tcPr>
            <w:tcW w:type="dxa" w:w="1701"/>
          </w:tcPr>
          <w:p>
            <w:pPr>
              <w:jc w:val="center"/>
            </w:pPr>
            <w:r/>
            <w:r>
              <w:rPr>
                <w:b w:val="0"/>
                <w:i w:val="0"/>
                <w:sz w:val="18"/>
              </w:rPr>
              <w:t>−0,63</w:t>
            </w:r>
          </w:p>
        </w:tc>
        <w:tc>
          <w:tcPr>
            <w:tcW w:type="dxa" w:w="1701"/>
          </w:tcPr>
          <w:p>
            <w:pPr>
              <w:jc w:val="center"/>
            </w:pPr>
            <w:r/>
            <w:r>
              <w:rPr>
                <w:b w:val="0"/>
                <w:i w:val="0"/>
                <w:sz w:val="18"/>
              </w:rPr>
              <w:t>+0,24</w:t>
            </w:r>
          </w:p>
        </w:tc>
        <w:tc>
          <w:tcPr>
            <w:tcW w:type="dxa" w:w="1701"/>
          </w:tcPr>
          <w:p>
            <w:pPr>
              <w:jc w:val="center"/>
            </w:pPr>
            <w:r/>
            <w:r>
              <w:rPr>
                <w:b w:val="0"/>
                <w:i w:val="0"/>
                <w:sz w:val="18"/>
              </w:rPr>
              <w:t>63,68</w:t>
            </w:r>
          </w:p>
        </w:tc>
      </w:tr>
    </w:tbl>
    <w:p>
      <w:pPr/>
      <w:r>
        <w:rPr>
          <w:i/>
          <w:sz w:val="16"/>
        </w:rPr>
        <w:t>Fuente: elaboración propia. Sectores con ≥ 8 empresas, ordenados de mayor a menor ē.</w:t>
      </w:r>
    </w:p>
    <w:p w14:paraId="6C4D1DA6" w14:textId="577CB287" w:rsidR="0093523A" w:rsidRDefault="0093523A" w:rsidP="00730BD4">
      <w:r>
        <w:rPr>
          <w:szCs w:val="24"/>
        </w:rPr>
        <w:t xml:space="preserve">Entre las empresas concretas con mayor sensibilidad positiva destacan compañías como Carnival, Valeo, Burberry, Alstom o BMW, mientras que las de sensibilidad más negativa corresponden mayoritariamente al sector de defensa e industria pesada, como </w:t>
      </w:r>
      <w:proofErr w:type="spellStart"/>
      <w:r>
        <w:rPr>
          <w:szCs w:val="24"/>
        </w:rPr>
        <w:t>Rheinmetall</w:t>
      </w:r>
      <w:proofErr w:type="spellEnd"/>
      <w:r>
        <w:rPr>
          <w:szCs w:val="24"/>
        </w:rPr>
        <w:t xml:space="preserve">, Saab, Hensoldt o </w:t>
      </w:r>
      <w:proofErr w:type="spellStart"/>
      <w:r>
        <w:rPr>
          <w:szCs w:val="24"/>
        </w:rPr>
        <w:t>thyssenkrupp</w:t>
      </w:r>
      <w:proofErr w:type="spellEnd"/>
      <w:r>
        <w:rPr>
          <w:szCs w:val="24"/>
        </w:rPr>
        <w:t>.</w:t>
      </w:r>
    </w:p>
    <w:p w14:paraId="3822D8D3" w14:textId="0E2E932F" w:rsidR="006C41CD" w:rsidRPr="00730BD4" w:rsidRDefault="006C41CD" w:rsidP="00730BD4">
      <w:pPr>
        <w:pStyle w:val="Ttulo3"/>
        <w:rPr>
          <w:b/>
          <w:bCs/>
          <w:lang w:val="es-ES"/>
        </w:rPr>
      </w:pPr>
      <w:bookmarkStart w:id="22" w:name="_Toc231769141"/>
      <w:r w:rsidRPr="00730BD4">
        <w:rPr>
          <w:b/>
          <w:bCs/>
          <w:lang w:val="es-ES"/>
        </w:rPr>
        <w:lastRenderedPageBreak/>
        <w:t>4.</w:t>
      </w:r>
      <w:r w:rsidR="00730BD4" w:rsidRPr="00730BD4">
        <w:rPr>
          <w:b/>
          <w:bCs/>
          <w:lang w:val="es-ES"/>
        </w:rPr>
        <w:t>6 Comparación entre el modelo de tres y cuatro factores</w:t>
      </w:r>
      <w:bookmarkEnd w:id="22"/>
    </w:p>
    <w:p>
      <w:pPr/>
      <w:r>
        <w:rPr>
          <w:b/>
          <w:sz w:val="18"/>
        </w:rPr>
        <w:t>Tabla 8. Comparación del modelo FF3F y FF4F-ESG sobre 431 acciones</w:t>
      </w:r>
    </w:p>
    <w:tbl>
      <w:tblPr>
        <w:tblStyle w:val="Tablanormal2"/>
        <w:tblW w:type="auto" w:w="0"/>
        <w:tblLook w:firstColumn="1" w:firstRow="1" w:lastColumn="0" w:lastRow="0" w:noHBand="0" w:noVBand="1" w:val="04A0"/>
      </w:tblPr>
      <w:tblGrid>
        <w:gridCol w:w="2835"/>
        <w:gridCol w:w="2835"/>
        <w:gridCol w:w="2835"/>
      </w:tblGrid>
      <w:tr>
        <w:tc>
          <w:tcPr>
            <w:tcW w:type="dxa" w:w="2835"/>
            <w:shd w:val="clear" w:color="auto" w:fill="D0D0D0"/>
          </w:tcPr>
          <w:p>
            <w:r/>
            <w:r>
              <w:rPr>
                <w:b/>
                <w:i w:val="0"/>
                <w:sz w:val="18"/>
              </w:rPr>
              <w:t>Estadístico</w:t>
            </w:r>
          </w:p>
        </w:tc>
        <w:tc>
          <w:tcPr>
            <w:tcW w:type="dxa" w:w="2835"/>
            <w:shd w:val="clear" w:color="auto" w:fill="D0D0D0"/>
          </w:tcPr>
          <w:p>
            <w:pPr>
              <w:jc w:val="center"/>
            </w:pPr>
            <w:r/>
            <w:r>
              <w:rPr>
                <w:b/>
                <w:i w:val="0"/>
                <w:sz w:val="18"/>
              </w:rPr>
              <w:t>FF3F</w:t>
            </w:r>
          </w:p>
        </w:tc>
        <w:tc>
          <w:tcPr>
            <w:tcW w:type="dxa" w:w="2835"/>
            <w:shd w:val="clear" w:color="auto" w:fill="D0D0D0"/>
          </w:tcPr>
          <w:p>
            <w:pPr>
              <w:jc w:val="center"/>
            </w:pPr>
            <w:r/>
            <w:r>
              <w:rPr>
                <w:b/>
                <w:i w:val="0"/>
                <w:sz w:val="18"/>
              </w:rPr>
              <w:t>FF4F-ESG</w:t>
            </w:r>
          </w:p>
        </w:tc>
      </w:tr>
      <w:tr>
        <w:tc>
          <w:tcPr>
            <w:tcW w:type="dxa" w:w="2835"/>
          </w:tcPr>
          <w:p>
            <w:r/>
            <w:r>
              <w:rPr>
                <w:b w:val="0"/>
                <w:i w:val="0"/>
                <w:sz w:val="18"/>
              </w:rPr>
              <w:t>ᾱ medio (%/mes)</w:t>
            </w:r>
          </w:p>
        </w:tc>
        <w:tc>
          <w:tcPr>
            <w:tcW w:type="dxa" w:w="2835"/>
          </w:tcPr>
          <w:p>
            <w:pPr>
              <w:jc w:val="center"/>
            </w:pPr>
            <w:r/>
            <w:r>
              <w:rPr>
                <w:b w:val="0"/>
                <w:i w:val="0"/>
                <w:sz w:val="18"/>
              </w:rPr>
              <w:t>+0,377</w:t>
            </w:r>
          </w:p>
        </w:tc>
        <w:tc>
          <w:tcPr>
            <w:tcW w:type="dxa" w:w="2835"/>
          </w:tcPr>
          <w:p>
            <w:pPr>
              <w:jc w:val="center"/>
            </w:pPr>
            <w:r/>
            <w:r>
              <w:rPr>
                <w:b w:val="0"/>
                <w:i w:val="0"/>
                <w:sz w:val="18"/>
              </w:rPr>
              <w:t>+0,728</w:t>
            </w:r>
          </w:p>
        </w:tc>
      </w:tr>
      <w:tr>
        <w:tc>
          <w:tcPr>
            <w:tcW w:type="dxa" w:w="2835"/>
          </w:tcPr>
          <w:p>
            <w:r/>
            <w:r>
              <w:rPr>
                <w:b w:val="0"/>
                <w:i w:val="0"/>
                <w:sz w:val="18"/>
              </w:rPr>
              <w:t>β̄ (MKT) medio</w:t>
            </w:r>
          </w:p>
        </w:tc>
        <w:tc>
          <w:tcPr>
            <w:tcW w:type="dxa" w:w="2835"/>
          </w:tcPr>
          <w:p>
            <w:pPr>
              <w:jc w:val="center"/>
            </w:pPr>
            <w:r/>
            <w:r>
              <w:rPr>
                <w:b w:val="0"/>
                <w:i w:val="0"/>
                <w:sz w:val="18"/>
              </w:rPr>
              <w:t>+0,686</w:t>
            </w:r>
          </w:p>
        </w:tc>
        <w:tc>
          <w:tcPr>
            <w:tcW w:type="dxa" w:w="2835"/>
          </w:tcPr>
          <w:p>
            <w:pPr>
              <w:jc w:val="center"/>
            </w:pPr>
            <w:r/>
            <w:r>
              <w:rPr>
                <w:b w:val="0"/>
                <w:i w:val="0"/>
                <w:sz w:val="18"/>
              </w:rPr>
              <w:t>+0,686</w:t>
            </w:r>
          </w:p>
        </w:tc>
      </w:tr>
      <w:tr>
        <w:tc>
          <w:tcPr>
            <w:tcW w:type="dxa" w:w="2835"/>
          </w:tcPr>
          <w:p>
            <w:r/>
            <w:r>
              <w:rPr>
                <w:b w:val="0"/>
                <w:i w:val="0"/>
                <w:sz w:val="18"/>
              </w:rPr>
              <w:t>s̄ (SMB) medio</w:t>
            </w:r>
          </w:p>
        </w:tc>
        <w:tc>
          <w:tcPr>
            <w:tcW w:type="dxa" w:w="2835"/>
          </w:tcPr>
          <w:p>
            <w:pPr>
              <w:jc w:val="center"/>
            </w:pPr>
            <w:r/>
            <w:r>
              <w:rPr>
                <w:b w:val="0"/>
                <w:i w:val="0"/>
                <w:sz w:val="18"/>
              </w:rPr>
              <w:t>—</w:t>
            </w:r>
          </w:p>
        </w:tc>
        <w:tc>
          <w:tcPr>
            <w:tcW w:type="dxa" w:w="2835"/>
          </w:tcPr>
          <w:p>
            <w:pPr>
              <w:jc w:val="center"/>
            </w:pPr>
            <w:r/>
            <w:r>
              <w:rPr>
                <w:b w:val="0"/>
                <w:i w:val="0"/>
                <w:sz w:val="18"/>
              </w:rPr>
              <w:t>+0,221</w:t>
            </w:r>
          </w:p>
        </w:tc>
      </w:tr>
      <w:tr>
        <w:tc>
          <w:tcPr>
            <w:tcW w:type="dxa" w:w="2835"/>
          </w:tcPr>
          <w:p>
            <w:r/>
            <w:r>
              <w:rPr>
                <w:b w:val="0"/>
                <w:i w:val="0"/>
                <w:sz w:val="18"/>
              </w:rPr>
              <w:t>h̄ (HML) medio</w:t>
            </w:r>
          </w:p>
        </w:tc>
        <w:tc>
          <w:tcPr>
            <w:tcW w:type="dxa" w:w="2835"/>
          </w:tcPr>
          <w:p>
            <w:pPr>
              <w:jc w:val="center"/>
            </w:pPr>
            <w:r/>
            <w:r>
              <w:rPr>
                <w:b w:val="0"/>
                <w:i w:val="0"/>
                <w:sz w:val="18"/>
              </w:rPr>
              <w:t>—</w:t>
            </w:r>
          </w:p>
        </w:tc>
        <w:tc>
          <w:tcPr>
            <w:tcW w:type="dxa" w:w="2835"/>
          </w:tcPr>
          <w:p>
            <w:pPr>
              <w:jc w:val="center"/>
            </w:pPr>
            <w:r/>
            <w:r>
              <w:rPr>
                <w:b w:val="0"/>
                <w:i w:val="0"/>
                <w:sz w:val="18"/>
              </w:rPr>
              <w:t>−0,238</w:t>
            </w:r>
          </w:p>
        </w:tc>
      </w:tr>
      <w:tr>
        <w:tc>
          <w:tcPr>
            <w:tcW w:type="dxa" w:w="2835"/>
          </w:tcPr>
          <w:p>
            <w:r/>
            <w:r>
              <w:rPr>
                <w:b w:val="0"/>
                <w:i w:val="0"/>
                <w:sz w:val="18"/>
              </w:rPr>
              <w:t>ē (GMB) medio</w:t>
            </w:r>
          </w:p>
        </w:tc>
        <w:tc>
          <w:tcPr>
            <w:tcW w:type="dxa" w:w="2835"/>
          </w:tcPr>
          <w:p>
            <w:pPr>
              <w:jc w:val="center"/>
            </w:pPr>
            <w:r/>
            <w:r>
              <w:rPr>
                <w:b w:val="0"/>
                <w:i w:val="0"/>
                <w:sz w:val="18"/>
              </w:rPr>
              <w:t>—</w:t>
            </w:r>
          </w:p>
        </w:tc>
        <w:tc>
          <w:tcPr>
            <w:tcW w:type="dxa" w:w="2835"/>
          </w:tcPr>
          <w:p>
            <w:pPr>
              <w:jc w:val="center"/>
            </w:pPr>
            <w:r/>
            <w:r>
              <w:rPr>
                <w:b w:val="0"/>
                <w:i w:val="0"/>
                <w:sz w:val="18"/>
              </w:rPr>
              <w:t>+0,490</w:t>
            </w:r>
          </w:p>
        </w:tc>
      </w:tr>
      <w:tr>
        <w:tc>
          <w:tcPr>
            <w:tcW w:type="dxa" w:w="2835"/>
          </w:tcPr>
          <w:p>
            <w:r/>
            <w:r>
              <w:rPr>
                <w:b w:val="0"/>
                <w:i w:val="0"/>
                <w:sz w:val="18"/>
              </w:rPr>
              <w:t>R̄² ajustado medio</w:t>
            </w:r>
          </w:p>
        </w:tc>
        <w:tc>
          <w:tcPr>
            <w:tcW w:type="dxa" w:w="2835"/>
          </w:tcPr>
          <w:p>
            <w:pPr>
              <w:jc w:val="center"/>
            </w:pPr>
            <w:r/>
            <w:r>
              <w:rPr>
                <w:b w:val="0"/>
                <w:i w:val="0"/>
                <w:sz w:val="18"/>
              </w:rPr>
              <w:t>0,2242</w:t>
            </w:r>
          </w:p>
        </w:tc>
        <w:tc>
          <w:tcPr>
            <w:tcW w:type="dxa" w:w="2835"/>
          </w:tcPr>
          <w:p>
            <w:pPr>
              <w:jc w:val="center"/>
            </w:pPr>
            <w:r/>
            <w:r>
              <w:rPr>
                <w:b w:val="0"/>
                <w:i w:val="0"/>
                <w:sz w:val="18"/>
              </w:rPr>
              <w:t>0,2339</w:t>
            </w:r>
          </w:p>
        </w:tc>
      </w:tr>
      <w:tr>
        <w:tc>
          <w:tcPr>
            <w:tcW w:type="dxa" w:w="2835"/>
          </w:tcPr>
          <w:p>
            <w:r/>
            <w:r>
              <w:rPr>
                <w:b w:val="0"/>
                <w:i w:val="0"/>
                <w:sz w:val="18"/>
              </w:rPr>
              <w:t>ΔR̄²</w:t>
            </w:r>
          </w:p>
        </w:tc>
        <w:tc>
          <w:tcPr>
            <w:tcW w:type="dxa" w:w="2835"/>
          </w:tcPr>
          <w:p>
            <w:pPr>
              <w:jc w:val="center"/>
            </w:pPr>
            <w:r/>
            <w:r>
              <w:rPr>
                <w:b w:val="0"/>
                <w:i w:val="0"/>
                <w:sz w:val="18"/>
              </w:rPr>
              <w:t>—</w:t>
            </w:r>
          </w:p>
        </w:tc>
        <w:tc>
          <w:tcPr>
            <w:tcW w:type="dxa" w:w="2835"/>
          </w:tcPr>
          <w:p>
            <w:pPr>
              <w:jc w:val="center"/>
            </w:pPr>
            <w:r/>
            <w:r>
              <w:rPr>
                <w:b w:val="0"/>
                <w:i w:val="0"/>
                <w:sz w:val="18"/>
              </w:rPr>
              <w:t>+0,0097 (+0,97 pp)</w:t>
            </w:r>
          </w:p>
        </w:tc>
      </w:tr>
      <w:tr>
        <w:tc>
          <w:tcPr>
            <w:tcW w:type="dxa" w:w="2835"/>
          </w:tcPr>
          <w:p>
            <w:r/>
            <w:r>
              <w:rPr>
                <w:b w:val="0"/>
                <w:i w:val="0"/>
                <w:sz w:val="18"/>
              </w:rPr>
              <w:t>Acciones con α sig. (p&lt;0,05)</w:t>
            </w:r>
          </w:p>
        </w:tc>
        <w:tc>
          <w:tcPr>
            <w:tcW w:type="dxa" w:w="2835"/>
          </w:tcPr>
          <w:p>
            <w:pPr>
              <w:jc w:val="center"/>
            </w:pPr>
            <w:r/>
            <w:r>
              <w:rPr>
                <w:b w:val="0"/>
                <w:i w:val="0"/>
                <w:sz w:val="18"/>
              </w:rPr>
              <w:t>64 (14,8 %)</w:t>
            </w:r>
          </w:p>
        </w:tc>
        <w:tc>
          <w:tcPr>
            <w:tcW w:type="dxa" w:w="2835"/>
          </w:tcPr>
          <w:p>
            <w:pPr>
              <w:jc w:val="center"/>
            </w:pPr>
            <w:r/>
            <w:r>
              <w:rPr>
                <w:b w:val="0"/>
                <w:i w:val="0"/>
                <w:sz w:val="18"/>
              </w:rPr>
              <w:t>56 (13,0 %)</w:t>
            </w:r>
          </w:p>
        </w:tc>
      </w:tr>
      <w:tr>
        <w:tc>
          <w:tcPr>
            <w:tcW w:type="dxa" w:w="2835"/>
          </w:tcPr>
          <w:p>
            <w:r/>
            <w:r>
              <w:rPr>
                <w:b w:val="0"/>
                <w:i w:val="0"/>
                <w:sz w:val="18"/>
              </w:rPr>
              <w:t>Acciones con ē sig. (p&lt;0,05)</w:t>
            </w:r>
          </w:p>
        </w:tc>
        <w:tc>
          <w:tcPr>
            <w:tcW w:type="dxa" w:w="2835"/>
          </w:tcPr>
          <w:p>
            <w:pPr>
              <w:jc w:val="center"/>
            </w:pPr>
            <w:r/>
            <w:r>
              <w:rPr>
                <w:b w:val="0"/>
                <w:i w:val="0"/>
                <w:sz w:val="18"/>
              </w:rPr>
              <w:t>—</w:t>
            </w:r>
          </w:p>
        </w:tc>
        <w:tc>
          <w:tcPr>
            <w:tcW w:type="dxa" w:w="2835"/>
          </w:tcPr>
          <w:p>
            <w:pPr>
              <w:jc w:val="center"/>
            </w:pPr>
            <w:r/>
            <w:r>
              <w:rPr>
                <w:b w:val="0"/>
                <w:i w:val="0"/>
                <w:sz w:val="18"/>
              </w:rPr>
              <w:t>81 (18,8 %)</w:t>
            </w:r>
          </w:p>
        </w:tc>
      </w:tr>
      <w:tr>
        <w:tc>
          <w:tcPr>
            <w:tcW w:type="dxa" w:w="2835"/>
          </w:tcPr>
          <w:p>
            <w:r/>
            <w:r>
              <w:rPr>
                <w:b w:val="0"/>
                <w:i w:val="0"/>
                <w:sz w:val="18"/>
              </w:rPr>
              <w:t xml:space="preserve">  de las cuales ē &gt; 0 y sig.</w:t>
            </w:r>
          </w:p>
        </w:tc>
        <w:tc>
          <w:tcPr>
            <w:tcW w:type="dxa" w:w="2835"/>
          </w:tcPr>
          <w:p>
            <w:pPr>
              <w:jc w:val="center"/>
            </w:pPr>
            <w:r/>
            <w:r>
              <w:rPr>
                <w:b w:val="0"/>
                <w:i w:val="0"/>
                <w:sz w:val="18"/>
              </w:rPr>
              <w:t>—</w:t>
            </w:r>
          </w:p>
        </w:tc>
        <w:tc>
          <w:tcPr>
            <w:tcW w:type="dxa" w:w="2835"/>
          </w:tcPr>
          <w:p>
            <w:pPr>
              <w:jc w:val="center"/>
            </w:pPr>
            <w:r/>
            <w:r>
              <w:rPr>
                <w:b w:val="0"/>
                <w:i w:val="0"/>
                <w:sz w:val="18"/>
              </w:rPr>
              <w:t>66 (15,3 %)</w:t>
            </w:r>
          </w:p>
        </w:tc>
      </w:tr>
      <w:tr>
        <w:tc>
          <w:tcPr>
            <w:tcW w:type="dxa" w:w="2835"/>
          </w:tcPr>
          <w:p>
            <w:r/>
            <w:r>
              <w:rPr>
                <w:b w:val="0"/>
                <w:i w:val="0"/>
                <w:sz w:val="18"/>
              </w:rPr>
              <w:t xml:space="preserve">  de las cuales ē &lt; 0 y sig.</w:t>
            </w:r>
          </w:p>
        </w:tc>
        <w:tc>
          <w:tcPr>
            <w:tcW w:type="dxa" w:w="2835"/>
          </w:tcPr>
          <w:p>
            <w:pPr>
              <w:jc w:val="center"/>
            </w:pPr>
            <w:r/>
            <w:r>
              <w:rPr>
                <w:b w:val="0"/>
                <w:i w:val="0"/>
                <w:sz w:val="18"/>
              </w:rPr>
              <w:t>—</w:t>
            </w:r>
          </w:p>
        </w:tc>
        <w:tc>
          <w:tcPr>
            <w:tcW w:type="dxa" w:w="2835"/>
          </w:tcPr>
          <w:p>
            <w:pPr>
              <w:jc w:val="center"/>
            </w:pPr>
            <w:r/>
            <w:r>
              <w:rPr>
                <w:b w:val="0"/>
                <w:i w:val="0"/>
                <w:sz w:val="18"/>
              </w:rPr>
              <w:t>15 (3,5 %)</w:t>
            </w:r>
          </w:p>
        </w:tc>
      </w:tr>
    </w:tbl>
    <w:p>
      <w:pPr/>
      <w:r>
        <w:rPr>
          <w:i/>
          <w:sz w:val="16"/>
        </w:rPr>
        <w:t>Fuente: elaboración propia. Errores estándar HAC Newey-West (3 retardos). Test de medias de ē: t=+7,23, p&lt;0,001.</w:t>
      </w:r>
    </w:p>
    <w:p w14:paraId="67E3E87B" w14:textId="001D0891" w:rsidR="000601C9" w:rsidRDefault="00730BD4" w:rsidP="00730BD4">
      <w:pPr>
        <w:rPr>
          <w:szCs w:val="24"/>
        </w:rPr>
      </w:pPr>
      <w:r>
        <w:rPr>
          <w:szCs w:val="24"/>
        </w:rPr>
        <w:t xml:space="preserve"> </w:t>
      </w:r>
      <w:r w:rsidR="000601C9" w:rsidRPr="000601C9">
        <w:rPr>
          <w:b/>
          <w:bCs/>
          <w:color w:val="C00000"/>
          <w:szCs w:val="24"/>
        </w:rPr>
        <w:drawing>
          <wp:inline distT="0" distB="0" distL="0" distR="0" wp14:anchorId="4497DFD1" wp14:editId="11722C38">
            <wp:extent cx="2619394" cy="647705"/>
            <wp:effectExtent l="0" t="0" r="0" b="0"/>
            <wp:docPr id="57364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9670" name=""/>
                    <pic:cNvPicPr/>
                  </pic:nvPicPr>
                  <pic:blipFill>
                    <a:blip r:embed="rId14"/>
                    <a:stretch>
                      <a:fillRect/>
                    </a:stretch>
                  </pic:blipFill>
                  <pic:spPr>
                    <a:xfrm>
                      <a:off x="0" y="0"/>
                      <a:ext cx="2619394" cy="647705"/>
                    </a:xfrm>
                    <a:prstGeom prst="rect">
                      <a:avLst/>
                    </a:prstGeom>
                  </pic:spPr>
                </pic:pic>
              </a:graphicData>
            </a:graphic>
          </wp:inline>
        </w:drawing>
      </w:r>
    </w:p>
    <w:p w14:paraId="5B62A9BF" w14:textId="64172B45" w:rsidR="00730BD4" w:rsidRDefault="00730BD4" w:rsidP="00730BD4">
      <w:pPr>
        <w:rPr>
          <w:szCs w:val="24"/>
        </w:rPr>
      </w:pPr>
      <w:r>
        <w:rPr>
          <w:szCs w:val="24"/>
        </w:rPr>
        <w:t>En términos generales, la incorporación del factor ESG mejora ligeramente el ajuste del modelo y modifica el alfa de aquellas empresas con mayor exposición al factor, lo que respalda la pertinencia de su inclusión.</w:t>
      </w:r>
    </w:p>
    <w:p w14:paraId="036018E1" w14:textId="5BA175FD" w:rsidR="0093523A" w:rsidRDefault="000601C9" w:rsidP="00730BD4">
      <w:r>
        <w:rPr>
          <w:noProof/>
        </w:rPr>
        <w:drawing>
          <wp:inline distT="0" distB="0" distL="0" distR="0" wp14:anchorId="6A0B7A46" wp14:editId="4D1F9CD8">
            <wp:extent cx="5398770" cy="3597275"/>
            <wp:effectExtent l="0" t="0" r="0" b="3175"/>
            <wp:docPr id="11097213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770" cy="3597275"/>
                    </a:xfrm>
                    <a:prstGeom prst="rect">
                      <a:avLst/>
                    </a:prstGeom>
                    <a:noFill/>
                    <a:ln>
                      <a:noFill/>
                    </a:ln>
                  </pic:spPr>
                </pic:pic>
              </a:graphicData>
            </a:graphic>
          </wp:inline>
        </w:drawing>
      </w:r>
    </w:p>
    <w:p w14:paraId="1C0A2D7C" w14:textId="5BA175FD" w:rsidR="00730BD4" w:rsidRDefault="00730BD4" w:rsidP="00730BD4">
      <w:pPr>
        <w:pStyle w:val="Ttulo2"/>
      </w:pPr>
      <w:bookmarkStart w:id="23" w:name="_Toc231769142"/>
      <w:r>
        <w:rPr>
          <w:rFonts w:ascii="Times New Roman" w:eastAsia="Times New Roman" w:hAnsi="Times New Roman" w:cs="Times New Roman"/>
          <w:b/>
          <w:bCs/>
          <w:sz w:val="26"/>
          <w:szCs w:val="26"/>
        </w:rPr>
        <w:lastRenderedPageBreak/>
        <w:t>4.7. Análisis complementario: descomposición del riesgo en el IBEX 35</w:t>
      </w:r>
      <w:bookmarkEnd w:id="23"/>
    </w:p>
    <w:p w14:paraId="4508C588" w14:textId="77777777" w:rsidR="00730BD4" w:rsidRDefault="00730BD4" w:rsidP="00730BD4">
      <w:r>
        <w:rPr>
          <w:szCs w:val="24"/>
        </w:rPr>
        <w:t>Como análisis complementario centrado en el mercado español, se aplicó una descomposición del coeficiente de determinación (R²) del modelo de cuatro factores mediante valores de Shapley a las diez empresas de mayor capitalización del IBEX 35, excluyendo las entidades financieras e inmobiliarias en coherencia con los criterios de selección de la muestra. Los valores de Shapley, procedentes de la teoría de juegos cooperativos, permiten repartir de forma unívoca y equitativa el R² total del modelo entre los cuatro factores explicativos, atendiendo a la contribución marginal media de cada uno sobre todas las combinaciones posibles de los restantes. Se utilizó el mismo factor ESG europeo construido en el trabajo, de modo que el análisis es plenamente consistente con el resto del estudio.</w:t>
      </w:r>
    </w:p>
    <w:p w14:paraId="7C8EBCA8" w14:textId="77777777" w:rsidR="00730BD4" w:rsidRDefault="00730BD4" w:rsidP="00730BD4">
      <w:r>
        <w:rPr>
          <w:szCs w:val="24"/>
        </w:rPr>
        <w:t>La Tabla 6 presenta la contribución relativa de cada factor al R² de cada empresa, expresada como porcentaje del poder explicativo total del modelo.</w:t>
      </w:r>
    </w:p>
    <w:p w14:paraId="0AE87976" w14:textId="77777777" w:rsidR="00730BD4" w:rsidRDefault="00730BD4" w:rsidP="00730BD4">
      <w:pPr>
        <w:spacing w:before="120" w:after="60"/>
      </w:pPr>
      <w:r>
        <w:rPr>
          <w:b/>
          <w:bCs/>
          <w:sz w:val="22"/>
        </w:rPr>
        <w:t xml:space="preserve">Tabla 6. Descomposición del R² por factor (Shapley </w:t>
      </w:r>
      <w:proofErr w:type="spellStart"/>
      <w:r>
        <w:rPr>
          <w:b/>
          <w:bCs/>
          <w:sz w:val="22"/>
        </w:rPr>
        <w:t>values</w:t>
      </w:r>
      <w:proofErr w:type="spellEnd"/>
      <w:r>
        <w:rPr>
          <w:b/>
          <w:bCs/>
          <w:sz w:val="22"/>
        </w:rPr>
        <w:t>) en las 10 mayores empresas del IBEX 35 (% del R² explicado)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1509"/>
        <w:gridCol w:w="1457"/>
        <w:gridCol w:w="1464"/>
        <w:gridCol w:w="1451"/>
        <w:gridCol w:w="922"/>
      </w:tblGrid>
      <w:tr w:rsidR="00730BD4" w14:paraId="11107A9D"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388643C" w14:textId="77777777" w:rsidR="00730BD4" w:rsidRDefault="00730BD4" w:rsidP="00D012BC">
            <w:pPr>
              <w:jc w:val="center"/>
            </w:pPr>
            <w:r>
              <w:rPr>
                <w:b/>
                <w:bCs/>
                <w:color w:val="FFFFFF"/>
                <w:sz w:val="20"/>
                <w:szCs w:val="20"/>
              </w:rPr>
              <w:t>Empresa</w:t>
            </w:r>
          </w:p>
        </w:tc>
        <w:tc>
          <w:tcPr>
            <w:tcW w:w="162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727A0665" w14:textId="77777777" w:rsidR="00730BD4" w:rsidRDefault="00730BD4" w:rsidP="00D012BC">
            <w:pPr>
              <w:jc w:val="center"/>
            </w:pPr>
            <w:r>
              <w:rPr>
                <w:b/>
                <w:bCs/>
                <w:color w:val="FFFFFF"/>
                <w:sz w:val="20"/>
                <w:szCs w:val="20"/>
              </w:rPr>
              <w:t>MKTRF</w:t>
            </w:r>
          </w:p>
        </w:tc>
        <w:tc>
          <w:tcPr>
            <w:tcW w:w="162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4E543E29" w14:textId="77777777" w:rsidR="00730BD4" w:rsidRDefault="00730BD4" w:rsidP="00D012BC">
            <w:pPr>
              <w:jc w:val="center"/>
            </w:pPr>
            <w:r>
              <w:rPr>
                <w:b/>
                <w:bCs/>
                <w:color w:val="FFFFFF"/>
                <w:sz w:val="20"/>
                <w:szCs w:val="20"/>
              </w:rPr>
              <w:t>SMB</w:t>
            </w:r>
          </w:p>
        </w:tc>
        <w:tc>
          <w:tcPr>
            <w:tcW w:w="162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0E19346" w14:textId="77777777" w:rsidR="00730BD4" w:rsidRDefault="00730BD4" w:rsidP="00D012BC">
            <w:pPr>
              <w:jc w:val="center"/>
            </w:pPr>
            <w:r>
              <w:rPr>
                <w:b/>
                <w:bCs/>
                <w:color w:val="FFFFFF"/>
                <w:sz w:val="20"/>
                <w:szCs w:val="20"/>
              </w:rPr>
              <w:t>HML</w:t>
            </w:r>
          </w:p>
        </w:tc>
        <w:tc>
          <w:tcPr>
            <w:tcW w:w="1625"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38DB98E1" w14:textId="77777777" w:rsidR="00730BD4" w:rsidRDefault="00730BD4" w:rsidP="00D012BC">
            <w:pPr>
              <w:jc w:val="center"/>
            </w:pPr>
            <w:r>
              <w:rPr>
                <w:b/>
                <w:bCs/>
                <w:color w:val="FFFFFF"/>
                <w:sz w:val="20"/>
                <w:szCs w:val="20"/>
              </w:rPr>
              <w:t>ESG</w:t>
            </w:r>
          </w:p>
        </w:tc>
        <w:tc>
          <w:tcPr>
            <w:tcW w:w="100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5B84CF45" w14:textId="77777777" w:rsidR="00730BD4" w:rsidRDefault="00730BD4" w:rsidP="00D012BC">
            <w:pPr>
              <w:jc w:val="center"/>
            </w:pPr>
            <w:r>
              <w:rPr>
                <w:b/>
                <w:bCs/>
                <w:color w:val="FFFFFF"/>
                <w:sz w:val="20"/>
                <w:szCs w:val="20"/>
              </w:rPr>
              <w:t>R²</w:t>
            </w:r>
          </w:p>
        </w:tc>
      </w:tr>
      <w:tr w:rsidR="00730BD4" w14:paraId="45F6F357"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03C85C5" w14:textId="77777777" w:rsidR="00730BD4" w:rsidRDefault="00730BD4" w:rsidP="00D012BC">
            <w:r>
              <w:rPr>
                <w:sz w:val="20"/>
                <w:szCs w:val="20"/>
              </w:rPr>
              <w:t>Inditex</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CE49AE6" w14:textId="77777777" w:rsidR="00730BD4" w:rsidRDefault="00730BD4" w:rsidP="00D012BC">
            <w:pPr>
              <w:jc w:val="center"/>
            </w:pPr>
            <w:r>
              <w:rPr>
                <w:sz w:val="20"/>
                <w:szCs w:val="20"/>
              </w:rPr>
              <w:t>83,6 %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9175C93" w14:textId="77777777" w:rsidR="00730BD4" w:rsidRDefault="00730BD4" w:rsidP="00D012BC">
            <w:pPr>
              <w:jc w:val="center"/>
            </w:pPr>
            <w:r>
              <w:rPr>
                <w:sz w:val="20"/>
                <w:szCs w:val="20"/>
              </w:rPr>
              <w:t>8,9 %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0471FFC" w14:textId="77777777" w:rsidR="00730BD4" w:rsidRDefault="00730BD4" w:rsidP="00D012BC">
            <w:pPr>
              <w:jc w:val="center"/>
            </w:pPr>
            <w:r>
              <w:rPr>
                <w:sz w:val="20"/>
                <w:szCs w:val="20"/>
              </w:rPr>
              <w:t>3,0 %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3A2E34F" w14:textId="77777777" w:rsidR="00730BD4" w:rsidRDefault="00730BD4" w:rsidP="00D012BC">
            <w:pPr>
              <w:jc w:val="center"/>
            </w:pPr>
            <w:r>
              <w:rPr>
                <w:sz w:val="20"/>
                <w:szCs w:val="20"/>
              </w:rPr>
              <w:t>4,4 %</w:t>
            </w:r>
          </w:p>
        </w:tc>
        <w:tc>
          <w:tcPr>
            <w:tcW w:w="10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AF72299" w14:textId="77777777" w:rsidR="00730BD4" w:rsidRDefault="00730BD4" w:rsidP="00D012BC">
            <w:pPr>
              <w:jc w:val="center"/>
            </w:pPr>
            <w:r>
              <w:rPr>
                <w:sz w:val="20"/>
                <w:szCs w:val="20"/>
              </w:rPr>
              <w:t>0,35</w:t>
            </w:r>
          </w:p>
        </w:tc>
      </w:tr>
      <w:tr w:rsidR="00730BD4" w14:paraId="09DDD38F"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DE22D71" w14:textId="77777777" w:rsidR="00730BD4" w:rsidRDefault="00730BD4" w:rsidP="00D012BC">
            <w:r>
              <w:rPr>
                <w:sz w:val="20"/>
                <w:szCs w:val="20"/>
              </w:rPr>
              <w:t>Iberdrola</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8F623E9" w14:textId="77777777" w:rsidR="00730BD4" w:rsidRDefault="00730BD4" w:rsidP="00D012BC">
            <w:pPr>
              <w:jc w:val="center"/>
            </w:pPr>
            <w:r>
              <w:rPr>
                <w:sz w:val="20"/>
                <w:szCs w:val="20"/>
              </w:rPr>
              <w:t>94,4 %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5CC9601" w14:textId="77777777" w:rsidR="00730BD4" w:rsidRDefault="00730BD4" w:rsidP="00D012BC">
            <w:pPr>
              <w:jc w:val="center"/>
            </w:pPr>
            <w:r>
              <w:rPr>
                <w:sz w:val="20"/>
                <w:szCs w:val="20"/>
              </w:rPr>
              <w:t>1,2 %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4A3A7F0" w14:textId="77777777" w:rsidR="00730BD4" w:rsidRDefault="00730BD4" w:rsidP="00D012BC">
            <w:pPr>
              <w:jc w:val="center"/>
            </w:pPr>
            <w:r>
              <w:rPr>
                <w:sz w:val="20"/>
                <w:szCs w:val="20"/>
              </w:rPr>
              <w:t>2,0 %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56E7A87" w14:textId="77777777" w:rsidR="00730BD4" w:rsidRDefault="00730BD4" w:rsidP="00D012BC">
            <w:pPr>
              <w:jc w:val="center"/>
            </w:pPr>
            <w:r>
              <w:rPr>
                <w:sz w:val="20"/>
                <w:szCs w:val="20"/>
              </w:rPr>
              <w:t>2,3 %</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A5F6CCE" w14:textId="77777777" w:rsidR="00730BD4" w:rsidRDefault="00730BD4" w:rsidP="00D012BC">
            <w:pPr>
              <w:jc w:val="center"/>
            </w:pPr>
            <w:r>
              <w:rPr>
                <w:sz w:val="20"/>
                <w:szCs w:val="20"/>
              </w:rPr>
              <w:t>0,27</w:t>
            </w:r>
          </w:p>
        </w:tc>
      </w:tr>
      <w:tr w:rsidR="00730BD4" w14:paraId="20AEB2FE"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E09DBAF" w14:textId="77777777" w:rsidR="00730BD4" w:rsidRDefault="00730BD4" w:rsidP="00D012BC">
            <w:r>
              <w:rPr>
                <w:sz w:val="20"/>
                <w:szCs w:val="20"/>
              </w:rPr>
              <w:t>Cellnex Telecom</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B3D8E08" w14:textId="77777777" w:rsidR="00730BD4" w:rsidRDefault="00730BD4" w:rsidP="00D012BC">
            <w:pPr>
              <w:jc w:val="center"/>
            </w:pPr>
            <w:r>
              <w:rPr>
                <w:sz w:val="20"/>
                <w:szCs w:val="20"/>
              </w:rPr>
              <w:t>69,8 %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37EB15C" w14:textId="77777777" w:rsidR="00730BD4" w:rsidRDefault="00730BD4" w:rsidP="00D012BC">
            <w:pPr>
              <w:jc w:val="center"/>
            </w:pPr>
            <w:r>
              <w:rPr>
                <w:sz w:val="20"/>
                <w:szCs w:val="20"/>
              </w:rPr>
              <w:t>4,7 %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E66D1FE" w14:textId="77777777" w:rsidR="00730BD4" w:rsidRDefault="00730BD4" w:rsidP="00D012BC">
            <w:pPr>
              <w:jc w:val="center"/>
            </w:pPr>
            <w:r>
              <w:rPr>
                <w:sz w:val="20"/>
                <w:szCs w:val="20"/>
              </w:rPr>
              <w:t>16,4 %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992C043" w14:textId="77777777" w:rsidR="00730BD4" w:rsidRDefault="00730BD4" w:rsidP="00D012BC">
            <w:pPr>
              <w:jc w:val="center"/>
            </w:pPr>
            <w:r>
              <w:rPr>
                <w:sz w:val="20"/>
                <w:szCs w:val="20"/>
              </w:rPr>
              <w:t>9,1 %</w:t>
            </w:r>
          </w:p>
        </w:tc>
        <w:tc>
          <w:tcPr>
            <w:tcW w:w="10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DE68CA7" w14:textId="77777777" w:rsidR="00730BD4" w:rsidRDefault="00730BD4" w:rsidP="00D012BC">
            <w:pPr>
              <w:jc w:val="center"/>
            </w:pPr>
            <w:r>
              <w:rPr>
                <w:sz w:val="20"/>
                <w:szCs w:val="20"/>
              </w:rPr>
              <w:t>0,51</w:t>
            </w:r>
          </w:p>
        </w:tc>
      </w:tr>
      <w:tr w:rsidR="00730BD4" w14:paraId="4DF7490A"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9158952" w14:textId="77777777" w:rsidR="00730BD4" w:rsidRDefault="00730BD4" w:rsidP="00D012BC">
            <w:r>
              <w:rPr>
                <w:sz w:val="20"/>
                <w:szCs w:val="20"/>
              </w:rPr>
              <w:t>Amadeus IT</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A4200D4" w14:textId="77777777" w:rsidR="00730BD4" w:rsidRDefault="00730BD4" w:rsidP="00D012BC">
            <w:pPr>
              <w:jc w:val="center"/>
            </w:pPr>
            <w:r>
              <w:rPr>
                <w:sz w:val="20"/>
                <w:szCs w:val="20"/>
              </w:rPr>
              <w:t>82,4 %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126B063" w14:textId="77777777" w:rsidR="00730BD4" w:rsidRDefault="00730BD4" w:rsidP="00D012BC">
            <w:pPr>
              <w:jc w:val="center"/>
            </w:pPr>
            <w:r>
              <w:rPr>
                <w:sz w:val="20"/>
                <w:szCs w:val="20"/>
              </w:rPr>
              <w:t>2,7 %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449AB0B" w14:textId="77777777" w:rsidR="00730BD4" w:rsidRDefault="00730BD4" w:rsidP="00D012BC">
            <w:pPr>
              <w:jc w:val="center"/>
            </w:pPr>
            <w:r>
              <w:rPr>
                <w:sz w:val="20"/>
                <w:szCs w:val="20"/>
              </w:rPr>
              <w:t>5,0 %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933A01C" w14:textId="77777777" w:rsidR="00730BD4" w:rsidRDefault="00730BD4" w:rsidP="00D012BC">
            <w:pPr>
              <w:jc w:val="center"/>
            </w:pPr>
            <w:r>
              <w:rPr>
                <w:sz w:val="20"/>
                <w:szCs w:val="20"/>
              </w:rPr>
              <w:t>9,9 %</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C922737" w14:textId="77777777" w:rsidR="00730BD4" w:rsidRDefault="00730BD4" w:rsidP="00D012BC">
            <w:pPr>
              <w:jc w:val="center"/>
            </w:pPr>
            <w:r>
              <w:rPr>
                <w:sz w:val="20"/>
                <w:szCs w:val="20"/>
              </w:rPr>
              <w:t>0,24</w:t>
            </w:r>
          </w:p>
        </w:tc>
      </w:tr>
      <w:tr w:rsidR="00730BD4" w14:paraId="6DEC873F"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2B9D93B" w14:textId="77777777" w:rsidR="00730BD4" w:rsidRDefault="00730BD4" w:rsidP="00D012BC">
            <w:r>
              <w:rPr>
                <w:sz w:val="20"/>
                <w:szCs w:val="20"/>
              </w:rPr>
              <w:t>Endesa</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ECF62AE" w14:textId="77777777" w:rsidR="00730BD4" w:rsidRDefault="00730BD4" w:rsidP="00D012BC">
            <w:pPr>
              <w:jc w:val="center"/>
            </w:pPr>
            <w:r>
              <w:rPr>
                <w:sz w:val="20"/>
                <w:szCs w:val="20"/>
              </w:rPr>
              <w:t>94,9 %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5099A89" w14:textId="77777777" w:rsidR="00730BD4" w:rsidRDefault="00730BD4" w:rsidP="00D012BC">
            <w:pPr>
              <w:jc w:val="center"/>
            </w:pPr>
            <w:r>
              <w:rPr>
                <w:sz w:val="20"/>
                <w:szCs w:val="20"/>
              </w:rPr>
              <w:t>0,9 %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C7A2DC5" w14:textId="77777777" w:rsidR="00730BD4" w:rsidRDefault="00730BD4" w:rsidP="00D012BC">
            <w:pPr>
              <w:jc w:val="center"/>
            </w:pPr>
            <w:r>
              <w:rPr>
                <w:sz w:val="20"/>
                <w:szCs w:val="20"/>
              </w:rPr>
              <w:t>2,5 %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63ABAA7" w14:textId="77777777" w:rsidR="00730BD4" w:rsidRDefault="00730BD4" w:rsidP="00D012BC">
            <w:pPr>
              <w:jc w:val="center"/>
            </w:pPr>
            <w:r>
              <w:rPr>
                <w:sz w:val="20"/>
                <w:szCs w:val="20"/>
              </w:rPr>
              <w:t>1,8 %</w:t>
            </w:r>
          </w:p>
        </w:tc>
        <w:tc>
          <w:tcPr>
            <w:tcW w:w="10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6177B93" w14:textId="77777777" w:rsidR="00730BD4" w:rsidRDefault="00730BD4" w:rsidP="00D012BC">
            <w:pPr>
              <w:jc w:val="center"/>
            </w:pPr>
            <w:r>
              <w:rPr>
                <w:sz w:val="20"/>
                <w:szCs w:val="20"/>
              </w:rPr>
              <w:t>0,29</w:t>
            </w:r>
          </w:p>
        </w:tc>
      </w:tr>
      <w:tr w:rsidR="00730BD4" w14:paraId="53E73BF0"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60D7BB7" w14:textId="77777777" w:rsidR="00730BD4" w:rsidRDefault="00730BD4" w:rsidP="00D012BC">
            <w:r>
              <w:rPr>
                <w:sz w:val="20"/>
                <w:szCs w:val="20"/>
              </w:rPr>
              <w:t>Aena</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E4FF0D2" w14:textId="77777777" w:rsidR="00730BD4" w:rsidRDefault="00730BD4" w:rsidP="00D012BC">
            <w:pPr>
              <w:jc w:val="center"/>
            </w:pPr>
            <w:r>
              <w:rPr>
                <w:sz w:val="20"/>
                <w:szCs w:val="20"/>
              </w:rPr>
              <w:t>87,5 %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BD6A439" w14:textId="77777777" w:rsidR="00730BD4" w:rsidRDefault="00730BD4" w:rsidP="00D012BC">
            <w:pPr>
              <w:jc w:val="center"/>
            </w:pPr>
            <w:r>
              <w:rPr>
                <w:sz w:val="20"/>
                <w:szCs w:val="20"/>
              </w:rPr>
              <w:t>0,7 %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466E2F7" w14:textId="77777777" w:rsidR="00730BD4" w:rsidRDefault="00730BD4" w:rsidP="00D012BC">
            <w:pPr>
              <w:jc w:val="center"/>
            </w:pPr>
            <w:r>
              <w:rPr>
                <w:sz w:val="20"/>
                <w:szCs w:val="20"/>
              </w:rPr>
              <w:t>5,7 %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A1E09C7" w14:textId="77777777" w:rsidR="00730BD4" w:rsidRDefault="00730BD4" w:rsidP="00D012BC">
            <w:pPr>
              <w:jc w:val="center"/>
            </w:pPr>
            <w:r>
              <w:rPr>
                <w:sz w:val="20"/>
                <w:szCs w:val="20"/>
              </w:rPr>
              <w:t>6,1 %</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D69EE49" w14:textId="77777777" w:rsidR="00730BD4" w:rsidRDefault="00730BD4" w:rsidP="00D012BC">
            <w:pPr>
              <w:jc w:val="center"/>
            </w:pPr>
            <w:r>
              <w:rPr>
                <w:sz w:val="20"/>
                <w:szCs w:val="20"/>
              </w:rPr>
              <w:t>0,37</w:t>
            </w:r>
          </w:p>
        </w:tc>
      </w:tr>
      <w:tr w:rsidR="00730BD4" w14:paraId="362ADE5C"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8F342B9" w14:textId="77777777" w:rsidR="00730BD4" w:rsidRDefault="00730BD4" w:rsidP="00D012BC">
            <w:r>
              <w:rPr>
                <w:sz w:val="20"/>
                <w:szCs w:val="20"/>
              </w:rPr>
              <w:t>Telefónica</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753998F" w14:textId="77777777" w:rsidR="00730BD4" w:rsidRDefault="00730BD4" w:rsidP="00D012BC">
            <w:pPr>
              <w:jc w:val="center"/>
            </w:pPr>
            <w:r>
              <w:rPr>
                <w:sz w:val="20"/>
                <w:szCs w:val="20"/>
              </w:rPr>
              <w:t>51,6 %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D36E16F" w14:textId="77777777" w:rsidR="00730BD4" w:rsidRDefault="00730BD4" w:rsidP="00D012BC">
            <w:pPr>
              <w:jc w:val="center"/>
            </w:pPr>
            <w:r>
              <w:rPr>
                <w:sz w:val="20"/>
                <w:szCs w:val="20"/>
              </w:rPr>
              <w:t>1,8 %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D733B08" w14:textId="77777777" w:rsidR="00730BD4" w:rsidRDefault="00730BD4" w:rsidP="00D012BC">
            <w:pPr>
              <w:jc w:val="center"/>
            </w:pPr>
            <w:r>
              <w:rPr>
                <w:sz w:val="20"/>
                <w:szCs w:val="20"/>
              </w:rPr>
              <w:t>38,9 %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8ACAEB2" w14:textId="77777777" w:rsidR="00730BD4" w:rsidRDefault="00730BD4" w:rsidP="00D012BC">
            <w:pPr>
              <w:jc w:val="center"/>
            </w:pPr>
            <w:r>
              <w:rPr>
                <w:sz w:val="20"/>
                <w:szCs w:val="20"/>
              </w:rPr>
              <w:t>7,8 %</w:t>
            </w:r>
          </w:p>
        </w:tc>
        <w:tc>
          <w:tcPr>
            <w:tcW w:w="10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3B6C832" w14:textId="77777777" w:rsidR="00730BD4" w:rsidRDefault="00730BD4" w:rsidP="00D012BC">
            <w:pPr>
              <w:jc w:val="center"/>
            </w:pPr>
            <w:r>
              <w:rPr>
                <w:sz w:val="20"/>
                <w:szCs w:val="20"/>
              </w:rPr>
              <w:t>0,13</w:t>
            </w:r>
          </w:p>
        </w:tc>
      </w:tr>
      <w:tr w:rsidR="00730BD4" w14:paraId="13793204"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5A1521B" w14:textId="77777777" w:rsidR="00730BD4" w:rsidRDefault="00730BD4" w:rsidP="00D012BC">
            <w:r>
              <w:rPr>
                <w:sz w:val="20"/>
                <w:szCs w:val="20"/>
              </w:rPr>
              <w:t>Repsol</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8D791C1" w14:textId="77777777" w:rsidR="00730BD4" w:rsidRDefault="00730BD4" w:rsidP="00D012BC">
            <w:pPr>
              <w:jc w:val="center"/>
            </w:pPr>
            <w:r>
              <w:rPr>
                <w:sz w:val="20"/>
                <w:szCs w:val="20"/>
              </w:rPr>
              <w:t>3,8 %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0FF5894" w14:textId="77777777" w:rsidR="00730BD4" w:rsidRDefault="00730BD4" w:rsidP="00D012BC">
            <w:pPr>
              <w:jc w:val="center"/>
            </w:pPr>
            <w:r>
              <w:rPr>
                <w:sz w:val="20"/>
                <w:szCs w:val="20"/>
              </w:rPr>
              <w:t>2,9 %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EF5F9D6" w14:textId="77777777" w:rsidR="00730BD4" w:rsidRDefault="00730BD4" w:rsidP="00D012BC">
            <w:pPr>
              <w:jc w:val="center"/>
            </w:pPr>
            <w:r>
              <w:rPr>
                <w:sz w:val="20"/>
                <w:szCs w:val="20"/>
              </w:rPr>
              <w:t>43,3 %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D7E58F0" w14:textId="77777777" w:rsidR="00730BD4" w:rsidRDefault="00730BD4" w:rsidP="00D012BC">
            <w:pPr>
              <w:jc w:val="center"/>
            </w:pPr>
            <w:r>
              <w:rPr>
                <w:b/>
                <w:bCs/>
                <w:sz w:val="20"/>
                <w:szCs w:val="20"/>
              </w:rPr>
              <w:t>50,0 %</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326D2FE" w14:textId="77777777" w:rsidR="00730BD4" w:rsidRDefault="00730BD4" w:rsidP="00D012BC">
            <w:pPr>
              <w:jc w:val="center"/>
            </w:pPr>
            <w:r>
              <w:rPr>
                <w:sz w:val="20"/>
                <w:szCs w:val="20"/>
              </w:rPr>
              <w:t>0,39</w:t>
            </w:r>
          </w:p>
        </w:tc>
      </w:tr>
      <w:tr w:rsidR="00730BD4" w14:paraId="57BF7CF0"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B8091D4" w14:textId="77777777" w:rsidR="00730BD4" w:rsidRDefault="00730BD4" w:rsidP="00D012BC">
            <w:proofErr w:type="spellStart"/>
            <w:r>
              <w:rPr>
                <w:sz w:val="20"/>
                <w:szCs w:val="20"/>
              </w:rPr>
              <w:t>Naturgy</w:t>
            </w:r>
            <w:proofErr w:type="spellEnd"/>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E674BB4" w14:textId="77777777" w:rsidR="00730BD4" w:rsidRDefault="00730BD4" w:rsidP="00D012BC">
            <w:pPr>
              <w:jc w:val="center"/>
            </w:pPr>
            <w:r>
              <w:rPr>
                <w:sz w:val="20"/>
                <w:szCs w:val="20"/>
              </w:rPr>
              <w:t>59,7 %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BD0227D" w14:textId="77777777" w:rsidR="00730BD4" w:rsidRDefault="00730BD4" w:rsidP="00D012BC">
            <w:pPr>
              <w:jc w:val="center"/>
            </w:pPr>
            <w:r>
              <w:rPr>
                <w:sz w:val="20"/>
                <w:szCs w:val="20"/>
              </w:rPr>
              <w:t>16,2 %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AC7F70A" w14:textId="77777777" w:rsidR="00730BD4" w:rsidRDefault="00730BD4" w:rsidP="00D012BC">
            <w:pPr>
              <w:jc w:val="center"/>
            </w:pPr>
            <w:r>
              <w:rPr>
                <w:sz w:val="20"/>
                <w:szCs w:val="20"/>
              </w:rPr>
              <w:t>5,2 %</w:t>
            </w:r>
          </w:p>
        </w:tc>
        <w:tc>
          <w:tcPr>
            <w:tcW w:w="1625"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45D2E79" w14:textId="77777777" w:rsidR="00730BD4" w:rsidRDefault="00730BD4" w:rsidP="00D012BC">
            <w:pPr>
              <w:jc w:val="center"/>
            </w:pPr>
            <w:r>
              <w:rPr>
                <w:sz w:val="20"/>
                <w:szCs w:val="20"/>
              </w:rPr>
              <w:t>18,9 %</w:t>
            </w:r>
          </w:p>
        </w:tc>
        <w:tc>
          <w:tcPr>
            <w:tcW w:w="100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5CCAAC1" w14:textId="77777777" w:rsidR="00730BD4" w:rsidRDefault="00730BD4" w:rsidP="00D012BC">
            <w:pPr>
              <w:jc w:val="center"/>
            </w:pPr>
            <w:r>
              <w:rPr>
                <w:sz w:val="20"/>
                <w:szCs w:val="20"/>
              </w:rPr>
              <w:t>0,19</w:t>
            </w:r>
          </w:p>
        </w:tc>
      </w:tr>
      <w:tr w:rsidR="00730BD4" w14:paraId="5A0B5128"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828E052" w14:textId="77777777" w:rsidR="00730BD4" w:rsidRDefault="00730BD4" w:rsidP="00D012BC">
            <w:r>
              <w:rPr>
                <w:sz w:val="20"/>
                <w:szCs w:val="20"/>
              </w:rPr>
              <w:t>ACS</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332A187" w14:textId="77777777" w:rsidR="00730BD4" w:rsidRDefault="00730BD4" w:rsidP="00D012BC">
            <w:pPr>
              <w:jc w:val="center"/>
            </w:pPr>
            <w:r>
              <w:rPr>
                <w:sz w:val="20"/>
                <w:szCs w:val="20"/>
              </w:rPr>
              <w:t>67,8 %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86B758F" w14:textId="77777777" w:rsidR="00730BD4" w:rsidRDefault="00730BD4" w:rsidP="00D012BC">
            <w:pPr>
              <w:jc w:val="center"/>
            </w:pPr>
            <w:r>
              <w:rPr>
                <w:sz w:val="20"/>
                <w:szCs w:val="20"/>
              </w:rPr>
              <w:t>6,0 %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D89CDA9" w14:textId="77777777" w:rsidR="00730BD4" w:rsidRDefault="00730BD4" w:rsidP="00D012BC">
            <w:pPr>
              <w:jc w:val="center"/>
            </w:pPr>
            <w:r>
              <w:rPr>
                <w:sz w:val="20"/>
                <w:szCs w:val="20"/>
              </w:rPr>
              <w:t>14,2 %</w:t>
            </w:r>
          </w:p>
        </w:tc>
        <w:tc>
          <w:tcPr>
            <w:tcW w:w="1625"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AA3ADA8" w14:textId="77777777" w:rsidR="00730BD4" w:rsidRDefault="00730BD4" w:rsidP="00D012BC">
            <w:pPr>
              <w:jc w:val="center"/>
            </w:pPr>
            <w:r>
              <w:rPr>
                <w:sz w:val="20"/>
                <w:szCs w:val="20"/>
              </w:rPr>
              <w:t>11,9 %</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449B0AA" w14:textId="77777777" w:rsidR="00730BD4" w:rsidRDefault="00730BD4" w:rsidP="00D012BC">
            <w:pPr>
              <w:jc w:val="center"/>
            </w:pPr>
            <w:r>
              <w:rPr>
                <w:sz w:val="20"/>
                <w:szCs w:val="20"/>
              </w:rPr>
              <w:t>0,18</w:t>
            </w:r>
          </w:p>
        </w:tc>
      </w:tr>
      <w:tr w:rsidR="00730BD4" w14:paraId="2392C1A6" w14:textId="77777777" w:rsidTr="00D012BC">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7F355ED8" w14:textId="77777777" w:rsidR="00730BD4" w:rsidRDefault="00730BD4" w:rsidP="00D012BC">
            <w:r>
              <w:rPr>
                <w:b/>
                <w:bCs/>
                <w:sz w:val="20"/>
                <w:szCs w:val="20"/>
              </w:rPr>
              <w:t>Media</w:t>
            </w:r>
          </w:p>
        </w:tc>
        <w:tc>
          <w:tcPr>
            <w:tcW w:w="1625"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3D847337" w14:textId="77777777" w:rsidR="00730BD4" w:rsidRDefault="00730BD4" w:rsidP="00D012BC">
            <w:pPr>
              <w:jc w:val="center"/>
            </w:pPr>
            <w:r>
              <w:rPr>
                <w:b/>
                <w:bCs/>
                <w:sz w:val="20"/>
                <w:szCs w:val="20"/>
              </w:rPr>
              <w:t>69,6 %</w:t>
            </w:r>
          </w:p>
        </w:tc>
        <w:tc>
          <w:tcPr>
            <w:tcW w:w="1625"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1D44CA71" w14:textId="77777777" w:rsidR="00730BD4" w:rsidRDefault="00730BD4" w:rsidP="00D012BC">
            <w:pPr>
              <w:jc w:val="center"/>
            </w:pPr>
            <w:r>
              <w:rPr>
                <w:b/>
                <w:bCs/>
                <w:sz w:val="20"/>
                <w:szCs w:val="20"/>
              </w:rPr>
              <w:t>4,6 %</w:t>
            </w:r>
          </w:p>
        </w:tc>
        <w:tc>
          <w:tcPr>
            <w:tcW w:w="1625"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73171322" w14:textId="77777777" w:rsidR="00730BD4" w:rsidRDefault="00730BD4" w:rsidP="00D012BC">
            <w:pPr>
              <w:jc w:val="center"/>
            </w:pPr>
            <w:r>
              <w:rPr>
                <w:b/>
                <w:bCs/>
                <w:sz w:val="20"/>
                <w:szCs w:val="20"/>
              </w:rPr>
              <w:t>13,6 %</w:t>
            </w:r>
          </w:p>
        </w:tc>
        <w:tc>
          <w:tcPr>
            <w:tcW w:w="1625"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5746077F" w14:textId="77777777" w:rsidR="00730BD4" w:rsidRDefault="00730BD4" w:rsidP="00D012BC">
            <w:pPr>
              <w:jc w:val="center"/>
            </w:pPr>
            <w:r>
              <w:rPr>
                <w:b/>
                <w:bCs/>
                <w:sz w:val="20"/>
                <w:szCs w:val="20"/>
              </w:rPr>
              <w:t>12,2 %</w:t>
            </w:r>
          </w:p>
        </w:tc>
        <w:tc>
          <w:tcPr>
            <w:tcW w:w="1000" w:type="dxa"/>
            <w:tcBorders>
              <w:top w:val="single" w:sz="1" w:space="0" w:color="999999"/>
              <w:left w:val="single" w:sz="1" w:space="0" w:color="999999"/>
              <w:bottom w:val="single" w:sz="1" w:space="0" w:color="999999"/>
              <w:right w:val="single" w:sz="1" w:space="0" w:color="999999"/>
            </w:tcBorders>
            <w:shd w:val="clear" w:color="auto" w:fill="DDEBF7"/>
            <w:tcMar>
              <w:top w:w="45" w:type="dxa"/>
              <w:left w:w="90" w:type="dxa"/>
              <w:bottom w:w="45" w:type="dxa"/>
              <w:right w:w="90" w:type="dxa"/>
            </w:tcMar>
          </w:tcPr>
          <w:p w14:paraId="349A6EA0" w14:textId="77777777" w:rsidR="00730BD4" w:rsidRDefault="00730BD4" w:rsidP="00D012BC">
            <w:pPr>
              <w:jc w:val="center"/>
            </w:pPr>
            <w:r>
              <w:rPr>
                <w:sz w:val="20"/>
                <w:szCs w:val="20"/>
              </w:rPr>
              <w:t>—</w:t>
            </w:r>
          </w:p>
        </w:tc>
      </w:tr>
    </w:tbl>
    <w:p w14:paraId="2BE62A0A" w14:textId="6AAD5D58" w:rsidR="000601C9" w:rsidRPr="000601C9" w:rsidRDefault="00730BD4" w:rsidP="000601C9">
      <w:pPr>
        <w:spacing w:before="40" w:after="160"/>
      </w:pPr>
      <w:r>
        <w:rPr>
          <w:i/>
          <w:iCs/>
          <w:sz w:val="20"/>
          <w:szCs w:val="20"/>
        </w:rPr>
        <w:t xml:space="preserve">Fuente: </w:t>
      </w:r>
      <w:r>
        <w:rPr>
          <w:sz w:val="20"/>
          <w:szCs w:val="20"/>
        </w:rPr>
        <w:t>elaboración propia.</w:t>
      </w:r>
    </w:p>
    <w:p w14:paraId="52525EEB" w14:textId="3C562A3C" w:rsidR="00730BD4" w:rsidRDefault="000601C9" w:rsidP="00730BD4">
      <w:r>
        <w:rPr>
          <w:b/>
          <w:bCs/>
          <w:noProof/>
          <w:color w:val="C00000"/>
          <w:sz w:val="20"/>
          <w:szCs w:val="20"/>
        </w:rPr>
        <w:lastRenderedPageBreak/>
        <w:drawing>
          <wp:inline distT="0" distB="0" distL="0" distR="0" wp14:anchorId="7DDCD847" wp14:editId="3D219A0C">
            <wp:extent cx="5398770" cy="2904490"/>
            <wp:effectExtent l="0" t="0" r="0" b="0"/>
            <wp:docPr id="6340258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8770" cy="2904490"/>
                    </a:xfrm>
                    <a:prstGeom prst="rect">
                      <a:avLst/>
                    </a:prstGeom>
                    <a:noFill/>
                    <a:ln>
                      <a:noFill/>
                    </a:ln>
                  </pic:spPr>
                </pic:pic>
              </a:graphicData>
            </a:graphic>
          </wp:inline>
        </w:drawing>
      </w:r>
      <w:r w:rsidR="00730BD4">
        <w:rPr>
          <w:szCs w:val="24"/>
        </w:rPr>
        <w:t>Los resultados de esta descomposición arrojan dos conclusiones principales. En primer lugar, y en línea con la evidencia habitual en la literatura, el factor de mercado es el componente dominante del R² en la mayoría de las empresas analizadas, con una contribución media del 69,6 %. En valores como Endesa (94,9 %), Iberdrola (94,4 %) o Aena (87,5 %) el comportamiento bursátil se explica casi por completo por su exposición al mercado, lo que resulta coherente con su naturaleza de grandes empresas defensivas y reguladas.</w:t>
      </w:r>
    </w:p>
    <w:p w14:paraId="3D103064" w14:textId="77777777" w:rsidR="00730BD4" w:rsidRDefault="00730BD4" w:rsidP="00730BD4">
      <w:r>
        <w:rPr>
          <w:szCs w:val="24"/>
        </w:rPr>
        <w:t xml:space="preserve">En segundo lugar, el factor ESG presenta una contribución media del 12,2 %, superior a la del factor tamaño (4,6 %) y cercana a la del factor valor (13,6 %), lo que evidencia que la dimensión de sostenibilidad aporta capacidad explicativa también en el mercado español. Esta contribución es especialmente acusada en las empresas de los sectores energético y de </w:t>
      </w:r>
      <w:proofErr w:type="spellStart"/>
      <w:r>
        <w:rPr>
          <w:szCs w:val="24"/>
        </w:rPr>
        <w:t>utilities</w:t>
      </w:r>
      <w:proofErr w:type="spellEnd"/>
      <w:r>
        <w:rPr>
          <w:szCs w:val="24"/>
        </w:rPr>
        <w:t xml:space="preserve">: </w:t>
      </w:r>
      <w:proofErr w:type="spellStart"/>
      <w:r>
        <w:rPr>
          <w:szCs w:val="24"/>
        </w:rPr>
        <w:t>Naturgy</w:t>
      </w:r>
      <w:proofErr w:type="spellEnd"/>
      <w:r>
        <w:rPr>
          <w:szCs w:val="24"/>
        </w:rPr>
        <w:t xml:space="preserve"> (18,9 %), Cellnex (9,1 %) y, sobre todo, Repsol, donde el factor ESG explica la mitad del R² del modelo (50,0 %), muy por encima del factor de mercado (3,8 %). Este resultado, particularmente llamativo, sugiere que el comportamiento bursátil de Repsol —única compañía petrolera de la muestra— está vinculado en mayor medida a la dinámica de los factores de sostenibilidad y valor que a la evolución general del mercado, lo que resulta plenamente coherente con su perfil de empresa expuesta al riesgo de transición energética.</w:t>
      </w:r>
    </w:p>
    <w:p w14:paraId="3A06C3C5" w14:textId="1BB0438B" w:rsidR="00730BD4" w:rsidRDefault="000601C9">
      <w:pPr>
        <w:keepLines w:val="0"/>
        <w:jc w:val="left"/>
        <w:rPr>
          <w:rFonts w:asciiTheme="majorHAnsi" w:eastAsiaTheme="majorEastAsia" w:hAnsiTheme="majorHAnsi" w:cstheme="majorBidi"/>
          <w:b/>
          <w:bCs/>
          <w:color w:val="0F4761" w:themeColor="accent1" w:themeShade="BF"/>
          <w:sz w:val="40"/>
          <w:szCs w:val="40"/>
          <w:lang w:val="es-ES"/>
        </w:rPr>
      </w:pPr>
      <w:r>
        <w:rPr>
          <w:b/>
          <w:bCs/>
          <w:noProof/>
          <w:color w:val="C00000"/>
          <w:sz w:val="20"/>
          <w:szCs w:val="20"/>
        </w:rPr>
        <w:lastRenderedPageBreak/>
        <w:drawing>
          <wp:inline distT="0" distB="0" distL="0" distR="0" wp14:anchorId="6ECB6CD9" wp14:editId="2262A35B">
            <wp:extent cx="5398770" cy="2904490"/>
            <wp:effectExtent l="0" t="0" r="0" b="0"/>
            <wp:docPr id="8248586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8770" cy="2904490"/>
                    </a:xfrm>
                    <a:prstGeom prst="rect">
                      <a:avLst/>
                    </a:prstGeom>
                    <a:noFill/>
                    <a:ln>
                      <a:noFill/>
                    </a:ln>
                  </pic:spPr>
                </pic:pic>
              </a:graphicData>
            </a:graphic>
          </wp:inline>
        </w:drawing>
      </w:r>
      <w:r w:rsidR="00730BD4">
        <w:rPr>
          <w:b/>
          <w:bCs/>
          <w:lang w:val="es-ES"/>
        </w:rPr>
        <w:br w:type="page"/>
      </w:r>
    </w:p>
    <w:p w14:paraId="3ADAD208" w14:textId="47B27FB8" w:rsidR="006C41CD" w:rsidRPr="00F077B7" w:rsidRDefault="006169CC" w:rsidP="00F14D34">
      <w:pPr>
        <w:pStyle w:val="Ttulo1"/>
        <w:rPr>
          <w:b/>
          <w:bCs/>
          <w:lang w:val="es-ES"/>
        </w:rPr>
      </w:pPr>
      <w:bookmarkStart w:id="24" w:name="_Toc231769143"/>
      <w:r w:rsidRPr="00F077B7">
        <w:rPr>
          <w:b/>
          <w:bCs/>
          <w:lang w:val="es-ES"/>
        </w:rPr>
        <w:lastRenderedPageBreak/>
        <w:t xml:space="preserve">5. </w:t>
      </w:r>
      <w:r w:rsidR="00730BD4">
        <w:rPr>
          <w:b/>
          <w:bCs/>
          <w:lang w:val="es-ES"/>
        </w:rPr>
        <w:t>DISCUSIÓN</w:t>
      </w:r>
      <w:bookmarkEnd w:id="24"/>
      <w:r w:rsidRPr="00F077B7">
        <w:rPr>
          <w:b/>
          <w:bCs/>
          <w:lang w:val="es-ES"/>
        </w:rPr>
        <w:t xml:space="preserve"> </w:t>
      </w:r>
    </w:p>
    <w:p w14:paraId="346BF912" w14:textId="77777777" w:rsidR="00730BD4" w:rsidRDefault="00730BD4" w:rsidP="00730BD4">
      <w:r>
        <w:rPr>
          <w:szCs w:val="24"/>
        </w:rPr>
        <w:t>Los resultados obtenidos permiten extraer una lectura matizada y coherente de la relación entre sostenibilidad y rentabilidad en el mercado europeo, así como contrastar las cuatro hipótesis planteadas. El primer hallazgo relevante es la ausencia de una prima ESG estadísticamente significativa (H1). La rentabilidad media negativa del factor (−1,77 % anual), aunque económicamente apreciable, no alcanza significatividad estadística. Este resultado es coherente con la hipótesis de eficiencia de los mercados (Fama, 1970): si el mercado incorpora correctamente la información ESG en los precios, no cabría esperar rentabilidades anormales sistemáticas asociadas a la sostenibilidad.</w:t>
      </w:r>
    </w:p>
    <w:p w14:paraId="2D3F0401" w14:textId="77777777" w:rsidR="00730BD4" w:rsidRDefault="00730BD4" w:rsidP="00730BD4">
      <w:r>
        <w:rPr>
          <w:szCs w:val="24"/>
        </w:rPr>
        <w:t xml:space="preserve">El signo negativo del factor, aunque no significativo, apunta en la dirección sugerida por Hong y </w:t>
      </w:r>
      <w:proofErr w:type="spellStart"/>
      <w:r>
        <w:rPr>
          <w:szCs w:val="24"/>
        </w:rPr>
        <w:t>Kacperczyk</w:t>
      </w:r>
      <w:proofErr w:type="spellEnd"/>
      <w:r>
        <w:rPr>
          <w:szCs w:val="24"/>
        </w:rPr>
        <w:t xml:space="preserve"> (2009) y por </w:t>
      </w:r>
      <w:proofErr w:type="spellStart"/>
      <w:r>
        <w:rPr>
          <w:szCs w:val="24"/>
        </w:rPr>
        <w:t>Pástor</w:t>
      </w:r>
      <w:proofErr w:type="spellEnd"/>
      <w:r>
        <w:rPr>
          <w:szCs w:val="24"/>
        </w:rPr>
        <w:t>, Stambaugh y Taylor (2021): las empresas menos sostenibles habrían ofrecido una rentabilidad ligeramente superior durante el período. Una explicación plausible es que el contexto macroeconómico de 2022-2024 —marcado por la crisis energética, la elevada inflación y la subida de los tipos de interés— favoreció de forma especial a los sectores intensivos en carbono y a la industria de defensa, tradicionalmente clasificados como Brown. Este resultado ilustra cómo la prima ESG puede variar sustancialmente en función del contexto macroeconómico, tal y como anticipan los modelos teóricos.</w:t>
      </w:r>
    </w:p>
    <w:p w14:paraId="65895362" w14:textId="77777777" w:rsidR="00730BD4" w:rsidRDefault="00730BD4" w:rsidP="00730BD4">
      <w:r>
        <w:rPr>
          <w:szCs w:val="24"/>
        </w:rPr>
        <w:t xml:space="preserve">El segundo hallazgo, y posiblemente el más relevante del trabajo, es que el factor ESG discrimina de forma robusta entre empresas pese a la ausencia de prima (H2). El gradiente monótono del coeficiente e entre </w:t>
      </w:r>
      <w:proofErr w:type="spellStart"/>
      <w:r>
        <w:rPr>
          <w:szCs w:val="24"/>
        </w:rPr>
        <w:t>terciles</w:t>
      </w:r>
      <w:proofErr w:type="spellEnd"/>
      <w:r>
        <w:rPr>
          <w:szCs w:val="24"/>
        </w:rPr>
        <w:t xml:space="preserve"> y la elevada significatividad de la diferencia entre las carteras Green y Brown (t = 6,03) indican que el factor captura una dimensión real y diferenciada del comportamiento de las rentabilidades. En términos de la teoría de valoración por arbitraje (Ross, 1976), esto sugiere que la sostenibilidad opera como un factor de riesgo sistemático al que las empresas presentan distinta exposición, aun cuando dicho factor no lleve aparejada una prima de riesgo significativa en el período analizado. Esta distinción entre la existencia de un factor de riesgo y la existencia de una prima asociada al mismo es una de las principales aportaciones interpretativas del trabajo.</w:t>
      </w:r>
    </w:p>
    <w:p w14:paraId="6050B935" w14:textId="77777777" w:rsidR="00730BD4" w:rsidRDefault="00730BD4" w:rsidP="00730BD4">
      <w:r>
        <w:rPr>
          <w:szCs w:val="24"/>
        </w:rPr>
        <w:lastRenderedPageBreak/>
        <w:t>En relación con la hipótesis H3, los resultados confirman que el factor ESG aporta información mayoritariamente independiente de los factores tradicionales, si bien con un matiz importante: la correlación moderada-alta con el factor valor (HML = +0,689) indica que parte de la dinámica capturada por el factor ESG está relacionada con el efecto valor. Este hecho, ya señalado en la literatura, debe tenerse presente, pues sugiere que las empresas sostenibles de la muestra comparten parcialmente las características de las empresas de valor.</w:t>
      </w:r>
    </w:p>
    <w:p w14:paraId="13DE0198" w14:textId="4606BF14" w:rsidR="00730BD4" w:rsidRDefault="00730BD4" w:rsidP="00730BD4">
      <w:r>
        <w:rPr>
          <w:szCs w:val="24"/>
        </w:rPr>
        <w:t xml:space="preserve">Finalmente, la práctica igualdad de </w:t>
      </w:r>
      <w:r w:rsidR="000601C9">
        <w:rPr>
          <w:szCs w:val="24"/>
        </w:rPr>
        <w:t>las alfas</w:t>
      </w:r>
      <w:r>
        <w:rPr>
          <w:szCs w:val="24"/>
        </w:rPr>
        <w:t xml:space="preserve"> entre </w:t>
      </w:r>
      <w:proofErr w:type="spellStart"/>
      <w:r>
        <w:rPr>
          <w:szCs w:val="24"/>
        </w:rPr>
        <w:t>terciles</w:t>
      </w:r>
      <w:proofErr w:type="spellEnd"/>
      <w:r>
        <w:rPr>
          <w:szCs w:val="24"/>
        </w:rPr>
        <w:t xml:space="preserve"> (H4) refuerza la interpretación de eficiencia: una vez controlada la exposición a los cuatro factores, no se aprecian oportunidades de rentabilidad anormal asociadas al perfil ESG. En conjunto, los resultados dibujan un mercado europeo que reconoce y diferencia la dimensión de sostenibilidad —el factor existe y discrimina—, pero que la incorpora eficientemente en los precios, sin premiarla ni penalizarla de forma sistemática. La advertencia de Berg et al. (2022) sobre la divergencia de las calificaciones ESG invita, en cualquier caso, a interpretar estas conclusiones con la debida cautela, dado que podrían variar con una fuente de datos alternativa.</w:t>
      </w:r>
    </w:p>
    <w:p w14:paraId="46EFE7CE" w14:textId="77777777" w:rsidR="00730BD4" w:rsidRDefault="00730BD4" w:rsidP="00730BD4">
      <w:r>
        <w:rPr>
          <w:szCs w:val="24"/>
        </w:rPr>
        <w:t>El análisis complementario del IBEX 35 mediante valores de Shapley aporta una perspectiva adicional que matiza y enriquece los resultados generales. Si bien el factor de mercado domina la explicación de las rentabilidades en la mayoría de las grandes empresas españolas, el factor ESG alcanza una contribución media apreciable (12,2 %) y resulta determinante en empresas concretas del sector energético. El caso de Repsol es paradigmático: que el factor ESG explique la mitad de la variabilidad de su rentabilidad ilustra de forma nítida cómo las compañías más expuestas al riesgo de transición energética presentan una sensibilidad muy elevada a la dimensión de sostenibilidad, un hallazgo que conecta directamente con los planteamientos de Görgen et al. (2020) sobre el riesgo de carbono.</w:t>
      </w:r>
    </w:p>
    <w:p w14:paraId="16A93E08" w14:textId="77777777" w:rsidR="002F57E6" w:rsidRDefault="002F57E6" w:rsidP="00F077B7">
      <w:pPr>
        <w:keepLines w:val="0"/>
        <w:spacing w:after="160" w:line="240" w:lineRule="auto"/>
        <w:jc w:val="left"/>
        <w:rPr>
          <w:lang w:val="es-ES"/>
        </w:rPr>
      </w:pPr>
      <w:r>
        <w:rPr>
          <w:lang w:val="es-ES"/>
        </w:rPr>
        <w:br w:type="page"/>
      </w:r>
    </w:p>
    <w:p w14:paraId="2DF6BDCD" w14:textId="13081D17" w:rsidR="00304B20" w:rsidRPr="00F077B7" w:rsidRDefault="00304B20" w:rsidP="00304B20">
      <w:pPr>
        <w:pStyle w:val="Ttulo1"/>
        <w:rPr>
          <w:b/>
          <w:bCs/>
        </w:rPr>
      </w:pPr>
      <w:bookmarkStart w:id="25" w:name="_Toc231769144"/>
      <w:r w:rsidRPr="00F077B7">
        <w:rPr>
          <w:b/>
          <w:bCs/>
        </w:rPr>
        <w:lastRenderedPageBreak/>
        <w:t xml:space="preserve">6. </w:t>
      </w:r>
      <w:r w:rsidR="00730BD4">
        <w:rPr>
          <w:b/>
          <w:bCs/>
        </w:rPr>
        <w:t>CONCLUSIONES</w:t>
      </w:r>
      <w:bookmarkEnd w:id="25"/>
    </w:p>
    <w:p w14:paraId="25F0F3C8" w14:textId="77777777" w:rsidR="00730BD4" w:rsidRDefault="00730BD4" w:rsidP="00730BD4">
      <w:r>
        <w:rPr>
          <w:szCs w:val="24"/>
        </w:rPr>
        <w:t>El presente trabajo ha analizado si la sostenibilidad corporativa constituye una dimensión relevante en la valoración de los activos de renta variable europeos, mediante la construcción de un factor ESG de tipo Green Minus Brown y su incorporación a un modelo de cuatro factores estimado sobre 431 empresas del índice STOXX Europe 600 durante el período 2021-2025. El planteamiento metodológico, inspirado en el modelo de Fama y French, ha permitido contrastar cuatro hipótesis de investigación.</w:t>
      </w:r>
    </w:p>
    <w:p w14:paraId="27C4FFF2" w14:textId="407489B6" w:rsidR="00730BD4" w:rsidRDefault="00730BD4" w:rsidP="00730BD4">
      <w:r>
        <w:rPr>
          <w:szCs w:val="24"/>
        </w:rPr>
        <w:t xml:space="preserve">Las principales conclusiones pueden resumirse del siguiente modo. En primer lugar, no se encuentra evidencia de una prima ESG estadísticamente significativa (H1 confirmada): el mercado europeo no premia ni penaliza de forma sistemática la inversión sostenible durante el período analizado, en consonancia con la hipótesis de eficiencia de los mercados. En segundo lugar, el factor ESG constituye, sin embargo, un factor de riesgo válido, en la medida en que discrimina de forma altamente significativa entre empresas según su perfil de sostenibilidad, con un coeficiente de sensibilidad que crece de forma monótona desde las empresas Brown hasta las Green (H2 confirmada). En tercer lugar, el factor aporta información mayoritariamente independiente de los factores tradicionales, aunque con una proximidad apreciable al factor valor (H3 confirmada con matices). Por último, la ausencia de diferencias en </w:t>
      </w:r>
      <w:r w:rsidR="000601C9">
        <w:rPr>
          <w:szCs w:val="24"/>
        </w:rPr>
        <w:t>las alfas</w:t>
      </w:r>
      <w:r>
        <w:rPr>
          <w:szCs w:val="24"/>
        </w:rPr>
        <w:t xml:space="preserve"> entre </w:t>
      </w:r>
      <w:proofErr w:type="spellStart"/>
      <w:r>
        <w:rPr>
          <w:szCs w:val="24"/>
        </w:rPr>
        <w:t>terciles</w:t>
      </w:r>
      <w:proofErr w:type="spellEnd"/>
      <w:r>
        <w:rPr>
          <w:szCs w:val="24"/>
        </w:rPr>
        <w:t xml:space="preserve"> confirma que no existen oportunidades de rentabilidad anormal asociadas al perfil ESG (H4 confirmada).</w:t>
      </w:r>
    </w:p>
    <w:p w14:paraId="4B9BBAE9" w14:textId="77777777" w:rsidR="00730BD4" w:rsidRDefault="00730BD4" w:rsidP="00730BD4">
      <w:r>
        <w:rPr>
          <w:szCs w:val="24"/>
        </w:rPr>
        <w:t>La principal aportación del trabajo radica en la distinción, empíricamente fundamentada, entre la existencia de un factor de riesgo ESG —que sí se constata— y la existencia de una prima de riesgo asociada al mismo —que no se constata—. Desde el punto de vista práctico, estos resultados sugieren que las estrategias de inversión basadas exclusivamente en criterios ESG no habrían generado, en el período analizado, una rentabilidad ajustada al riesgo superior a la del mercado, si bien tampoco habrían supuesto un coste de oportunidad significativo. La sostenibilidad se configura, por tanto, como una dimensión relevante del riesgo, pero no como una fuente de rentabilidad anormal explotable.</w:t>
      </w:r>
    </w:p>
    <w:p w14:paraId="305E47E0" w14:textId="77777777" w:rsidR="00730BD4" w:rsidRDefault="00730BD4" w:rsidP="00730BD4">
      <w:r>
        <w:rPr>
          <w:szCs w:val="24"/>
        </w:rPr>
        <w:lastRenderedPageBreak/>
        <w:t>El trabajo presenta varias limitaciones que conviene reconocer. La principal es la limitada extensión temporal de la muestra (59 observaciones mensuales), inferior a la de los estudios clásicos, lo que reduce la potencia estadística y aumenta la sensibilidad de los resultados al contexto específico del período analizado, particularmente convulso. En segundo lugar, el empleo de una clasificación ESG estática, junto con la extracción de las puntuaciones en una fecha posterior al período de estudio, introduce un sesgo de anticipación que, si bien atenuado por la persistencia de los ratings ESG, debe tenerse presente. En tercer lugar, la conocida divergencia entre los proveedores de calificaciones ESG (Berg et al., 2022) implica que los resultados podrían variar con una fuente de datos distinta. Por último, la correlación apreciable entre el factor ESG y el factor valor aconseja prudencia en la atribución causal de los efectos.</w:t>
      </w:r>
    </w:p>
    <w:p w14:paraId="11D296ED" w14:textId="2DD00E49" w:rsidR="00BA271E" w:rsidRPr="00730BD4" w:rsidRDefault="00730BD4" w:rsidP="00730BD4">
      <w:r>
        <w:rPr>
          <w:szCs w:val="24"/>
        </w:rPr>
        <w:t>Estas limitaciones abren, a su vez, diversas líneas de investigación futura. Entre ellas destacan la ampliación del horizonte temporal a medida que se disponga de más datos posteriores a la implantación del SFDR; la adopción de una clasificación ESG dinámica, con rebalanceo periódico de las carteras, que capture la evolución del perfil de sostenibilidad de las empresas; la comparación sistemática de los resultados obtenidos con distintos proveedores de calificaciones ESG, a fin de evaluar la robustez de las conclusiones; y la descomposición del análisis en los tres pilares —ambiental, social y de gobernanza— por separado, con el objetivo de identificar cuál de las tres dimensiones de la sostenibilidad resulta más relevante en la valoración de los activos.</w:t>
      </w:r>
    </w:p>
    <w:p w14:paraId="7F29DE11" w14:textId="77777777" w:rsidR="00730BD4" w:rsidRDefault="00730BD4">
      <w:pPr>
        <w:keepLines w:val="0"/>
        <w:jc w:val="left"/>
        <w:rPr>
          <w:rFonts w:asciiTheme="majorHAnsi" w:eastAsiaTheme="majorEastAsia" w:hAnsiTheme="majorHAnsi" w:cstheme="majorBidi"/>
          <w:b/>
          <w:bCs/>
          <w:color w:val="0F4761" w:themeColor="accent1" w:themeShade="BF"/>
          <w:sz w:val="40"/>
          <w:szCs w:val="40"/>
          <w:lang w:val="es-ES"/>
        </w:rPr>
      </w:pPr>
      <w:r>
        <w:rPr>
          <w:b/>
          <w:bCs/>
          <w:lang w:val="es-ES"/>
        </w:rPr>
        <w:br w:type="page"/>
      </w:r>
    </w:p>
    <w:p w14:paraId="4D267A16" w14:textId="6B7D3A6C" w:rsidR="00BA271E" w:rsidRPr="00F077B7" w:rsidRDefault="00BA271E" w:rsidP="00BA271E">
      <w:pPr>
        <w:pStyle w:val="Ttulo1"/>
        <w:rPr>
          <w:b/>
          <w:bCs/>
          <w:lang w:val="es-ES"/>
        </w:rPr>
      </w:pPr>
      <w:bookmarkStart w:id="26" w:name="_Toc231769145"/>
      <w:r w:rsidRPr="00F077B7">
        <w:rPr>
          <w:b/>
          <w:bCs/>
          <w:lang w:val="es-ES"/>
        </w:rPr>
        <w:lastRenderedPageBreak/>
        <w:t xml:space="preserve">7. </w:t>
      </w:r>
      <w:r w:rsidR="0093523A">
        <w:rPr>
          <w:b/>
          <w:bCs/>
          <w:lang w:val="es-ES"/>
        </w:rPr>
        <w:t>B</w:t>
      </w:r>
      <w:bookmarkEnd w:id="26"/>
      <w:r w:rsidR="000601C9">
        <w:rPr>
          <w:b/>
          <w:bCs/>
          <w:lang w:val="es-ES"/>
        </w:rPr>
        <w:t>IBLIOGRAFÍA</w:t>
      </w:r>
    </w:p>
    <w:p w14:paraId="46594E61" w14:textId="77777777" w:rsidR="0093523A" w:rsidRPr="007072B0" w:rsidRDefault="0093523A" w:rsidP="0093523A">
      <w:pPr>
        <w:ind w:left="567" w:hanging="567"/>
        <w:rPr>
          <w:lang w:val="en-US"/>
        </w:rPr>
      </w:pPr>
      <w:r>
        <w:rPr>
          <w:szCs w:val="24"/>
        </w:rPr>
        <w:t xml:space="preserve">Berg, F., Kölbel, J. F. y </w:t>
      </w:r>
      <w:proofErr w:type="spellStart"/>
      <w:r>
        <w:rPr>
          <w:szCs w:val="24"/>
        </w:rPr>
        <w:t>Rigobon</w:t>
      </w:r>
      <w:proofErr w:type="spellEnd"/>
      <w:r>
        <w:rPr>
          <w:szCs w:val="24"/>
        </w:rPr>
        <w:t xml:space="preserve">, R. (2022). </w:t>
      </w:r>
      <w:r w:rsidRPr="007072B0">
        <w:rPr>
          <w:szCs w:val="24"/>
          <w:lang w:val="en-US"/>
        </w:rPr>
        <w:t>Aggregate Confusion: The Divergence of ESG Ratings. Review of Finance, 26(6), 1315-1344.</w:t>
      </w:r>
    </w:p>
    <w:p w14:paraId="6B20C331" w14:textId="77777777" w:rsidR="0093523A" w:rsidRPr="007072B0" w:rsidRDefault="0093523A" w:rsidP="0093523A">
      <w:pPr>
        <w:ind w:left="567" w:hanging="567"/>
        <w:rPr>
          <w:lang w:val="en-US"/>
        </w:rPr>
      </w:pPr>
      <w:r w:rsidRPr="007072B0">
        <w:rPr>
          <w:szCs w:val="24"/>
          <w:lang w:val="en-US"/>
        </w:rPr>
        <w:t>Fama, E. F. (1970). Efficient Capital Markets: A Review of Theory and Empirical Work. The Journal of Finance, 25(2), 383-417.</w:t>
      </w:r>
    </w:p>
    <w:p w14:paraId="62ED147A" w14:textId="77777777" w:rsidR="0093523A" w:rsidRPr="007072B0" w:rsidRDefault="0093523A" w:rsidP="0093523A">
      <w:pPr>
        <w:ind w:left="567" w:hanging="567"/>
        <w:rPr>
          <w:lang w:val="en-US"/>
        </w:rPr>
      </w:pPr>
      <w:r w:rsidRPr="007072B0">
        <w:rPr>
          <w:szCs w:val="24"/>
          <w:lang w:val="en-US"/>
        </w:rPr>
        <w:t>Fama, E. F. y French, K. R. (1993). Common risk factors in the returns on stocks and bonds. Journal of Financial Economics, 33(1), 3-56.</w:t>
      </w:r>
    </w:p>
    <w:p w14:paraId="3C3778E4" w14:textId="77777777" w:rsidR="0093523A" w:rsidRPr="007072B0" w:rsidRDefault="0093523A" w:rsidP="0093523A">
      <w:pPr>
        <w:ind w:left="567" w:hanging="567"/>
        <w:rPr>
          <w:lang w:val="en-US"/>
        </w:rPr>
      </w:pPr>
      <w:r w:rsidRPr="007072B0">
        <w:rPr>
          <w:szCs w:val="24"/>
          <w:lang w:val="en-US"/>
        </w:rPr>
        <w:t>Fama, E. F. y French, K. R. (2015). A five-factor asset pricing model. Journal of Financial Economics, 116(1), 1-22.</w:t>
      </w:r>
    </w:p>
    <w:p w14:paraId="3725A43C" w14:textId="77777777" w:rsidR="0093523A" w:rsidRPr="007072B0" w:rsidRDefault="0093523A" w:rsidP="0093523A">
      <w:pPr>
        <w:ind w:left="567" w:hanging="567"/>
        <w:rPr>
          <w:lang w:val="en-US"/>
        </w:rPr>
      </w:pPr>
      <w:r w:rsidRPr="007072B0">
        <w:rPr>
          <w:szCs w:val="24"/>
          <w:lang w:val="en-US"/>
        </w:rPr>
        <w:t>Freeman, R. E. (1984). Strategic Management: A Stakeholder Approach. Pitman.</w:t>
      </w:r>
    </w:p>
    <w:p w14:paraId="3A1A70BB" w14:textId="77777777" w:rsidR="0093523A" w:rsidRPr="007072B0" w:rsidRDefault="0093523A" w:rsidP="0093523A">
      <w:pPr>
        <w:ind w:left="567" w:hanging="567"/>
        <w:rPr>
          <w:lang w:val="en-US"/>
        </w:rPr>
      </w:pPr>
      <w:r w:rsidRPr="007072B0">
        <w:rPr>
          <w:szCs w:val="24"/>
          <w:lang w:val="en-US"/>
        </w:rPr>
        <w:t>Görgen, M., Jacob, A., Nerlinger, M., Riordan, R., Rohleder, M. y Wilkens, M. (2020). Carbon Risk. Working Paper.</w:t>
      </w:r>
    </w:p>
    <w:p w14:paraId="23639518" w14:textId="77777777" w:rsidR="0093523A" w:rsidRPr="007072B0" w:rsidRDefault="0093523A" w:rsidP="0093523A">
      <w:pPr>
        <w:ind w:left="567" w:hanging="567"/>
        <w:rPr>
          <w:lang w:val="en-US"/>
        </w:rPr>
      </w:pPr>
      <w:r w:rsidRPr="007072B0">
        <w:rPr>
          <w:szCs w:val="24"/>
          <w:lang w:val="en-US"/>
        </w:rPr>
        <w:t>Hong, H. y Kacperczyk, M. (2009). The price of sin: The effects of social norms on markets. Journal of Financial Economics, 93(1), 15-36.</w:t>
      </w:r>
    </w:p>
    <w:p w14:paraId="3E5B876B" w14:textId="77777777" w:rsidR="0093523A" w:rsidRPr="007072B0" w:rsidRDefault="0093523A" w:rsidP="0093523A">
      <w:pPr>
        <w:ind w:left="567" w:hanging="567"/>
        <w:rPr>
          <w:lang w:val="en-US"/>
        </w:rPr>
      </w:pPr>
      <w:r w:rsidRPr="007072B0">
        <w:rPr>
          <w:szCs w:val="24"/>
          <w:lang w:val="en-US"/>
        </w:rPr>
        <w:t>Markowitz, H. (1952). Portfolio Selection. The Journal of Finance, 7(1), 77-91.</w:t>
      </w:r>
    </w:p>
    <w:p w14:paraId="5866FB92" w14:textId="77777777" w:rsidR="0093523A" w:rsidRDefault="0093523A" w:rsidP="0093523A">
      <w:pPr>
        <w:ind w:left="567" w:hanging="567"/>
      </w:pPr>
      <w:r w:rsidRPr="007072B0">
        <w:rPr>
          <w:szCs w:val="24"/>
          <w:lang w:val="en-US"/>
        </w:rPr>
        <w:t xml:space="preserve">Newey, W. K. y West, K. D. (1987). A Simple, Positive Semi-Definite, Heteroskedasticity and Autocorrelation Consistent Covariance Matrix. </w:t>
      </w:r>
      <w:proofErr w:type="spellStart"/>
      <w:r>
        <w:rPr>
          <w:szCs w:val="24"/>
        </w:rPr>
        <w:t>Econometrica</w:t>
      </w:r>
      <w:proofErr w:type="spellEnd"/>
      <w:r>
        <w:rPr>
          <w:szCs w:val="24"/>
        </w:rPr>
        <w:t>, 55(3), 703-708.</w:t>
      </w:r>
    </w:p>
    <w:p w14:paraId="01CDF8DE" w14:textId="77777777" w:rsidR="0093523A" w:rsidRPr="007072B0" w:rsidRDefault="0093523A" w:rsidP="0093523A">
      <w:pPr>
        <w:ind w:left="567" w:hanging="567"/>
        <w:rPr>
          <w:lang w:val="en-US"/>
        </w:rPr>
      </w:pPr>
      <w:proofErr w:type="spellStart"/>
      <w:r>
        <w:rPr>
          <w:szCs w:val="24"/>
        </w:rPr>
        <w:t>Pástor</w:t>
      </w:r>
      <w:proofErr w:type="spellEnd"/>
      <w:r>
        <w:rPr>
          <w:szCs w:val="24"/>
        </w:rPr>
        <w:t xml:space="preserve">, L., Stambaugh, R. F. y Taylor, L. A. (2021). </w:t>
      </w:r>
      <w:r w:rsidRPr="007072B0">
        <w:rPr>
          <w:szCs w:val="24"/>
          <w:lang w:val="en-US"/>
        </w:rPr>
        <w:t>Sustainable investing in equilibrium. Journal of Financial Economics, 142(2), 550-571.</w:t>
      </w:r>
    </w:p>
    <w:p w14:paraId="55D1148B" w14:textId="77777777" w:rsidR="0093523A" w:rsidRDefault="0093523A" w:rsidP="0093523A">
      <w:pPr>
        <w:ind w:left="567" w:hanging="567"/>
      </w:pPr>
      <w:r>
        <w:rPr>
          <w:szCs w:val="24"/>
        </w:rPr>
        <w:t>Reglamento (UE) 2019/2088 del Parlamento Europeo y del Consejo, de 27 de noviembre de 2019, sobre la divulgación de información relativa a la sostenibilidad en el sector de los servicios financieros (SFDR).</w:t>
      </w:r>
    </w:p>
    <w:p w14:paraId="510E05AB" w14:textId="77777777" w:rsidR="0093523A" w:rsidRPr="007072B0" w:rsidRDefault="0093523A" w:rsidP="0093523A">
      <w:pPr>
        <w:ind w:left="567" w:hanging="567"/>
        <w:rPr>
          <w:lang w:val="en-US"/>
        </w:rPr>
      </w:pPr>
      <w:r w:rsidRPr="007072B0">
        <w:rPr>
          <w:szCs w:val="24"/>
          <w:lang w:val="en-US"/>
        </w:rPr>
        <w:t>Ross, S. A. (1976). The arbitrage theory of capital asset pricing. Journal of Economic Theory, 13(3), 341-360.</w:t>
      </w:r>
    </w:p>
    <w:p w14:paraId="21FC548E" w14:textId="77777777" w:rsidR="0093523A" w:rsidRDefault="0093523A" w:rsidP="0093523A">
      <w:pPr>
        <w:ind w:left="567" w:hanging="567"/>
      </w:pPr>
      <w:r w:rsidRPr="007072B0">
        <w:rPr>
          <w:szCs w:val="24"/>
          <w:lang w:val="en-US"/>
        </w:rPr>
        <w:t xml:space="preserve">Sharpe, W. F. (1964). Capital Asset Prices: A Theory of Market Equilibrium under Conditions of Risk. </w:t>
      </w:r>
      <w:r>
        <w:rPr>
          <w:szCs w:val="24"/>
        </w:rPr>
        <w:t xml:space="preserve">The </w:t>
      </w:r>
      <w:proofErr w:type="spellStart"/>
      <w:r>
        <w:rPr>
          <w:szCs w:val="24"/>
        </w:rPr>
        <w:t>Journal</w:t>
      </w:r>
      <w:proofErr w:type="spellEnd"/>
      <w:r>
        <w:rPr>
          <w:szCs w:val="24"/>
        </w:rPr>
        <w:t xml:space="preserve"> </w:t>
      </w:r>
      <w:proofErr w:type="spellStart"/>
      <w:r>
        <w:rPr>
          <w:szCs w:val="24"/>
        </w:rPr>
        <w:t>of</w:t>
      </w:r>
      <w:proofErr w:type="spellEnd"/>
      <w:r>
        <w:rPr>
          <w:szCs w:val="24"/>
        </w:rPr>
        <w:t xml:space="preserve"> </w:t>
      </w:r>
      <w:proofErr w:type="spellStart"/>
      <w:r>
        <w:rPr>
          <w:szCs w:val="24"/>
        </w:rPr>
        <w:t>Finance</w:t>
      </w:r>
      <w:proofErr w:type="spellEnd"/>
      <w:r>
        <w:rPr>
          <w:szCs w:val="24"/>
        </w:rPr>
        <w:t>, 19(3), 425-442.</w:t>
      </w:r>
    </w:p>
    <w:p w14:paraId="1E352D29" w14:textId="77777777" w:rsidR="000601C9" w:rsidRDefault="000601C9">
      <w:pPr>
        <w:keepLines w:val="0"/>
        <w:jc w:val="left"/>
      </w:pPr>
      <w:r>
        <w:br w:type="page"/>
      </w:r>
    </w:p>
    <w:p w14:paraId="472126A1" w14:textId="2B6185C1" w:rsidR="000601C9" w:rsidRPr="000601C9" w:rsidRDefault="000601C9" w:rsidP="000601C9">
      <w:pPr>
        <w:pStyle w:val="Ttulo1"/>
        <w:rPr>
          <w:b/>
          <w:bCs/>
        </w:rPr>
      </w:pPr>
      <w:r w:rsidRPr="000601C9">
        <w:rPr>
          <w:b/>
          <w:bCs/>
        </w:rPr>
        <w:lastRenderedPageBreak/>
        <w:t>8. ANEXOS</w:t>
      </w:r>
    </w:p>
    <w:p w14:paraId="355FAD7C" w14:textId="41D5CF83" w:rsidR="009510C1" w:rsidRDefault="000601C9" w:rsidP="000601C9">
      <w:pPr>
        <w:pStyle w:val="Ttulo3"/>
      </w:pPr>
      <w:r>
        <w:t>8.1 Anexo I. Composición sectorial de la muestra</w:t>
      </w:r>
    </w:p>
    <w:p w14:paraId="08884140" w14:textId="77777777" w:rsidR="000601C9" w:rsidRDefault="000601C9" w:rsidP="000601C9">
      <w:pPr>
        <w:spacing w:before="120" w:after="60"/>
      </w:pPr>
      <w:r>
        <w:rPr>
          <w:b/>
          <w:bCs/>
          <w:sz w:val="22"/>
        </w:rPr>
        <w:t>Tabla A.1. Distribución de la muestra por sector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1950"/>
        <w:gridCol w:w="1950"/>
      </w:tblGrid>
      <w:tr w:rsidR="000601C9" w14:paraId="6CC0B818"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6E3BF5CF" w14:textId="77777777" w:rsidR="000601C9" w:rsidRDefault="000601C9" w:rsidP="00D012BC">
            <w:pPr>
              <w:jc w:val="center"/>
            </w:pPr>
            <w:r>
              <w:rPr>
                <w:b/>
                <w:bCs/>
                <w:color w:val="FFFFFF"/>
                <w:sz w:val="20"/>
                <w:szCs w:val="20"/>
              </w:rPr>
              <w:t>Sector</w:t>
            </w:r>
          </w:p>
        </w:tc>
        <w:tc>
          <w:tcPr>
            <w:tcW w:w="195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0D5203EF" w14:textId="77777777" w:rsidR="000601C9" w:rsidRDefault="000601C9" w:rsidP="00D012BC">
            <w:pPr>
              <w:jc w:val="center"/>
            </w:pPr>
            <w:proofErr w:type="spellStart"/>
            <w:r>
              <w:rPr>
                <w:b/>
                <w:bCs/>
                <w:color w:val="FFFFFF"/>
                <w:sz w:val="20"/>
                <w:szCs w:val="20"/>
              </w:rPr>
              <w:t>Nº</w:t>
            </w:r>
            <w:proofErr w:type="spellEnd"/>
            <w:r>
              <w:rPr>
                <w:b/>
                <w:bCs/>
                <w:color w:val="FFFFFF"/>
                <w:sz w:val="20"/>
                <w:szCs w:val="20"/>
              </w:rPr>
              <w:t xml:space="preserve"> empresas</w:t>
            </w:r>
          </w:p>
        </w:tc>
        <w:tc>
          <w:tcPr>
            <w:tcW w:w="1950" w:type="dxa"/>
            <w:tcBorders>
              <w:top w:val="single" w:sz="1" w:space="0" w:color="999999"/>
              <w:left w:val="single" w:sz="1" w:space="0" w:color="999999"/>
              <w:bottom w:val="single" w:sz="1" w:space="0" w:color="999999"/>
              <w:right w:val="single" w:sz="1" w:space="0" w:color="999999"/>
            </w:tcBorders>
            <w:shd w:val="clear" w:color="auto" w:fill="2E5496"/>
            <w:tcMar>
              <w:top w:w="50" w:type="dxa"/>
              <w:left w:w="90" w:type="dxa"/>
              <w:bottom w:w="50" w:type="dxa"/>
              <w:right w:w="90" w:type="dxa"/>
            </w:tcMar>
          </w:tcPr>
          <w:p w14:paraId="1E6D9383" w14:textId="77777777" w:rsidR="000601C9" w:rsidRDefault="000601C9" w:rsidP="00D012BC">
            <w:pPr>
              <w:jc w:val="center"/>
            </w:pPr>
            <w:r>
              <w:rPr>
                <w:b/>
                <w:bCs/>
                <w:color w:val="FFFFFF"/>
                <w:sz w:val="20"/>
                <w:szCs w:val="20"/>
              </w:rPr>
              <w:t>% muestra</w:t>
            </w:r>
          </w:p>
        </w:tc>
      </w:tr>
      <w:tr w:rsidR="000601C9" w14:paraId="26F282EA"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86350B4" w14:textId="77777777" w:rsidR="000601C9" w:rsidRDefault="000601C9" w:rsidP="00D012BC">
            <w:r>
              <w:rPr>
                <w:sz w:val="20"/>
                <w:szCs w:val="20"/>
              </w:rPr>
              <w:t>Bienes industriales</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51BD717" w14:textId="77777777" w:rsidR="000601C9" w:rsidRDefault="000601C9" w:rsidP="00D012BC">
            <w:pPr>
              <w:jc w:val="center"/>
            </w:pPr>
            <w:r>
              <w:rPr>
                <w:sz w:val="20"/>
                <w:szCs w:val="20"/>
              </w:rPr>
              <w:t>63</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2817750F" w14:textId="77777777" w:rsidR="000601C9" w:rsidRDefault="000601C9" w:rsidP="00D012BC">
            <w:pPr>
              <w:jc w:val="center"/>
            </w:pPr>
            <w:r>
              <w:rPr>
                <w:sz w:val="20"/>
                <w:szCs w:val="20"/>
              </w:rPr>
              <w:t>14.6 %</w:t>
            </w:r>
          </w:p>
        </w:tc>
      </w:tr>
      <w:tr w:rsidR="000601C9" w14:paraId="52B18FFC"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09502E8" w14:textId="77777777" w:rsidR="000601C9" w:rsidRDefault="000601C9" w:rsidP="00D012BC">
            <w:r>
              <w:rPr>
                <w:sz w:val="20"/>
                <w:szCs w:val="20"/>
              </w:rPr>
              <w:t>Servicios industriales y comerciales</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F9D4517" w14:textId="77777777" w:rsidR="000601C9" w:rsidRDefault="000601C9" w:rsidP="00D012BC">
            <w:pPr>
              <w:jc w:val="center"/>
            </w:pPr>
            <w:r>
              <w:rPr>
                <w:sz w:val="20"/>
                <w:szCs w:val="20"/>
              </w:rPr>
              <w:t>36</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3F704FC8" w14:textId="77777777" w:rsidR="000601C9" w:rsidRDefault="000601C9" w:rsidP="00D012BC">
            <w:pPr>
              <w:jc w:val="center"/>
            </w:pPr>
            <w:r>
              <w:rPr>
                <w:sz w:val="20"/>
                <w:szCs w:val="20"/>
              </w:rPr>
              <w:t>8.4 %</w:t>
            </w:r>
          </w:p>
        </w:tc>
      </w:tr>
      <w:tr w:rsidR="000601C9" w14:paraId="074E3782"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0ED98B5" w14:textId="77777777" w:rsidR="000601C9" w:rsidRDefault="000601C9" w:rsidP="00D012BC">
            <w:r>
              <w:rPr>
                <w:sz w:val="20"/>
                <w:szCs w:val="20"/>
              </w:rPr>
              <w:t>Farmacia e investigación médica</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36080948" w14:textId="77777777" w:rsidR="000601C9" w:rsidRDefault="000601C9" w:rsidP="00D012BC">
            <w:pPr>
              <w:jc w:val="center"/>
            </w:pPr>
            <w:r>
              <w:rPr>
                <w:sz w:val="20"/>
                <w:szCs w:val="20"/>
              </w:rPr>
              <w:t>29</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D58EB77" w14:textId="77777777" w:rsidR="000601C9" w:rsidRDefault="000601C9" w:rsidP="00D012BC">
            <w:pPr>
              <w:jc w:val="center"/>
            </w:pPr>
            <w:r>
              <w:rPr>
                <w:sz w:val="20"/>
                <w:szCs w:val="20"/>
              </w:rPr>
              <w:t>6.7 %</w:t>
            </w:r>
          </w:p>
        </w:tc>
      </w:tr>
      <w:tr w:rsidR="000601C9" w14:paraId="4B684473"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EB432B1" w14:textId="77777777" w:rsidR="000601C9" w:rsidRDefault="000601C9" w:rsidP="00D012BC">
            <w:proofErr w:type="spellStart"/>
            <w:r>
              <w:rPr>
                <w:sz w:val="20"/>
                <w:szCs w:val="20"/>
              </w:rPr>
              <w:t>Utilities</w:t>
            </w:r>
            <w:proofErr w:type="spellEnd"/>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4209A08B" w14:textId="77777777" w:rsidR="000601C9" w:rsidRDefault="000601C9" w:rsidP="00D012BC">
            <w:pPr>
              <w:jc w:val="center"/>
            </w:pPr>
            <w:r>
              <w:rPr>
                <w:sz w:val="20"/>
                <w:szCs w:val="20"/>
              </w:rPr>
              <w:t>27</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0660D216" w14:textId="77777777" w:rsidR="000601C9" w:rsidRDefault="000601C9" w:rsidP="00D012BC">
            <w:pPr>
              <w:jc w:val="center"/>
            </w:pPr>
            <w:r>
              <w:rPr>
                <w:sz w:val="20"/>
                <w:szCs w:val="20"/>
              </w:rPr>
              <w:t>6.3 %</w:t>
            </w:r>
          </w:p>
        </w:tc>
      </w:tr>
      <w:tr w:rsidR="000601C9" w14:paraId="14F4F3B0"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A16BAED" w14:textId="77777777" w:rsidR="000601C9" w:rsidRDefault="000601C9" w:rsidP="00D012BC">
            <w:r>
              <w:rPr>
                <w:sz w:val="20"/>
                <w:szCs w:val="20"/>
              </w:rPr>
              <w:t>Alimentación y bebidas</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550E1D6B" w14:textId="77777777" w:rsidR="000601C9" w:rsidRDefault="000601C9" w:rsidP="00D012BC">
            <w:pPr>
              <w:jc w:val="center"/>
            </w:pPr>
            <w:r>
              <w:rPr>
                <w:sz w:val="20"/>
                <w:szCs w:val="20"/>
              </w:rPr>
              <w:t>25</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98B6D83" w14:textId="77777777" w:rsidR="000601C9" w:rsidRDefault="000601C9" w:rsidP="00D012BC">
            <w:pPr>
              <w:jc w:val="center"/>
            </w:pPr>
            <w:r>
              <w:rPr>
                <w:sz w:val="20"/>
                <w:szCs w:val="20"/>
              </w:rPr>
              <w:t>5.8 %</w:t>
            </w:r>
          </w:p>
        </w:tc>
      </w:tr>
      <w:tr w:rsidR="000601C9" w14:paraId="1BD29A41"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4356A27" w14:textId="77777777" w:rsidR="000601C9" w:rsidRDefault="000601C9" w:rsidP="00D012BC">
            <w:r>
              <w:rPr>
                <w:sz w:val="20"/>
                <w:szCs w:val="20"/>
              </w:rPr>
              <w:t>Productos de consumo cíclico</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0360B05" w14:textId="77777777" w:rsidR="000601C9" w:rsidRDefault="000601C9" w:rsidP="00D012BC">
            <w:pPr>
              <w:jc w:val="center"/>
            </w:pPr>
            <w:r>
              <w:rPr>
                <w:sz w:val="20"/>
                <w:szCs w:val="20"/>
              </w:rPr>
              <w:t>25</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1451A925" w14:textId="77777777" w:rsidR="000601C9" w:rsidRDefault="000601C9" w:rsidP="00D012BC">
            <w:pPr>
              <w:jc w:val="center"/>
            </w:pPr>
            <w:r>
              <w:rPr>
                <w:sz w:val="20"/>
                <w:szCs w:val="20"/>
              </w:rPr>
              <w:t>5.8 %</w:t>
            </w:r>
          </w:p>
        </w:tc>
      </w:tr>
      <w:tr w:rsidR="000601C9" w14:paraId="3B1327F5"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97470B9" w14:textId="77777777" w:rsidR="000601C9" w:rsidRDefault="000601C9" w:rsidP="00D012BC">
            <w:r>
              <w:rPr>
                <w:sz w:val="20"/>
                <w:szCs w:val="20"/>
              </w:rPr>
              <w:t>Energía – combustibles fósiles</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315637E" w14:textId="77777777" w:rsidR="000601C9" w:rsidRDefault="000601C9" w:rsidP="00D012BC">
            <w:pPr>
              <w:jc w:val="center"/>
            </w:pPr>
            <w:r>
              <w:rPr>
                <w:sz w:val="20"/>
                <w:szCs w:val="20"/>
              </w:rPr>
              <w:t>24</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6969D08" w14:textId="77777777" w:rsidR="000601C9" w:rsidRDefault="000601C9" w:rsidP="00D012BC">
            <w:pPr>
              <w:jc w:val="center"/>
            </w:pPr>
            <w:r>
              <w:rPr>
                <w:sz w:val="20"/>
                <w:szCs w:val="20"/>
              </w:rPr>
              <w:t>5.6 %</w:t>
            </w:r>
          </w:p>
        </w:tc>
      </w:tr>
      <w:tr w:rsidR="000601C9" w14:paraId="473985B2"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68F0A9A2" w14:textId="77777777" w:rsidR="000601C9" w:rsidRDefault="000601C9" w:rsidP="00D012BC">
            <w:r>
              <w:rPr>
                <w:sz w:val="20"/>
                <w:szCs w:val="20"/>
              </w:rPr>
              <w:t>Recursos minerales</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3A89E90" w14:textId="77777777" w:rsidR="000601C9" w:rsidRDefault="000601C9" w:rsidP="00D012BC">
            <w:pPr>
              <w:jc w:val="center"/>
            </w:pPr>
            <w:r>
              <w:rPr>
                <w:sz w:val="20"/>
                <w:szCs w:val="20"/>
              </w:rPr>
              <w:t>22</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6D7FE0A" w14:textId="77777777" w:rsidR="000601C9" w:rsidRDefault="000601C9" w:rsidP="00D012BC">
            <w:pPr>
              <w:jc w:val="center"/>
            </w:pPr>
            <w:r>
              <w:rPr>
                <w:sz w:val="20"/>
                <w:szCs w:val="20"/>
              </w:rPr>
              <w:t>5.1 %</w:t>
            </w:r>
          </w:p>
        </w:tc>
      </w:tr>
      <w:tr w:rsidR="000601C9" w14:paraId="1107C88D"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04CAE31F" w14:textId="77777777" w:rsidR="000601C9" w:rsidRDefault="000601C9" w:rsidP="00D012BC">
            <w:r>
              <w:rPr>
                <w:sz w:val="20"/>
                <w:szCs w:val="20"/>
              </w:rPr>
              <w:t>Química</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7677CD7D" w14:textId="77777777" w:rsidR="000601C9" w:rsidRDefault="000601C9" w:rsidP="00D012BC">
            <w:pPr>
              <w:jc w:val="center"/>
            </w:pPr>
            <w:r>
              <w:rPr>
                <w:sz w:val="20"/>
                <w:szCs w:val="20"/>
              </w:rPr>
              <w:t>21</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6D131B36" w14:textId="77777777" w:rsidR="000601C9" w:rsidRDefault="000601C9" w:rsidP="00D012BC">
            <w:pPr>
              <w:jc w:val="center"/>
            </w:pPr>
            <w:r>
              <w:rPr>
                <w:sz w:val="20"/>
                <w:szCs w:val="20"/>
              </w:rPr>
              <w:t>4.9 %</w:t>
            </w:r>
          </w:p>
        </w:tc>
      </w:tr>
      <w:tr w:rsidR="000601C9" w14:paraId="36646D04"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72A58C48" w14:textId="77777777" w:rsidR="000601C9" w:rsidRDefault="000601C9" w:rsidP="00D012BC">
            <w:r>
              <w:rPr>
                <w:sz w:val="20"/>
                <w:szCs w:val="20"/>
              </w:rPr>
              <w:t>Software y servicios TI</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540395CC" w14:textId="77777777" w:rsidR="000601C9" w:rsidRDefault="000601C9" w:rsidP="00D012BC">
            <w:pPr>
              <w:jc w:val="center"/>
            </w:pPr>
            <w:r>
              <w:rPr>
                <w:sz w:val="20"/>
                <w:szCs w:val="20"/>
              </w:rPr>
              <w:t>21</w:t>
            </w:r>
          </w:p>
        </w:tc>
        <w:tc>
          <w:tcPr>
            <w:tcW w:w="1950" w:type="dxa"/>
            <w:tcBorders>
              <w:top w:val="single" w:sz="1" w:space="0" w:color="999999"/>
              <w:left w:val="single" w:sz="1" w:space="0" w:color="999999"/>
              <w:bottom w:val="single" w:sz="1" w:space="0" w:color="999999"/>
              <w:right w:val="single" w:sz="1" w:space="0" w:color="999999"/>
            </w:tcBorders>
            <w:shd w:val="clear" w:color="auto" w:fill="F2F2F2"/>
            <w:tcMar>
              <w:top w:w="45" w:type="dxa"/>
              <w:left w:w="90" w:type="dxa"/>
              <w:bottom w:w="45" w:type="dxa"/>
              <w:right w:w="90" w:type="dxa"/>
            </w:tcMar>
          </w:tcPr>
          <w:p w14:paraId="2896A5D4" w14:textId="77777777" w:rsidR="000601C9" w:rsidRDefault="000601C9" w:rsidP="00D012BC">
            <w:pPr>
              <w:jc w:val="center"/>
            </w:pPr>
            <w:r>
              <w:rPr>
                <w:sz w:val="20"/>
                <w:szCs w:val="20"/>
              </w:rPr>
              <w:t>4.9 %</w:t>
            </w:r>
          </w:p>
        </w:tc>
      </w:tr>
      <w:tr w:rsidR="000601C9" w14:paraId="6507AAE8" w14:textId="77777777" w:rsidTr="00D012BC">
        <w:tblPrEx>
          <w:tblCellMar>
            <w:top w:w="0" w:type="dxa"/>
            <w:bottom w:w="0" w:type="dxa"/>
          </w:tblCellMar>
        </w:tblPrEx>
        <w:tc>
          <w:tcPr>
            <w:tcW w:w="546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5B6F25E" w14:textId="77777777" w:rsidR="000601C9" w:rsidRDefault="000601C9" w:rsidP="00D012BC">
            <w:r>
              <w:rPr>
                <w:sz w:val="20"/>
                <w:szCs w:val="20"/>
              </w:rPr>
              <w:t>Otros (12 sectores)</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167CD7AB" w14:textId="77777777" w:rsidR="000601C9" w:rsidRDefault="000601C9" w:rsidP="00D012BC">
            <w:pPr>
              <w:jc w:val="center"/>
            </w:pPr>
            <w:r>
              <w:rPr>
                <w:sz w:val="20"/>
                <w:szCs w:val="20"/>
              </w:rPr>
              <w:t>138</w:t>
            </w:r>
          </w:p>
        </w:tc>
        <w:tc>
          <w:tcPr>
            <w:tcW w:w="1950" w:type="dxa"/>
            <w:tcBorders>
              <w:top w:val="single" w:sz="1" w:space="0" w:color="999999"/>
              <w:left w:val="single" w:sz="1" w:space="0" w:color="999999"/>
              <w:bottom w:val="single" w:sz="1" w:space="0" w:color="999999"/>
              <w:right w:val="single" w:sz="1" w:space="0" w:color="999999"/>
            </w:tcBorders>
            <w:tcMar>
              <w:top w:w="45" w:type="dxa"/>
              <w:left w:w="90" w:type="dxa"/>
              <w:bottom w:w="45" w:type="dxa"/>
              <w:right w:w="90" w:type="dxa"/>
            </w:tcMar>
          </w:tcPr>
          <w:p w14:paraId="4E6A7497" w14:textId="77777777" w:rsidR="000601C9" w:rsidRDefault="000601C9" w:rsidP="00D012BC">
            <w:pPr>
              <w:jc w:val="center"/>
            </w:pPr>
            <w:r>
              <w:rPr>
                <w:sz w:val="20"/>
                <w:szCs w:val="20"/>
              </w:rPr>
              <w:t>32.0 %</w:t>
            </w:r>
          </w:p>
        </w:tc>
      </w:tr>
    </w:tbl>
    <w:p w14:paraId="72346F41" w14:textId="77777777" w:rsidR="000601C9" w:rsidRDefault="000601C9" w:rsidP="000601C9">
      <w:pPr>
        <w:spacing w:before="40" w:after="160"/>
      </w:pPr>
      <w:r>
        <w:rPr>
          <w:i/>
          <w:iCs/>
          <w:sz w:val="20"/>
          <w:szCs w:val="20"/>
        </w:rPr>
        <w:t xml:space="preserve">Fuente: </w:t>
      </w:r>
      <w:r>
        <w:rPr>
          <w:sz w:val="20"/>
          <w:szCs w:val="20"/>
        </w:rPr>
        <w:t xml:space="preserve">elaboración propia a partir de datos de </w:t>
      </w:r>
      <w:proofErr w:type="spellStart"/>
      <w:r>
        <w:rPr>
          <w:sz w:val="20"/>
          <w:szCs w:val="20"/>
        </w:rPr>
        <w:t>Refinitiv</w:t>
      </w:r>
      <w:proofErr w:type="spellEnd"/>
      <w:r>
        <w:rPr>
          <w:sz w:val="20"/>
          <w:szCs w:val="20"/>
        </w:rPr>
        <w:t>.</w:t>
      </w:r>
    </w:p>
    <w:p w14:paraId="3C00FDC3" w14:textId="77777777" w:rsidR="000601C9" w:rsidRDefault="000601C9" w:rsidP="000601C9">
      <w:pPr>
        <w:pStyle w:val="Ttulo3"/>
      </w:pPr>
      <w:r>
        <w:lastRenderedPageBreak/>
        <w:t>8.2 Anexo II. Gráficos complementarios</w:t>
      </w:r>
    </w:p>
    <w:p w14:paraId="456B31C9" w14:textId="4174E1A3" w:rsidR="000601C9" w:rsidRDefault="000601C9" w:rsidP="000601C9">
      <w:pPr>
        <w:pStyle w:val="Ttulo3"/>
      </w:pPr>
      <w:r>
        <w:rPr>
          <w:noProof/>
        </w:rPr>
        <w:drawing>
          <wp:inline distT="0" distB="0" distL="0" distR="0" wp14:anchorId="5CE9B76B" wp14:editId="126AB306">
            <wp:extent cx="5398770" cy="3597275"/>
            <wp:effectExtent l="0" t="0" r="0" b="3175"/>
            <wp:docPr id="21197532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8770" cy="3597275"/>
                    </a:xfrm>
                    <a:prstGeom prst="rect">
                      <a:avLst/>
                    </a:prstGeom>
                    <a:noFill/>
                    <a:ln>
                      <a:noFill/>
                    </a:ln>
                  </pic:spPr>
                </pic:pic>
              </a:graphicData>
            </a:graphic>
          </wp:inline>
        </w:drawing>
      </w:r>
    </w:p>
    <w:p w14:paraId="4FF6530D" w14:textId="3B750FEE" w:rsidR="000601C9" w:rsidRDefault="000601C9" w:rsidP="000601C9">
      <w:pPr>
        <w:pStyle w:val="Ttulo3"/>
      </w:pPr>
      <w:r>
        <w:t>8.3 Anexo III. Nota metodológica sobre la implementación</w:t>
      </w:r>
    </w:p>
    <w:p w14:paraId="027671C0" w14:textId="77777777" w:rsidR="000601C9" w:rsidRDefault="000601C9" w:rsidP="000601C9">
      <w:r>
        <w:rPr>
          <w:szCs w:val="24"/>
        </w:rPr>
        <w:t xml:space="preserve">El análisis empírico se implementó en el lenguaje de programación Python, empleando las librerías pandas y </w:t>
      </w:r>
      <w:proofErr w:type="spellStart"/>
      <w:r>
        <w:rPr>
          <w:szCs w:val="24"/>
        </w:rPr>
        <w:t>numpy</w:t>
      </w:r>
      <w:proofErr w:type="spellEnd"/>
      <w:r>
        <w:rPr>
          <w:szCs w:val="24"/>
        </w:rPr>
        <w:t xml:space="preserve"> para el tratamiento de datos, </w:t>
      </w:r>
      <w:proofErr w:type="spellStart"/>
      <w:r>
        <w:rPr>
          <w:szCs w:val="24"/>
        </w:rPr>
        <w:t>yfinance</w:t>
      </w:r>
      <w:proofErr w:type="spellEnd"/>
      <w:r>
        <w:rPr>
          <w:szCs w:val="24"/>
        </w:rPr>
        <w:t xml:space="preserve"> para la descarga de precios de cotización, </w:t>
      </w:r>
      <w:proofErr w:type="spellStart"/>
      <w:r>
        <w:rPr>
          <w:szCs w:val="24"/>
        </w:rPr>
        <w:t>statsmodels</w:t>
      </w:r>
      <w:proofErr w:type="spellEnd"/>
      <w:r>
        <w:rPr>
          <w:szCs w:val="24"/>
        </w:rPr>
        <w:t xml:space="preserve"> para la estimación de los modelos de regresión con errores robustos de Newey-West, </w:t>
      </w:r>
      <w:proofErr w:type="spellStart"/>
      <w:r>
        <w:rPr>
          <w:szCs w:val="24"/>
        </w:rPr>
        <w:t>scipy</w:t>
      </w:r>
      <w:proofErr w:type="spellEnd"/>
      <w:r>
        <w:rPr>
          <w:szCs w:val="24"/>
        </w:rPr>
        <w:t xml:space="preserve"> para los contrastes estadísticos y </w:t>
      </w:r>
      <w:proofErr w:type="spellStart"/>
      <w:r>
        <w:rPr>
          <w:szCs w:val="24"/>
        </w:rPr>
        <w:t>matplotlib</w:t>
      </w:r>
      <w:proofErr w:type="spellEnd"/>
      <w:r>
        <w:rPr>
          <w:szCs w:val="24"/>
        </w:rPr>
        <w:t xml:space="preserve"> para la representación gráfica. El código fuente completo se encuentra disponible y puede facilitarse a petición del tribunal.</w:t>
      </w:r>
    </w:p>
    <w:p w14:paraId="7A0D04FF" w14:textId="77777777" w:rsidR="000601C9" w:rsidRPr="000601C9" w:rsidRDefault="000601C9" w:rsidP="000601C9"/>
    <w:sectPr w:rsidR="000601C9" w:rsidRPr="000601C9" w:rsidSect="006E4EB7">
      <w:headerReference w:type="default" r:id="rId19"/>
      <w:footerReference w:type="default" r:id="rId20"/>
      <w:pgSz w:w="11906" w:h="16838"/>
      <w:pgMar w:top="1417" w:right="1701" w:bottom="1417" w:left="1701" w:header="6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E7200" w14:textId="77777777" w:rsidR="009370E1" w:rsidRDefault="009370E1" w:rsidP="00F077B7">
      <w:pPr>
        <w:spacing w:after="0" w:line="240" w:lineRule="auto"/>
      </w:pPr>
      <w:r>
        <w:separator/>
      </w:r>
    </w:p>
  </w:endnote>
  <w:endnote w:type="continuationSeparator" w:id="0">
    <w:p w14:paraId="7ABD905E" w14:textId="77777777" w:rsidR="009370E1" w:rsidRDefault="009370E1" w:rsidP="00F07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A22C" w14:textId="77777777" w:rsidR="00F077B7" w:rsidRDefault="00F077B7">
    <w:pPr>
      <w:pStyle w:val="Piedepgina"/>
      <w:jc w:val="center"/>
      <w:rPr>
        <w:caps/>
        <w:color w:val="156082" w:themeColor="accent1"/>
      </w:rPr>
    </w:pPr>
  </w:p>
  <w:p w14:paraId="0150518B" w14:textId="125456E1" w:rsidR="00F077B7" w:rsidRDefault="00F077B7">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B9037D8" w14:textId="77777777" w:rsidR="00F077B7" w:rsidRDefault="00F077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66F38" w14:textId="77777777" w:rsidR="009370E1" w:rsidRDefault="009370E1" w:rsidP="00F077B7">
      <w:pPr>
        <w:spacing w:after="0" w:line="240" w:lineRule="auto"/>
      </w:pPr>
      <w:r>
        <w:separator/>
      </w:r>
    </w:p>
  </w:footnote>
  <w:footnote w:type="continuationSeparator" w:id="0">
    <w:p w14:paraId="325218C0" w14:textId="77777777" w:rsidR="009370E1" w:rsidRDefault="009370E1" w:rsidP="00F07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normal2"/>
      <w:tblW w:w="0" w:type="auto"/>
      <w:tblInd w:w="-284" w:type="dxa"/>
      <w:tblBorders>
        <w:top w:val="none" w:sz="0" w:space="0" w:color="auto"/>
        <w:bottom w:val="none" w:sz="0" w:space="0" w:color="auto"/>
      </w:tblBorders>
      <w:tblLook w:val="04A0" w:firstRow="1" w:lastRow="0" w:firstColumn="1" w:lastColumn="0" w:noHBand="0" w:noVBand="1"/>
    </w:tblPr>
    <w:tblGrid>
      <w:gridCol w:w="1560"/>
      <w:gridCol w:w="7228"/>
    </w:tblGrid>
    <w:tr w:rsidR="00F077B7" w:rsidRPr="007A1CD5" w14:paraId="25930F89" w14:textId="77777777" w:rsidTr="001D0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auto"/>
          <w:vAlign w:val="bottom"/>
        </w:tcPr>
        <w:p w14:paraId="1255F91B" w14:textId="7EAFF80B" w:rsidR="00F077B7" w:rsidRPr="007A1CD5" w:rsidRDefault="006E4EB7" w:rsidP="00F077B7">
          <w:r w:rsidRPr="007A1CD5">
            <w:rPr>
              <w:rFonts w:asciiTheme="majorHAnsi" w:hAnsiTheme="majorHAnsi" w:cstheme="majorHAnsi"/>
              <w:noProof/>
              <w:sz w:val="32"/>
              <w:szCs w:val="32"/>
            </w:rPr>
            <w:drawing>
              <wp:anchor distT="0" distB="0" distL="114300" distR="114300" simplePos="0" relativeHeight="251701248" behindDoc="0" locked="0" layoutInCell="1" allowOverlap="1" wp14:anchorId="15C7BF42" wp14:editId="6BA67E9F">
                <wp:simplePos x="0" y="0"/>
                <wp:positionH relativeFrom="column">
                  <wp:posOffset>182880</wp:posOffset>
                </wp:positionH>
                <wp:positionV relativeFrom="paragraph">
                  <wp:posOffset>-182880</wp:posOffset>
                </wp:positionV>
                <wp:extent cx="631825" cy="670560"/>
                <wp:effectExtent l="0" t="0" r="3175" b="2540"/>
                <wp:wrapNone/>
                <wp:docPr id="2054448648" name="Imagen 205444864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8648" name="Imagen 2054448648" descr="Imagen que contiene 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8716" r="19064" b="30652"/>
                        <a:stretch/>
                      </pic:blipFill>
                      <pic:spPr bwMode="auto">
                        <a:xfrm>
                          <a:off x="0" y="0"/>
                          <a:ext cx="631825"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228" w:type="dxa"/>
          <w:shd w:val="clear" w:color="auto" w:fill="auto"/>
          <w:vAlign w:val="bottom"/>
        </w:tcPr>
        <w:p w14:paraId="07423C9B" w14:textId="6F309670" w:rsidR="00F077B7" w:rsidRDefault="00D93D42" w:rsidP="00F077B7">
          <w:pPr>
            <w:pStyle w:val="Tablaencabezado1"/>
            <w:spacing w:before="0" w:after="0"/>
            <w:cnfStyle w:val="100000000000" w:firstRow="1" w:lastRow="0" w:firstColumn="0" w:lastColumn="0" w:oddVBand="0" w:evenVBand="0" w:oddHBand="0" w:evenHBand="0" w:firstRowFirstColumn="0" w:firstRowLastColumn="0" w:lastRowFirstColumn="0" w:lastRowLastColumn="0"/>
            <w:rPr>
              <w:b w:val="0"/>
              <w:bCs w:val="0"/>
            </w:rPr>
          </w:pPr>
          <w:r>
            <w:t>TFG FINANZAS EMPÍRICAS</w:t>
          </w:r>
        </w:p>
        <w:p w14:paraId="2CEDDE1B" w14:textId="39197B91" w:rsidR="00D93D42" w:rsidRPr="007A1CD5" w:rsidRDefault="00D93D42" w:rsidP="00F077B7">
          <w:pPr>
            <w:pStyle w:val="Tablaencabezado1"/>
            <w:spacing w:before="0" w:after="0"/>
            <w:cnfStyle w:val="100000000000" w:firstRow="1" w:lastRow="0" w:firstColumn="0" w:lastColumn="0" w:oddVBand="0" w:evenVBand="0" w:oddHBand="0" w:evenHBand="0" w:firstRowFirstColumn="0" w:firstRowLastColumn="0" w:lastRowFirstColumn="0" w:lastRowLastColumn="0"/>
          </w:pPr>
          <w:r>
            <w:rPr>
              <w:b w:val="0"/>
              <w:bCs w:val="0"/>
            </w:rPr>
            <w:t>JIAJUN JORGE NI ZHOU</w:t>
          </w:r>
        </w:p>
        <w:p w14:paraId="2968690E" w14:textId="77777777" w:rsidR="00F077B7" w:rsidRPr="007A1CD5" w:rsidRDefault="00F077B7" w:rsidP="00F077B7">
          <w:pPr>
            <w:pStyle w:val="Tablaencabezado1"/>
            <w:spacing w:before="0" w:after="0"/>
            <w:cnfStyle w:val="100000000000" w:firstRow="1" w:lastRow="0" w:firstColumn="0" w:lastColumn="0" w:oddVBand="0" w:evenVBand="0" w:oddHBand="0" w:evenHBand="0" w:firstRowFirstColumn="0" w:firstRowLastColumn="0" w:lastRowFirstColumn="0" w:lastRowLastColumn="0"/>
          </w:pPr>
        </w:p>
      </w:tc>
    </w:tr>
  </w:tbl>
  <w:p w14:paraId="5E82F403" w14:textId="76DCC0C3" w:rsidR="00F077B7" w:rsidRDefault="00F077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04E1"/>
    <w:multiLevelType w:val="multilevel"/>
    <w:tmpl w:val="CD0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9704D"/>
    <w:multiLevelType w:val="multilevel"/>
    <w:tmpl w:val="138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87C98"/>
    <w:multiLevelType w:val="multilevel"/>
    <w:tmpl w:val="645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A922AD"/>
    <w:multiLevelType w:val="multilevel"/>
    <w:tmpl w:val="0FF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46131"/>
    <w:multiLevelType w:val="multilevel"/>
    <w:tmpl w:val="B6AE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A725F"/>
    <w:multiLevelType w:val="multilevel"/>
    <w:tmpl w:val="DA4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930AD1"/>
    <w:multiLevelType w:val="hybridMultilevel"/>
    <w:tmpl w:val="B3789D8C"/>
    <w:lvl w:ilvl="0" w:tplc="040A0001">
      <w:start w:val="1"/>
      <w:numFmt w:val="bullet"/>
      <w:lvlText w:val=""/>
      <w:lvlJc w:val="left"/>
      <w:pPr>
        <w:ind w:left="792" w:hanging="360"/>
      </w:pPr>
      <w:rPr>
        <w:rFonts w:ascii="Symbol" w:hAnsi="Symbol" w:hint="default"/>
      </w:rPr>
    </w:lvl>
    <w:lvl w:ilvl="1" w:tplc="040A0003" w:tentative="1">
      <w:start w:val="1"/>
      <w:numFmt w:val="bullet"/>
      <w:lvlText w:val="o"/>
      <w:lvlJc w:val="left"/>
      <w:pPr>
        <w:ind w:left="1512" w:hanging="360"/>
      </w:pPr>
      <w:rPr>
        <w:rFonts w:ascii="Courier New" w:hAnsi="Courier New" w:cs="Courier New" w:hint="default"/>
      </w:rPr>
    </w:lvl>
    <w:lvl w:ilvl="2" w:tplc="040A0005" w:tentative="1">
      <w:start w:val="1"/>
      <w:numFmt w:val="bullet"/>
      <w:lvlText w:val=""/>
      <w:lvlJc w:val="left"/>
      <w:pPr>
        <w:ind w:left="2232" w:hanging="360"/>
      </w:pPr>
      <w:rPr>
        <w:rFonts w:ascii="Wingdings" w:hAnsi="Wingdings" w:hint="default"/>
      </w:rPr>
    </w:lvl>
    <w:lvl w:ilvl="3" w:tplc="040A0001" w:tentative="1">
      <w:start w:val="1"/>
      <w:numFmt w:val="bullet"/>
      <w:lvlText w:val=""/>
      <w:lvlJc w:val="left"/>
      <w:pPr>
        <w:ind w:left="2952" w:hanging="360"/>
      </w:pPr>
      <w:rPr>
        <w:rFonts w:ascii="Symbol" w:hAnsi="Symbol" w:hint="default"/>
      </w:rPr>
    </w:lvl>
    <w:lvl w:ilvl="4" w:tplc="040A0003" w:tentative="1">
      <w:start w:val="1"/>
      <w:numFmt w:val="bullet"/>
      <w:lvlText w:val="o"/>
      <w:lvlJc w:val="left"/>
      <w:pPr>
        <w:ind w:left="3672" w:hanging="360"/>
      </w:pPr>
      <w:rPr>
        <w:rFonts w:ascii="Courier New" w:hAnsi="Courier New" w:cs="Courier New" w:hint="default"/>
      </w:rPr>
    </w:lvl>
    <w:lvl w:ilvl="5" w:tplc="040A0005" w:tentative="1">
      <w:start w:val="1"/>
      <w:numFmt w:val="bullet"/>
      <w:lvlText w:val=""/>
      <w:lvlJc w:val="left"/>
      <w:pPr>
        <w:ind w:left="4392" w:hanging="360"/>
      </w:pPr>
      <w:rPr>
        <w:rFonts w:ascii="Wingdings" w:hAnsi="Wingdings" w:hint="default"/>
      </w:rPr>
    </w:lvl>
    <w:lvl w:ilvl="6" w:tplc="040A0001" w:tentative="1">
      <w:start w:val="1"/>
      <w:numFmt w:val="bullet"/>
      <w:lvlText w:val=""/>
      <w:lvlJc w:val="left"/>
      <w:pPr>
        <w:ind w:left="5112" w:hanging="360"/>
      </w:pPr>
      <w:rPr>
        <w:rFonts w:ascii="Symbol" w:hAnsi="Symbol" w:hint="default"/>
      </w:rPr>
    </w:lvl>
    <w:lvl w:ilvl="7" w:tplc="040A0003" w:tentative="1">
      <w:start w:val="1"/>
      <w:numFmt w:val="bullet"/>
      <w:lvlText w:val="o"/>
      <w:lvlJc w:val="left"/>
      <w:pPr>
        <w:ind w:left="5832" w:hanging="360"/>
      </w:pPr>
      <w:rPr>
        <w:rFonts w:ascii="Courier New" w:hAnsi="Courier New" w:cs="Courier New" w:hint="default"/>
      </w:rPr>
    </w:lvl>
    <w:lvl w:ilvl="8" w:tplc="040A0005" w:tentative="1">
      <w:start w:val="1"/>
      <w:numFmt w:val="bullet"/>
      <w:lvlText w:val=""/>
      <w:lvlJc w:val="left"/>
      <w:pPr>
        <w:ind w:left="6552" w:hanging="360"/>
      </w:pPr>
      <w:rPr>
        <w:rFonts w:ascii="Wingdings" w:hAnsi="Wingdings" w:hint="default"/>
      </w:rPr>
    </w:lvl>
  </w:abstractNum>
  <w:abstractNum w:abstractNumId="7" w15:restartNumberingAfterBreak="0">
    <w:nsid w:val="238F57CB"/>
    <w:multiLevelType w:val="multilevel"/>
    <w:tmpl w:val="C48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D6D5E"/>
    <w:multiLevelType w:val="multilevel"/>
    <w:tmpl w:val="226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396F67"/>
    <w:multiLevelType w:val="multilevel"/>
    <w:tmpl w:val="3EE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6D7E71"/>
    <w:multiLevelType w:val="multilevel"/>
    <w:tmpl w:val="15CA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40ED0"/>
    <w:multiLevelType w:val="multilevel"/>
    <w:tmpl w:val="01E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317D35"/>
    <w:multiLevelType w:val="multilevel"/>
    <w:tmpl w:val="64AE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E76E7"/>
    <w:multiLevelType w:val="multilevel"/>
    <w:tmpl w:val="8AB4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BF0720"/>
    <w:multiLevelType w:val="multilevel"/>
    <w:tmpl w:val="1108B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51EC7"/>
    <w:multiLevelType w:val="multilevel"/>
    <w:tmpl w:val="E39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747F95"/>
    <w:multiLevelType w:val="multilevel"/>
    <w:tmpl w:val="BD1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C051C3"/>
    <w:multiLevelType w:val="multilevel"/>
    <w:tmpl w:val="CCB48C4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825450"/>
    <w:multiLevelType w:val="hybridMultilevel"/>
    <w:tmpl w:val="956481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6F46306E"/>
    <w:multiLevelType w:val="multilevel"/>
    <w:tmpl w:val="2E4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F721EC"/>
    <w:multiLevelType w:val="multilevel"/>
    <w:tmpl w:val="CCB48C4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31689D"/>
    <w:multiLevelType w:val="multilevel"/>
    <w:tmpl w:val="384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A30296"/>
    <w:multiLevelType w:val="multilevel"/>
    <w:tmpl w:val="E79E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4E2C15"/>
    <w:multiLevelType w:val="multilevel"/>
    <w:tmpl w:val="C5C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F751DB"/>
    <w:multiLevelType w:val="multilevel"/>
    <w:tmpl w:val="07AC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22271A"/>
    <w:multiLevelType w:val="multilevel"/>
    <w:tmpl w:val="B78A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087B44"/>
    <w:multiLevelType w:val="multilevel"/>
    <w:tmpl w:val="53E8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7F3D5D"/>
    <w:multiLevelType w:val="multilevel"/>
    <w:tmpl w:val="A43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E5391A"/>
    <w:multiLevelType w:val="multilevel"/>
    <w:tmpl w:val="940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862987">
    <w:abstractNumId w:val="4"/>
  </w:num>
  <w:num w:numId="2" w16cid:durableId="943611148">
    <w:abstractNumId w:val="14"/>
  </w:num>
  <w:num w:numId="3" w16cid:durableId="1993293345">
    <w:abstractNumId w:val="2"/>
  </w:num>
  <w:num w:numId="4" w16cid:durableId="1075979296">
    <w:abstractNumId w:val="11"/>
  </w:num>
  <w:num w:numId="5" w16cid:durableId="1093162563">
    <w:abstractNumId w:val="1"/>
  </w:num>
  <w:num w:numId="6" w16cid:durableId="1095784431">
    <w:abstractNumId w:val="5"/>
  </w:num>
  <w:num w:numId="7" w16cid:durableId="276721574">
    <w:abstractNumId w:val="0"/>
  </w:num>
  <w:num w:numId="8" w16cid:durableId="1407876384">
    <w:abstractNumId w:val="23"/>
  </w:num>
  <w:num w:numId="9" w16cid:durableId="1669863904">
    <w:abstractNumId w:val="18"/>
  </w:num>
  <w:num w:numId="10" w16cid:durableId="1124810617">
    <w:abstractNumId w:val="17"/>
  </w:num>
  <w:num w:numId="11" w16cid:durableId="560798750">
    <w:abstractNumId w:val="22"/>
  </w:num>
  <w:num w:numId="12" w16cid:durableId="1968268188">
    <w:abstractNumId w:val="8"/>
  </w:num>
  <w:num w:numId="13" w16cid:durableId="406726547">
    <w:abstractNumId w:val="19"/>
  </w:num>
  <w:num w:numId="14" w16cid:durableId="826291130">
    <w:abstractNumId w:val="28"/>
  </w:num>
  <w:num w:numId="15" w16cid:durableId="1481966055">
    <w:abstractNumId w:val="20"/>
  </w:num>
  <w:num w:numId="16" w16cid:durableId="1088578732">
    <w:abstractNumId w:val="24"/>
  </w:num>
  <w:num w:numId="17" w16cid:durableId="385252774">
    <w:abstractNumId w:val="13"/>
  </w:num>
  <w:num w:numId="18" w16cid:durableId="48962031">
    <w:abstractNumId w:val="16"/>
  </w:num>
  <w:num w:numId="19" w16cid:durableId="372463254">
    <w:abstractNumId w:val="10"/>
  </w:num>
  <w:num w:numId="20" w16cid:durableId="1761024397">
    <w:abstractNumId w:val="25"/>
  </w:num>
  <w:num w:numId="21" w16cid:durableId="1835603852">
    <w:abstractNumId w:val="9"/>
  </w:num>
  <w:num w:numId="22" w16cid:durableId="618999933">
    <w:abstractNumId w:val="15"/>
  </w:num>
  <w:num w:numId="23" w16cid:durableId="373239988">
    <w:abstractNumId w:val="3"/>
  </w:num>
  <w:num w:numId="24" w16cid:durableId="1083338036">
    <w:abstractNumId w:val="27"/>
  </w:num>
  <w:num w:numId="25" w16cid:durableId="826240320">
    <w:abstractNumId w:val="21"/>
  </w:num>
  <w:num w:numId="26" w16cid:durableId="417361467">
    <w:abstractNumId w:val="7"/>
  </w:num>
  <w:num w:numId="27" w16cid:durableId="899249980">
    <w:abstractNumId w:val="12"/>
  </w:num>
  <w:num w:numId="28" w16cid:durableId="380832039">
    <w:abstractNumId w:val="26"/>
  </w:num>
  <w:num w:numId="29" w16cid:durableId="323628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D2"/>
    <w:rsid w:val="000172AF"/>
    <w:rsid w:val="000601C9"/>
    <w:rsid w:val="00063508"/>
    <w:rsid w:val="0008270A"/>
    <w:rsid w:val="0009425B"/>
    <w:rsid w:val="000A68FB"/>
    <w:rsid w:val="00173665"/>
    <w:rsid w:val="00230215"/>
    <w:rsid w:val="002357FA"/>
    <w:rsid w:val="00284AD1"/>
    <w:rsid w:val="002A20D2"/>
    <w:rsid w:val="002F57E6"/>
    <w:rsid w:val="003016D6"/>
    <w:rsid w:val="00304B20"/>
    <w:rsid w:val="003122AA"/>
    <w:rsid w:val="003B59C7"/>
    <w:rsid w:val="003F1294"/>
    <w:rsid w:val="00430C0E"/>
    <w:rsid w:val="00462672"/>
    <w:rsid w:val="00520C0A"/>
    <w:rsid w:val="005929A2"/>
    <w:rsid w:val="00593717"/>
    <w:rsid w:val="005D738B"/>
    <w:rsid w:val="00614C98"/>
    <w:rsid w:val="006169CC"/>
    <w:rsid w:val="00641368"/>
    <w:rsid w:val="006732ED"/>
    <w:rsid w:val="006C41CD"/>
    <w:rsid w:val="006D69E7"/>
    <w:rsid w:val="006E4EB7"/>
    <w:rsid w:val="00700A41"/>
    <w:rsid w:val="00730BD4"/>
    <w:rsid w:val="00785D35"/>
    <w:rsid w:val="007B2E57"/>
    <w:rsid w:val="00826D64"/>
    <w:rsid w:val="008513FA"/>
    <w:rsid w:val="0088532E"/>
    <w:rsid w:val="00925414"/>
    <w:rsid w:val="0093523A"/>
    <w:rsid w:val="009370E1"/>
    <w:rsid w:val="009510C1"/>
    <w:rsid w:val="009B25BD"/>
    <w:rsid w:val="00A25285"/>
    <w:rsid w:val="00B2136D"/>
    <w:rsid w:val="00B251E4"/>
    <w:rsid w:val="00B34055"/>
    <w:rsid w:val="00BA271E"/>
    <w:rsid w:val="00C314F8"/>
    <w:rsid w:val="00C74D18"/>
    <w:rsid w:val="00D703B3"/>
    <w:rsid w:val="00D93D42"/>
    <w:rsid w:val="00E61083"/>
    <w:rsid w:val="00E67F5F"/>
    <w:rsid w:val="00EF0BB1"/>
    <w:rsid w:val="00F077B7"/>
    <w:rsid w:val="00F14D34"/>
    <w:rsid w:val="00F25A66"/>
    <w:rsid w:val="00F428C5"/>
    <w:rsid w:val="00F82A9D"/>
    <w:rsid w:val="00FA53B1"/>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F7DF"/>
  <w15:chartTrackingRefBased/>
  <w15:docId w15:val="{92D30F9A-232C-F448-AED1-F4E3E831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0D2"/>
    <w:pPr>
      <w:keepLines/>
      <w:jc w:val="both"/>
    </w:pPr>
    <w:rPr>
      <w:rFonts w:ascii="Times New Roman" w:eastAsia="Times New Roman" w:hAnsi="Times New Roman" w:cs="Times New Roman"/>
      <w:color w:val="000000"/>
      <w:kern w:val="0"/>
      <w:szCs w:val="22"/>
      <w:lang w:val="es-ES_tradnl" w:eastAsia="es-ES" w:bidi="ks-Deva"/>
      <w14:ligatures w14:val="none"/>
    </w:rPr>
  </w:style>
  <w:style w:type="paragraph" w:styleId="Ttulo1">
    <w:name w:val="heading 1"/>
    <w:basedOn w:val="Normal"/>
    <w:next w:val="Normal"/>
    <w:link w:val="Ttulo1Car"/>
    <w:uiPriority w:val="9"/>
    <w:qFormat/>
    <w:rsid w:val="002A20D2"/>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20D2"/>
    <w:pPr>
      <w:keepNext/>
      <w:spacing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20D2"/>
    <w:pPr>
      <w:keepNext/>
      <w:spacing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0D2"/>
    <w:pPr>
      <w:keepNext/>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0D2"/>
    <w:pPr>
      <w:keepNext/>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0D2"/>
    <w:pPr>
      <w:keepNext/>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0D2"/>
    <w:pPr>
      <w:keepNext/>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0D2"/>
    <w:pPr>
      <w:keepNext/>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0D2"/>
    <w:pPr>
      <w:keepNext/>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0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20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20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0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0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0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0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0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0D2"/>
    <w:rPr>
      <w:rFonts w:eastAsiaTheme="majorEastAsia" w:cstheme="majorBidi"/>
      <w:color w:val="272727" w:themeColor="text1" w:themeTint="D8"/>
    </w:rPr>
  </w:style>
  <w:style w:type="paragraph" w:styleId="Ttulo">
    <w:name w:val="Title"/>
    <w:basedOn w:val="Normal"/>
    <w:next w:val="Normal"/>
    <w:link w:val="TtuloCar"/>
    <w:uiPriority w:val="10"/>
    <w:qFormat/>
    <w:rsid w:val="002A2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0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0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0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0D2"/>
    <w:pPr>
      <w:jc w:val="center"/>
    </w:pPr>
    <w:rPr>
      <w:i/>
      <w:iCs/>
      <w:color w:val="404040" w:themeColor="text1" w:themeTint="BF"/>
    </w:rPr>
  </w:style>
  <w:style w:type="character" w:customStyle="1" w:styleId="CitaCar">
    <w:name w:val="Cita Car"/>
    <w:basedOn w:val="Fuentedeprrafopredeter"/>
    <w:link w:val="Cita"/>
    <w:uiPriority w:val="29"/>
    <w:rsid w:val="002A20D2"/>
    <w:rPr>
      <w:i/>
      <w:iCs/>
      <w:color w:val="404040" w:themeColor="text1" w:themeTint="BF"/>
    </w:rPr>
  </w:style>
  <w:style w:type="paragraph" w:styleId="Prrafodelista">
    <w:name w:val="List Paragraph"/>
    <w:basedOn w:val="Normal"/>
    <w:uiPriority w:val="34"/>
    <w:qFormat/>
    <w:rsid w:val="002A20D2"/>
    <w:pPr>
      <w:ind w:left="720"/>
      <w:contextualSpacing/>
    </w:pPr>
  </w:style>
  <w:style w:type="character" w:styleId="nfasisintenso">
    <w:name w:val="Intense Emphasis"/>
    <w:basedOn w:val="Fuentedeprrafopredeter"/>
    <w:uiPriority w:val="21"/>
    <w:qFormat/>
    <w:rsid w:val="002A20D2"/>
    <w:rPr>
      <w:i/>
      <w:iCs/>
      <w:color w:val="0F4761" w:themeColor="accent1" w:themeShade="BF"/>
    </w:rPr>
  </w:style>
  <w:style w:type="paragraph" w:styleId="Citadestacada">
    <w:name w:val="Intense Quote"/>
    <w:basedOn w:val="Normal"/>
    <w:next w:val="Normal"/>
    <w:link w:val="CitadestacadaCar"/>
    <w:uiPriority w:val="30"/>
    <w:qFormat/>
    <w:rsid w:val="002A2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0D2"/>
    <w:rPr>
      <w:i/>
      <w:iCs/>
      <w:color w:val="0F4761" w:themeColor="accent1" w:themeShade="BF"/>
    </w:rPr>
  </w:style>
  <w:style w:type="character" w:styleId="Referenciaintensa">
    <w:name w:val="Intense Reference"/>
    <w:basedOn w:val="Fuentedeprrafopredeter"/>
    <w:uiPriority w:val="32"/>
    <w:qFormat/>
    <w:rsid w:val="002A20D2"/>
    <w:rPr>
      <w:b/>
      <w:bCs/>
      <w:smallCaps/>
      <w:color w:val="0F4761" w:themeColor="accent1" w:themeShade="BF"/>
      <w:spacing w:val="5"/>
    </w:rPr>
  </w:style>
  <w:style w:type="paragraph" w:customStyle="1" w:styleId="Titulosformalidades">
    <w:name w:val="Titulos.formalidades"/>
    <w:basedOn w:val="Normal"/>
    <w:qFormat/>
    <w:rsid w:val="002A20D2"/>
    <w:pPr>
      <w:spacing w:before="360"/>
      <w:textAlignment w:val="top"/>
    </w:pPr>
    <w:rPr>
      <w:b/>
      <w:bCs/>
      <w:sz w:val="28"/>
      <w:szCs w:val="28"/>
    </w:rPr>
  </w:style>
  <w:style w:type="paragraph" w:styleId="TtuloTDC">
    <w:name w:val="TOC Heading"/>
    <w:basedOn w:val="Ttulo1"/>
    <w:next w:val="Normal"/>
    <w:uiPriority w:val="39"/>
    <w:unhideWhenUsed/>
    <w:qFormat/>
    <w:rsid w:val="00614C98"/>
    <w:pPr>
      <w:spacing w:before="480" w:after="0" w:line="276" w:lineRule="auto"/>
      <w:jc w:val="left"/>
      <w:outlineLvl w:val="9"/>
    </w:pPr>
    <w:rPr>
      <w:b/>
      <w:bCs/>
      <w:sz w:val="28"/>
      <w:szCs w:val="28"/>
      <w:lang w:val="es-ES" w:eastAsia="zh-CN" w:bidi="ar-SA"/>
    </w:rPr>
  </w:style>
  <w:style w:type="paragraph" w:styleId="TDC1">
    <w:name w:val="toc 1"/>
    <w:basedOn w:val="Normal"/>
    <w:next w:val="Normal"/>
    <w:autoRedefine/>
    <w:uiPriority w:val="39"/>
    <w:unhideWhenUsed/>
    <w:rsid w:val="00614C98"/>
    <w:pPr>
      <w:spacing w:before="120"/>
      <w:jc w:val="left"/>
    </w:pPr>
    <w:rPr>
      <w:rFonts w:asciiTheme="minorHAnsi" w:hAnsiTheme="minorHAnsi"/>
      <w:b/>
      <w:bCs/>
      <w:caps/>
      <w:sz w:val="20"/>
      <w:szCs w:val="20"/>
    </w:rPr>
  </w:style>
  <w:style w:type="paragraph" w:styleId="TDC2">
    <w:name w:val="toc 2"/>
    <w:basedOn w:val="Normal"/>
    <w:next w:val="Normal"/>
    <w:autoRedefine/>
    <w:uiPriority w:val="39"/>
    <w:unhideWhenUsed/>
    <w:rsid w:val="00614C98"/>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614C98"/>
    <w:pPr>
      <w:spacing w:after="0"/>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614C98"/>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614C98"/>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614C98"/>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614C98"/>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614C98"/>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614C98"/>
    <w:pPr>
      <w:spacing w:after="0"/>
      <w:ind w:left="1920"/>
      <w:jc w:val="left"/>
    </w:pPr>
    <w:rPr>
      <w:rFonts w:asciiTheme="minorHAnsi" w:hAnsiTheme="minorHAnsi"/>
      <w:sz w:val="18"/>
      <w:szCs w:val="18"/>
    </w:rPr>
  </w:style>
  <w:style w:type="paragraph" w:styleId="NormalWeb">
    <w:name w:val="Normal (Web)"/>
    <w:basedOn w:val="Normal"/>
    <w:uiPriority w:val="99"/>
    <w:unhideWhenUsed/>
    <w:rsid w:val="003016D6"/>
    <w:pPr>
      <w:keepLines w:val="0"/>
      <w:spacing w:before="100" w:beforeAutospacing="1" w:after="100" w:afterAutospacing="1" w:line="240" w:lineRule="auto"/>
      <w:jc w:val="left"/>
    </w:pPr>
    <w:rPr>
      <w:color w:val="auto"/>
      <w:szCs w:val="24"/>
      <w:lang w:val="es-ES" w:eastAsia="zh-CN" w:bidi="ar-SA"/>
    </w:rPr>
  </w:style>
  <w:style w:type="paragraph" w:styleId="Descripcin">
    <w:name w:val="caption"/>
    <w:basedOn w:val="Normal"/>
    <w:next w:val="Normal"/>
    <w:uiPriority w:val="35"/>
    <w:unhideWhenUsed/>
    <w:qFormat/>
    <w:rsid w:val="007B2E57"/>
    <w:pPr>
      <w:spacing w:after="200" w:line="240" w:lineRule="auto"/>
    </w:pPr>
    <w:rPr>
      <w:i/>
      <w:iCs/>
      <w:color w:val="0E2841" w:themeColor="text2"/>
      <w:sz w:val="18"/>
      <w:szCs w:val="16"/>
    </w:rPr>
  </w:style>
  <w:style w:type="paragraph" w:styleId="ndice1">
    <w:name w:val="index 1"/>
    <w:basedOn w:val="Normal"/>
    <w:next w:val="Normal"/>
    <w:autoRedefine/>
    <w:uiPriority w:val="99"/>
    <w:unhideWhenUsed/>
    <w:rsid w:val="0008270A"/>
    <w:pPr>
      <w:spacing w:after="0"/>
      <w:ind w:left="240" w:hanging="240"/>
      <w:jc w:val="left"/>
    </w:pPr>
    <w:rPr>
      <w:rFonts w:asciiTheme="minorHAnsi" w:hAnsiTheme="minorHAnsi"/>
      <w:sz w:val="20"/>
      <w:szCs w:val="20"/>
    </w:rPr>
  </w:style>
  <w:style w:type="paragraph" w:styleId="ndice2">
    <w:name w:val="index 2"/>
    <w:basedOn w:val="Normal"/>
    <w:next w:val="Normal"/>
    <w:autoRedefine/>
    <w:uiPriority w:val="99"/>
    <w:unhideWhenUsed/>
    <w:rsid w:val="0008270A"/>
    <w:pPr>
      <w:spacing w:after="0"/>
      <w:ind w:left="480" w:hanging="240"/>
      <w:jc w:val="left"/>
    </w:pPr>
    <w:rPr>
      <w:rFonts w:asciiTheme="minorHAnsi" w:hAnsiTheme="minorHAnsi"/>
      <w:sz w:val="20"/>
      <w:szCs w:val="20"/>
    </w:rPr>
  </w:style>
  <w:style w:type="paragraph" w:styleId="ndice3">
    <w:name w:val="index 3"/>
    <w:basedOn w:val="Normal"/>
    <w:next w:val="Normal"/>
    <w:autoRedefine/>
    <w:uiPriority w:val="99"/>
    <w:unhideWhenUsed/>
    <w:rsid w:val="0008270A"/>
    <w:pPr>
      <w:spacing w:after="0"/>
      <w:ind w:left="720" w:hanging="240"/>
      <w:jc w:val="left"/>
    </w:pPr>
    <w:rPr>
      <w:rFonts w:asciiTheme="minorHAnsi" w:hAnsiTheme="minorHAnsi"/>
      <w:sz w:val="20"/>
      <w:szCs w:val="20"/>
    </w:rPr>
  </w:style>
  <w:style w:type="paragraph" w:styleId="ndice4">
    <w:name w:val="index 4"/>
    <w:basedOn w:val="Normal"/>
    <w:next w:val="Normal"/>
    <w:autoRedefine/>
    <w:uiPriority w:val="99"/>
    <w:unhideWhenUsed/>
    <w:rsid w:val="0008270A"/>
    <w:pPr>
      <w:spacing w:after="0"/>
      <w:ind w:left="960" w:hanging="240"/>
      <w:jc w:val="left"/>
    </w:pPr>
    <w:rPr>
      <w:rFonts w:asciiTheme="minorHAnsi" w:hAnsiTheme="minorHAnsi"/>
      <w:sz w:val="20"/>
      <w:szCs w:val="20"/>
    </w:rPr>
  </w:style>
  <w:style w:type="paragraph" w:styleId="ndice5">
    <w:name w:val="index 5"/>
    <w:basedOn w:val="Normal"/>
    <w:next w:val="Normal"/>
    <w:autoRedefine/>
    <w:uiPriority w:val="99"/>
    <w:unhideWhenUsed/>
    <w:rsid w:val="0008270A"/>
    <w:pPr>
      <w:spacing w:after="0"/>
      <w:ind w:left="1200" w:hanging="240"/>
      <w:jc w:val="left"/>
    </w:pPr>
    <w:rPr>
      <w:rFonts w:asciiTheme="minorHAnsi" w:hAnsiTheme="minorHAnsi"/>
      <w:sz w:val="20"/>
      <w:szCs w:val="20"/>
    </w:rPr>
  </w:style>
  <w:style w:type="paragraph" w:styleId="ndice6">
    <w:name w:val="index 6"/>
    <w:basedOn w:val="Normal"/>
    <w:next w:val="Normal"/>
    <w:autoRedefine/>
    <w:uiPriority w:val="99"/>
    <w:unhideWhenUsed/>
    <w:rsid w:val="0008270A"/>
    <w:pPr>
      <w:spacing w:after="0"/>
      <w:ind w:left="1440" w:hanging="240"/>
      <w:jc w:val="left"/>
    </w:pPr>
    <w:rPr>
      <w:rFonts w:asciiTheme="minorHAnsi" w:hAnsiTheme="minorHAnsi"/>
      <w:sz w:val="20"/>
      <w:szCs w:val="20"/>
    </w:rPr>
  </w:style>
  <w:style w:type="paragraph" w:styleId="ndice7">
    <w:name w:val="index 7"/>
    <w:basedOn w:val="Normal"/>
    <w:next w:val="Normal"/>
    <w:autoRedefine/>
    <w:uiPriority w:val="99"/>
    <w:unhideWhenUsed/>
    <w:rsid w:val="0008270A"/>
    <w:pPr>
      <w:spacing w:after="0"/>
      <w:ind w:left="1680" w:hanging="240"/>
      <w:jc w:val="left"/>
    </w:pPr>
    <w:rPr>
      <w:rFonts w:asciiTheme="minorHAnsi" w:hAnsiTheme="minorHAnsi"/>
      <w:sz w:val="20"/>
      <w:szCs w:val="20"/>
    </w:rPr>
  </w:style>
  <w:style w:type="paragraph" w:styleId="ndice8">
    <w:name w:val="index 8"/>
    <w:basedOn w:val="Normal"/>
    <w:next w:val="Normal"/>
    <w:autoRedefine/>
    <w:uiPriority w:val="99"/>
    <w:unhideWhenUsed/>
    <w:rsid w:val="0008270A"/>
    <w:pPr>
      <w:spacing w:after="0"/>
      <w:ind w:left="1920" w:hanging="240"/>
      <w:jc w:val="left"/>
    </w:pPr>
    <w:rPr>
      <w:rFonts w:asciiTheme="minorHAnsi" w:hAnsiTheme="minorHAnsi"/>
      <w:sz w:val="20"/>
      <w:szCs w:val="20"/>
    </w:rPr>
  </w:style>
  <w:style w:type="paragraph" w:styleId="ndice9">
    <w:name w:val="index 9"/>
    <w:basedOn w:val="Normal"/>
    <w:next w:val="Normal"/>
    <w:autoRedefine/>
    <w:uiPriority w:val="99"/>
    <w:unhideWhenUsed/>
    <w:rsid w:val="0008270A"/>
    <w:pPr>
      <w:spacing w:after="0"/>
      <w:ind w:left="2160" w:hanging="240"/>
      <w:jc w:val="left"/>
    </w:pPr>
    <w:rPr>
      <w:rFonts w:asciiTheme="minorHAnsi" w:hAnsiTheme="minorHAnsi"/>
      <w:sz w:val="20"/>
      <w:szCs w:val="20"/>
    </w:rPr>
  </w:style>
  <w:style w:type="paragraph" w:styleId="Ttulodendice">
    <w:name w:val="index heading"/>
    <w:basedOn w:val="Normal"/>
    <w:next w:val="ndice1"/>
    <w:uiPriority w:val="99"/>
    <w:unhideWhenUsed/>
    <w:rsid w:val="0008270A"/>
    <w:pPr>
      <w:spacing w:after="0"/>
      <w:jc w:val="left"/>
    </w:pPr>
    <w:rPr>
      <w:rFonts w:asciiTheme="minorHAnsi" w:hAnsiTheme="minorHAnsi"/>
      <w:sz w:val="20"/>
      <w:szCs w:val="20"/>
    </w:rPr>
  </w:style>
  <w:style w:type="character" w:styleId="Hipervnculo">
    <w:name w:val="Hyperlink"/>
    <w:basedOn w:val="Fuentedeprrafopredeter"/>
    <w:uiPriority w:val="99"/>
    <w:unhideWhenUsed/>
    <w:rsid w:val="009B25BD"/>
    <w:rPr>
      <w:color w:val="467886" w:themeColor="hyperlink"/>
      <w:u w:val="single"/>
    </w:rPr>
  </w:style>
  <w:style w:type="character" w:styleId="Mencinsinresolver">
    <w:name w:val="Unresolved Mention"/>
    <w:basedOn w:val="Fuentedeprrafopredeter"/>
    <w:uiPriority w:val="99"/>
    <w:semiHidden/>
    <w:unhideWhenUsed/>
    <w:rsid w:val="006169CC"/>
    <w:rPr>
      <w:color w:val="605E5C"/>
      <w:shd w:val="clear" w:color="auto" w:fill="E1DFDD"/>
    </w:rPr>
  </w:style>
  <w:style w:type="character" w:styleId="Hipervnculovisitado">
    <w:name w:val="FollowedHyperlink"/>
    <w:basedOn w:val="Fuentedeprrafopredeter"/>
    <w:uiPriority w:val="99"/>
    <w:semiHidden/>
    <w:unhideWhenUsed/>
    <w:rsid w:val="00304B20"/>
    <w:rPr>
      <w:color w:val="96607D" w:themeColor="followedHyperlink"/>
      <w:u w:val="single"/>
    </w:rPr>
  </w:style>
  <w:style w:type="paragraph" w:styleId="Encabezado">
    <w:name w:val="header"/>
    <w:basedOn w:val="Normal"/>
    <w:link w:val="EncabezadoCar"/>
    <w:uiPriority w:val="99"/>
    <w:unhideWhenUsed/>
    <w:rsid w:val="00F077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77B7"/>
    <w:rPr>
      <w:rFonts w:ascii="Times New Roman" w:eastAsia="Times New Roman" w:hAnsi="Times New Roman" w:cs="Times New Roman"/>
      <w:color w:val="000000"/>
      <w:kern w:val="0"/>
      <w:szCs w:val="22"/>
      <w:lang w:val="es-ES_tradnl" w:eastAsia="es-ES" w:bidi="ks-Deva"/>
      <w14:ligatures w14:val="none"/>
    </w:rPr>
  </w:style>
  <w:style w:type="paragraph" w:styleId="Piedepgina">
    <w:name w:val="footer"/>
    <w:basedOn w:val="Normal"/>
    <w:link w:val="PiedepginaCar"/>
    <w:uiPriority w:val="99"/>
    <w:unhideWhenUsed/>
    <w:rsid w:val="00F077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77B7"/>
    <w:rPr>
      <w:rFonts w:ascii="Times New Roman" w:eastAsia="Times New Roman" w:hAnsi="Times New Roman" w:cs="Times New Roman"/>
      <w:color w:val="000000"/>
      <w:kern w:val="0"/>
      <w:szCs w:val="22"/>
      <w:lang w:val="es-ES_tradnl" w:eastAsia="es-ES" w:bidi="ks-Deva"/>
      <w14:ligatures w14:val="none"/>
    </w:rPr>
  </w:style>
  <w:style w:type="table" w:styleId="Tablanormal2">
    <w:name w:val="Plain Table 2"/>
    <w:basedOn w:val="Tablanormal"/>
    <w:uiPriority w:val="42"/>
    <w:rsid w:val="00F077B7"/>
    <w:pPr>
      <w:spacing w:after="0" w:line="240" w:lineRule="auto"/>
    </w:pPr>
    <w:rPr>
      <w:rFonts w:eastAsiaTheme="minorHAnsi"/>
      <w:sz w:val="22"/>
      <w:szCs w:val="22"/>
      <w:lang w:val="es-ES_tradnl"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B7D4EF" w:themeFill="text2" w:themeFillTint="33"/>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aencabezado1">
    <w:name w:val="Tabla.encabezado1"/>
    <w:basedOn w:val="Normal"/>
    <w:qFormat/>
    <w:rsid w:val="00F077B7"/>
    <w:pPr>
      <w:spacing w:before="240" w:after="60" w:line="240" w:lineRule="auto"/>
      <w:jc w:val="left"/>
    </w:pPr>
    <w:rPr>
      <w:rFonts w:eastAsiaTheme="minorHAnsi" w:cstheme="minorBidi"/>
      <w:color w:val="404040" w:themeColor="text1" w:themeTint="BF"/>
      <w:kern w:val="2"/>
      <w:sz w:val="18"/>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518">
      <w:bodyDiv w:val="1"/>
      <w:marLeft w:val="0"/>
      <w:marRight w:val="0"/>
      <w:marTop w:val="0"/>
      <w:marBottom w:val="0"/>
      <w:divBdr>
        <w:top w:val="none" w:sz="0" w:space="0" w:color="auto"/>
        <w:left w:val="none" w:sz="0" w:space="0" w:color="auto"/>
        <w:bottom w:val="none" w:sz="0" w:space="0" w:color="auto"/>
        <w:right w:val="none" w:sz="0" w:space="0" w:color="auto"/>
      </w:divBdr>
      <w:divsChild>
        <w:div w:id="1548838262">
          <w:marLeft w:val="0"/>
          <w:marRight w:val="0"/>
          <w:marTop w:val="0"/>
          <w:marBottom w:val="0"/>
          <w:divBdr>
            <w:top w:val="none" w:sz="0" w:space="0" w:color="auto"/>
            <w:left w:val="none" w:sz="0" w:space="0" w:color="auto"/>
            <w:bottom w:val="none" w:sz="0" w:space="0" w:color="auto"/>
            <w:right w:val="none" w:sz="0" w:space="0" w:color="auto"/>
          </w:divBdr>
          <w:divsChild>
            <w:div w:id="85002853">
              <w:marLeft w:val="0"/>
              <w:marRight w:val="0"/>
              <w:marTop w:val="0"/>
              <w:marBottom w:val="0"/>
              <w:divBdr>
                <w:top w:val="none" w:sz="0" w:space="0" w:color="auto"/>
                <w:left w:val="none" w:sz="0" w:space="0" w:color="auto"/>
                <w:bottom w:val="none" w:sz="0" w:space="0" w:color="auto"/>
                <w:right w:val="none" w:sz="0" w:space="0" w:color="auto"/>
              </w:divBdr>
              <w:divsChild>
                <w:div w:id="3266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5244">
      <w:bodyDiv w:val="1"/>
      <w:marLeft w:val="0"/>
      <w:marRight w:val="0"/>
      <w:marTop w:val="0"/>
      <w:marBottom w:val="0"/>
      <w:divBdr>
        <w:top w:val="none" w:sz="0" w:space="0" w:color="auto"/>
        <w:left w:val="none" w:sz="0" w:space="0" w:color="auto"/>
        <w:bottom w:val="none" w:sz="0" w:space="0" w:color="auto"/>
        <w:right w:val="none" w:sz="0" w:space="0" w:color="auto"/>
      </w:divBdr>
      <w:divsChild>
        <w:div w:id="1850098953">
          <w:marLeft w:val="0"/>
          <w:marRight w:val="0"/>
          <w:marTop w:val="0"/>
          <w:marBottom w:val="0"/>
          <w:divBdr>
            <w:top w:val="none" w:sz="0" w:space="0" w:color="auto"/>
            <w:left w:val="none" w:sz="0" w:space="0" w:color="auto"/>
            <w:bottom w:val="none" w:sz="0" w:space="0" w:color="auto"/>
            <w:right w:val="none" w:sz="0" w:space="0" w:color="auto"/>
          </w:divBdr>
          <w:divsChild>
            <w:div w:id="192883598">
              <w:marLeft w:val="0"/>
              <w:marRight w:val="0"/>
              <w:marTop w:val="0"/>
              <w:marBottom w:val="0"/>
              <w:divBdr>
                <w:top w:val="none" w:sz="0" w:space="0" w:color="auto"/>
                <w:left w:val="none" w:sz="0" w:space="0" w:color="auto"/>
                <w:bottom w:val="none" w:sz="0" w:space="0" w:color="auto"/>
                <w:right w:val="none" w:sz="0" w:space="0" w:color="auto"/>
              </w:divBdr>
              <w:divsChild>
                <w:div w:id="7961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0788">
      <w:bodyDiv w:val="1"/>
      <w:marLeft w:val="0"/>
      <w:marRight w:val="0"/>
      <w:marTop w:val="0"/>
      <w:marBottom w:val="0"/>
      <w:divBdr>
        <w:top w:val="none" w:sz="0" w:space="0" w:color="auto"/>
        <w:left w:val="none" w:sz="0" w:space="0" w:color="auto"/>
        <w:bottom w:val="none" w:sz="0" w:space="0" w:color="auto"/>
        <w:right w:val="none" w:sz="0" w:space="0" w:color="auto"/>
      </w:divBdr>
      <w:divsChild>
        <w:div w:id="1388065665">
          <w:marLeft w:val="0"/>
          <w:marRight w:val="0"/>
          <w:marTop w:val="0"/>
          <w:marBottom w:val="0"/>
          <w:divBdr>
            <w:top w:val="none" w:sz="0" w:space="0" w:color="auto"/>
            <w:left w:val="none" w:sz="0" w:space="0" w:color="auto"/>
            <w:bottom w:val="none" w:sz="0" w:space="0" w:color="auto"/>
            <w:right w:val="none" w:sz="0" w:space="0" w:color="auto"/>
          </w:divBdr>
          <w:divsChild>
            <w:div w:id="784352753">
              <w:marLeft w:val="0"/>
              <w:marRight w:val="0"/>
              <w:marTop w:val="0"/>
              <w:marBottom w:val="0"/>
              <w:divBdr>
                <w:top w:val="none" w:sz="0" w:space="0" w:color="auto"/>
                <w:left w:val="none" w:sz="0" w:space="0" w:color="auto"/>
                <w:bottom w:val="none" w:sz="0" w:space="0" w:color="auto"/>
                <w:right w:val="none" w:sz="0" w:space="0" w:color="auto"/>
              </w:divBdr>
              <w:divsChild>
                <w:div w:id="6889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7223">
      <w:bodyDiv w:val="1"/>
      <w:marLeft w:val="0"/>
      <w:marRight w:val="0"/>
      <w:marTop w:val="0"/>
      <w:marBottom w:val="0"/>
      <w:divBdr>
        <w:top w:val="none" w:sz="0" w:space="0" w:color="auto"/>
        <w:left w:val="none" w:sz="0" w:space="0" w:color="auto"/>
        <w:bottom w:val="none" w:sz="0" w:space="0" w:color="auto"/>
        <w:right w:val="none" w:sz="0" w:space="0" w:color="auto"/>
      </w:divBdr>
      <w:divsChild>
        <w:div w:id="190725818">
          <w:marLeft w:val="0"/>
          <w:marRight w:val="0"/>
          <w:marTop w:val="0"/>
          <w:marBottom w:val="0"/>
          <w:divBdr>
            <w:top w:val="none" w:sz="0" w:space="0" w:color="auto"/>
            <w:left w:val="none" w:sz="0" w:space="0" w:color="auto"/>
            <w:bottom w:val="none" w:sz="0" w:space="0" w:color="auto"/>
            <w:right w:val="none" w:sz="0" w:space="0" w:color="auto"/>
          </w:divBdr>
          <w:divsChild>
            <w:div w:id="1555045965">
              <w:marLeft w:val="0"/>
              <w:marRight w:val="0"/>
              <w:marTop w:val="0"/>
              <w:marBottom w:val="0"/>
              <w:divBdr>
                <w:top w:val="none" w:sz="0" w:space="0" w:color="auto"/>
                <w:left w:val="none" w:sz="0" w:space="0" w:color="auto"/>
                <w:bottom w:val="none" w:sz="0" w:space="0" w:color="auto"/>
                <w:right w:val="none" w:sz="0" w:space="0" w:color="auto"/>
              </w:divBdr>
              <w:divsChild>
                <w:div w:id="4252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9452">
      <w:bodyDiv w:val="1"/>
      <w:marLeft w:val="0"/>
      <w:marRight w:val="0"/>
      <w:marTop w:val="0"/>
      <w:marBottom w:val="0"/>
      <w:divBdr>
        <w:top w:val="none" w:sz="0" w:space="0" w:color="auto"/>
        <w:left w:val="none" w:sz="0" w:space="0" w:color="auto"/>
        <w:bottom w:val="none" w:sz="0" w:space="0" w:color="auto"/>
        <w:right w:val="none" w:sz="0" w:space="0" w:color="auto"/>
      </w:divBdr>
    </w:div>
    <w:div w:id="170335093">
      <w:bodyDiv w:val="1"/>
      <w:marLeft w:val="0"/>
      <w:marRight w:val="0"/>
      <w:marTop w:val="0"/>
      <w:marBottom w:val="0"/>
      <w:divBdr>
        <w:top w:val="none" w:sz="0" w:space="0" w:color="auto"/>
        <w:left w:val="none" w:sz="0" w:space="0" w:color="auto"/>
        <w:bottom w:val="none" w:sz="0" w:space="0" w:color="auto"/>
        <w:right w:val="none" w:sz="0" w:space="0" w:color="auto"/>
      </w:divBdr>
      <w:divsChild>
        <w:div w:id="2145464210">
          <w:marLeft w:val="0"/>
          <w:marRight w:val="0"/>
          <w:marTop w:val="0"/>
          <w:marBottom w:val="0"/>
          <w:divBdr>
            <w:top w:val="none" w:sz="0" w:space="0" w:color="auto"/>
            <w:left w:val="none" w:sz="0" w:space="0" w:color="auto"/>
            <w:bottom w:val="none" w:sz="0" w:space="0" w:color="auto"/>
            <w:right w:val="none" w:sz="0" w:space="0" w:color="auto"/>
          </w:divBdr>
          <w:divsChild>
            <w:div w:id="1005942048">
              <w:marLeft w:val="0"/>
              <w:marRight w:val="0"/>
              <w:marTop w:val="0"/>
              <w:marBottom w:val="0"/>
              <w:divBdr>
                <w:top w:val="none" w:sz="0" w:space="0" w:color="auto"/>
                <w:left w:val="none" w:sz="0" w:space="0" w:color="auto"/>
                <w:bottom w:val="none" w:sz="0" w:space="0" w:color="auto"/>
                <w:right w:val="none" w:sz="0" w:space="0" w:color="auto"/>
              </w:divBdr>
              <w:divsChild>
                <w:div w:id="13030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2078">
      <w:bodyDiv w:val="1"/>
      <w:marLeft w:val="0"/>
      <w:marRight w:val="0"/>
      <w:marTop w:val="0"/>
      <w:marBottom w:val="0"/>
      <w:divBdr>
        <w:top w:val="none" w:sz="0" w:space="0" w:color="auto"/>
        <w:left w:val="none" w:sz="0" w:space="0" w:color="auto"/>
        <w:bottom w:val="none" w:sz="0" w:space="0" w:color="auto"/>
        <w:right w:val="none" w:sz="0" w:space="0" w:color="auto"/>
      </w:divBdr>
      <w:divsChild>
        <w:div w:id="17390579">
          <w:marLeft w:val="0"/>
          <w:marRight w:val="0"/>
          <w:marTop w:val="0"/>
          <w:marBottom w:val="0"/>
          <w:divBdr>
            <w:top w:val="none" w:sz="0" w:space="0" w:color="auto"/>
            <w:left w:val="none" w:sz="0" w:space="0" w:color="auto"/>
            <w:bottom w:val="none" w:sz="0" w:space="0" w:color="auto"/>
            <w:right w:val="none" w:sz="0" w:space="0" w:color="auto"/>
          </w:divBdr>
          <w:divsChild>
            <w:div w:id="432096167">
              <w:marLeft w:val="0"/>
              <w:marRight w:val="0"/>
              <w:marTop w:val="0"/>
              <w:marBottom w:val="0"/>
              <w:divBdr>
                <w:top w:val="none" w:sz="0" w:space="0" w:color="auto"/>
                <w:left w:val="none" w:sz="0" w:space="0" w:color="auto"/>
                <w:bottom w:val="none" w:sz="0" w:space="0" w:color="auto"/>
                <w:right w:val="none" w:sz="0" w:space="0" w:color="auto"/>
              </w:divBdr>
              <w:divsChild>
                <w:div w:id="15576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53804">
      <w:bodyDiv w:val="1"/>
      <w:marLeft w:val="0"/>
      <w:marRight w:val="0"/>
      <w:marTop w:val="0"/>
      <w:marBottom w:val="0"/>
      <w:divBdr>
        <w:top w:val="none" w:sz="0" w:space="0" w:color="auto"/>
        <w:left w:val="none" w:sz="0" w:space="0" w:color="auto"/>
        <w:bottom w:val="none" w:sz="0" w:space="0" w:color="auto"/>
        <w:right w:val="none" w:sz="0" w:space="0" w:color="auto"/>
      </w:divBdr>
      <w:divsChild>
        <w:div w:id="11733843">
          <w:marLeft w:val="0"/>
          <w:marRight w:val="0"/>
          <w:marTop w:val="0"/>
          <w:marBottom w:val="0"/>
          <w:divBdr>
            <w:top w:val="none" w:sz="0" w:space="0" w:color="auto"/>
            <w:left w:val="none" w:sz="0" w:space="0" w:color="auto"/>
            <w:bottom w:val="none" w:sz="0" w:space="0" w:color="auto"/>
            <w:right w:val="none" w:sz="0" w:space="0" w:color="auto"/>
          </w:divBdr>
        </w:div>
      </w:divsChild>
    </w:div>
    <w:div w:id="223757931">
      <w:bodyDiv w:val="1"/>
      <w:marLeft w:val="0"/>
      <w:marRight w:val="0"/>
      <w:marTop w:val="0"/>
      <w:marBottom w:val="0"/>
      <w:divBdr>
        <w:top w:val="none" w:sz="0" w:space="0" w:color="auto"/>
        <w:left w:val="none" w:sz="0" w:space="0" w:color="auto"/>
        <w:bottom w:val="none" w:sz="0" w:space="0" w:color="auto"/>
        <w:right w:val="none" w:sz="0" w:space="0" w:color="auto"/>
      </w:divBdr>
      <w:divsChild>
        <w:div w:id="1263106600">
          <w:marLeft w:val="0"/>
          <w:marRight w:val="0"/>
          <w:marTop w:val="0"/>
          <w:marBottom w:val="0"/>
          <w:divBdr>
            <w:top w:val="none" w:sz="0" w:space="0" w:color="auto"/>
            <w:left w:val="none" w:sz="0" w:space="0" w:color="auto"/>
            <w:bottom w:val="none" w:sz="0" w:space="0" w:color="auto"/>
            <w:right w:val="none" w:sz="0" w:space="0" w:color="auto"/>
          </w:divBdr>
        </w:div>
      </w:divsChild>
    </w:div>
    <w:div w:id="225335372">
      <w:bodyDiv w:val="1"/>
      <w:marLeft w:val="0"/>
      <w:marRight w:val="0"/>
      <w:marTop w:val="0"/>
      <w:marBottom w:val="0"/>
      <w:divBdr>
        <w:top w:val="none" w:sz="0" w:space="0" w:color="auto"/>
        <w:left w:val="none" w:sz="0" w:space="0" w:color="auto"/>
        <w:bottom w:val="none" w:sz="0" w:space="0" w:color="auto"/>
        <w:right w:val="none" w:sz="0" w:space="0" w:color="auto"/>
      </w:divBdr>
      <w:divsChild>
        <w:div w:id="836766544">
          <w:marLeft w:val="0"/>
          <w:marRight w:val="0"/>
          <w:marTop w:val="0"/>
          <w:marBottom w:val="0"/>
          <w:divBdr>
            <w:top w:val="none" w:sz="0" w:space="0" w:color="auto"/>
            <w:left w:val="none" w:sz="0" w:space="0" w:color="auto"/>
            <w:bottom w:val="none" w:sz="0" w:space="0" w:color="auto"/>
            <w:right w:val="none" w:sz="0" w:space="0" w:color="auto"/>
          </w:divBdr>
          <w:divsChild>
            <w:div w:id="913471938">
              <w:marLeft w:val="0"/>
              <w:marRight w:val="0"/>
              <w:marTop w:val="0"/>
              <w:marBottom w:val="0"/>
              <w:divBdr>
                <w:top w:val="none" w:sz="0" w:space="0" w:color="auto"/>
                <w:left w:val="none" w:sz="0" w:space="0" w:color="auto"/>
                <w:bottom w:val="none" w:sz="0" w:space="0" w:color="auto"/>
                <w:right w:val="none" w:sz="0" w:space="0" w:color="auto"/>
              </w:divBdr>
              <w:divsChild>
                <w:div w:id="5657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5111">
      <w:bodyDiv w:val="1"/>
      <w:marLeft w:val="0"/>
      <w:marRight w:val="0"/>
      <w:marTop w:val="0"/>
      <w:marBottom w:val="0"/>
      <w:divBdr>
        <w:top w:val="none" w:sz="0" w:space="0" w:color="auto"/>
        <w:left w:val="none" w:sz="0" w:space="0" w:color="auto"/>
        <w:bottom w:val="none" w:sz="0" w:space="0" w:color="auto"/>
        <w:right w:val="none" w:sz="0" w:space="0" w:color="auto"/>
      </w:divBdr>
    </w:div>
    <w:div w:id="252205013">
      <w:bodyDiv w:val="1"/>
      <w:marLeft w:val="0"/>
      <w:marRight w:val="0"/>
      <w:marTop w:val="0"/>
      <w:marBottom w:val="0"/>
      <w:divBdr>
        <w:top w:val="none" w:sz="0" w:space="0" w:color="auto"/>
        <w:left w:val="none" w:sz="0" w:space="0" w:color="auto"/>
        <w:bottom w:val="none" w:sz="0" w:space="0" w:color="auto"/>
        <w:right w:val="none" w:sz="0" w:space="0" w:color="auto"/>
      </w:divBdr>
    </w:div>
    <w:div w:id="255097694">
      <w:bodyDiv w:val="1"/>
      <w:marLeft w:val="0"/>
      <w:marRight w:val="0"/>
      <w:marTop w:val="0"/>
      <w:marBottom w:val="0"/>
      <w:divBdr>
        <w:top w:val="none" w:sz="0" w:space="0" w:color="auto"/>
        <w:left w:val="none" w:sz="0" w:space="0" w:color="auto"/>
        <w:bottom w:val="none" w:sz="0" w:space="0" w:color="auto"/>
        <w:right w:val="none" w:sz="0" w:space="0" w:color="auto"/>
      </w:divBdr>
      <w:divsChild>
        <w:div w:id="542450250">
          <w:marLeft w:val="0"/>
          <w:marRight w:val="0"/>
          <w:marTop w:val="0"/>
          <w:marBottom w:val="0"/>
          <w:divBdr>
            <w:top w:val="none" w:sz="0" w:space="0" w:color="auto"/>
            <w:left w:val="none" w:sz="0" w:space="0" w:color="auto"/>
            <w:bottom w:val="none" w:sz="0" w:space="0" w:color="auto"/>
            <w:right w:val="none" w:sz="0" w:space="0" w:color="auto"/>
          </w:divBdr>
        </w:div>
      </w:divsChild>
    </w:div>
    <w:div w:id="259457771">
      <w:bodyDiv w:val="1"/>
      <w:marLeft w:val="0"/>
      <w:marRight w:val="0"/>
      <w:marTop w:val="0"/>
      <w:marBottom w:val="0"/>
      <w:divBdr>
        <w:top w:val="none" w:sz="0" w:space="0" w:color="auto"/>
        <w:left w:val="none" w:sz="0" w:space="0" w:color="auto"/>
        <w:bottom w:val="none" w:sz="0" w:space="0" w:color="auto"/>
        <w:right w:val="none" w:sz="0" w:space="0" w:color="auto"/>
      </w:divBdr>
      <w:divsChild>
        <w:div w:id="260072922">
          <w:marLeft w:val="0"/>
          <w:marRight w:val="0"/>
          <w:marTop w:val="0"/>
          <w:marBottom w:val="0"/>
          <w:divBdr>
            <w:top w:val="none" w:sz="0" w:space="0" w:color="auto"/>
            <w:left w:val="none" w:sz="0" w:space="0" w:color="auto"/>
            <w:bottom w:val="none" w:sz="0" w:space="0" w:color="auto"/>
            <w:right w:val="none" w:sz="0" w:space="0" w:color="auto"/>
          </w:divBdr>
          <w:divsChild>
            <w:div w:id="1327057218">
              <w:marLeft w:val="0"/>
              <w:marRight w:val="0"/>
              <w:marTop w:val="0"/>
              <w:marBottom w:val="0"/>
              <w:divBdr>
                <w:top w:val="none" w:sz="0" w:space="0" w:color="auto"/>
                <w:left w:val="none" w:sz="0" w:space="0" w:color="auto"/>
                <w:bottom w:val="none" w:sz="0" w:space="0" w:color="auto"/>
                <w:right w:val="none" w:sz="0" w:space="0" w:color="auto"/>
              </w:divBdr>
              <w:divsChild>
                <w:div w:id="1423528327">
                  <w:marLeft w:val="0"/>
                  <w:marRight w:val="0"/>
                  <w:marTop w:val="0"/>
                  <w:marBottom w:val="0"/>
                  <w:divBdr>
                    <w:top w:val="none" w:sz="0" w:space="0" w:color="auto"/>
                    <w:left w:val="none" w:sz="0" w:space="0" w:color="auto"/>
                    <w:bottom w:val="none" w:sz="0" w:space="0" w:color="auto"/>
                    <w:right w:val="none" w:sz="0" w:space="0" w:color="auto"/>
                  </w:divBdr>
                  <w:divsChild>
                    <w:div w:id="1627195608">
                      <w:marLeft w:val="0"/>
                      <w:marRight w:val="0"/>
                      <w:marTop w:val="0"/>
                      <w:marBottom w:val="0"/>
                      <w:divBdr>
                        <w:top w:val="none" w:sz="0" w:space="0" w:color="auto"/>
                        <w:left w:val="none" w:sz="0" w:space="0" w:color="auto"/>
                        <w:bottom w:val="none" w:sz="0" w:space="0" w:color="auto"/>
                        <w:right w:val="none" w:sz="0" w:space="0" w:color="auto"/>
                      </w:divBdr>
                      <w:divsChild>
                        <w:div w:id="1011877033">
                          <w:marLeft w:val="0"/>
                          <w:marRight w:val="0"/>
                          <w:marTop w:val="0"/>
                          <w:marBottom w:val="0"/>
                          <w:divBdr>
                            <w:top w:val="none" w:sz="0" w:space="0" w:color="auto"/>
                            <w:left w:val="none" w:sz="0" w:space="0" w:color="auto"/>
                            <w:bottom w:val="none" w:sz="0" w:space="0" w:color="auto"/>
                            <w:right w:val="none" w:sz="0" w:space="0" w:color="auto"/>
                          </w:divBdr>
                          <w:divsChild>
                            <w:div w:id="969092291">
                              <w:marLeft w:val="0"/>
                              <w:marRight w:val="0"/>
                              <w:marTop w:val="0"/>
                              <w:marBottom w:val="0"/>
                              <w:divBdr>
                                <w:top w:val="none" w:sz="0" w:space="0" w:color="auto"/>
                                <w:left w:val="none" w:sz="0" w:space="0" w:color="auto"/>
                                <w:bottom w:val="none" w:sz="0" w:space="0" w:color="auto"/>
                                <w:right w:val="none" w:sz="0" w:space="0" w:color="auto"/>
                              </w:divBdr>
                              <w:divsChild>
                                <w:div w:id="2106917149">
                                  <w:marLeft w:val="0"/>
                                  <w:marRight w:val="0"/>
                                  <w:marTop w:val="0"/>
                                  <w:marBottom w:val="0"/>
                                  <w:divBdr>
                                    <w:top w:val="none" w:sz="0" w:space="0" w:color="auto"/>
                                    <w:left w:val="none" w:sz="0" w:space="0" w:color="auto"/>
                                    <w:bottom w:val="none" w:sz="0" w:space="0" w:color="auto"/>
                                    <w:right w:val="none" w:sz="0" w:space="0" w:color="auto"/>
                                  </w:divBdr>
                                  <w:divsChild>
                                    <w:div w:id="13658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966057">
      <w:bodyDiv w:val="1"/>
      <w:marLeft w:val="0"/>
      <w:marRight w:val="0"/>
      <w:marTop w:val="0"/>
      <w:marBottom w:val="0"/>
      <w:divBdr>
        <w:top w:val="none" w:sz="0" w:space="0" w:color="auto"/>
        <w:left w:val="none" w:sz="0" w:space="0" w:color="auto"/>
        <w:bottom w:val="none" w:sz="0" w:space="0" w:color="auto"/>
        <w:right w:val="none" w:sz="0" w:space="0" w:color="auto"/>
      </w:divBdr>
    </w:div>
    <w:div w:id="274413601">
      <w:bodyDiv w:val="1"/>
      <w:marLeft w:val="0"/>
      <w:marRight w:val="0"/>
      <w:marTop w:val="0"/>
      <w:marBottom w:val="0"/>
      <w:divBdr>
        <w:top w:val="none" w:sz="0" w:space="0" w:color="auto"/>
        <w:left w:val="none" w:sz="0" w:space="0" w:color="auto"/>
        <w:bottom w:val="none" w:sz="0" w:space="0" w:color="auto"/>
        <w:right w:val="none" w:sz="0" w:space="0" w:color="auto"/>
      </w:divBdr>
    </w:div>
    <w:div w:id="285698170">
      <w:bodyDiv w:val="1"/>
      <w:marLeft w:val="0"/>
      <w:marRight w:val="0"/>
      <w:marTop w:val="0"/>
      <w:marBottom w:val="0"/>
      <w:divBdr>
        <w:top w:val="none" w:sz="0" w:space="0" w:color="auto"/>
        <w:left w:val="none" w:sz="0" w:space="0" w:color="auto"/>
        <w:bottom w:val="none" w:sz="0" w:space="0" w:color="auto"/>
        <w:right w:val="none" w:sz="0" w:space="0" w:color="auto"/>
      </w:divBdr>
      <w:divsChild>
        <w:div w:id="1369061787">
          <w:marLeft w:val="0"/>
          <w:marRight w:val="0"/>
          <w:marTop w:val="0"/>
          <w:marBottom w:val="0"/>
          <w:divBdr>
            <w:top w:val="none" w:sz="0" w:space="0" w:color="auto"/>
            <w:left w:val="none" w:sz="0" w:space="0" w:color="auto"/>
            <w:bottom w:val="none" w:sz="0" w:space="0" w:color="auto"/>
            <w:right w:val="none" w:sz="0" w:space="0" w:color="auto"/>
          </w:divBdr>
          <w:divsChild>
            <w:div w:id="1059672245">
              <w:marLeft w:val="0"/>
              <w:marRight w:val="0"/>
              <w:marTop w:val="0"/>
              <w:marBottom w:val="0"/>
              <w:divBdr>
                <w:top w:val="none" w:sz="0" w:space="0" w:color="auto"/>
                <w:left w:val="none" w:sz="0" w:space="0" w:color="auto"/>
                <w:bottom w:val="none" w:sz="0" w:space="0" w:color="auto"/>
                <w:right w:val="none" w:sz="0" w:space="0" w:color="auto"/>
              </w:divBdr>
              <w:divsChild>
                <w:div w:id="2601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5345">
      <w:bodyDiv w:val="1"/>
      <w:marLeft w:val="0"/>
      <w:marRight w:val="0"/>
      <w:marTop w:val="0"/>
      <w:marBottom w:val="0"/>
      <w:divBdr>
        <w:top w:val="none" w:sz="0" w:space="0" w:color="auto"/>
        <w:left w:val="none" w:sz="0" w:space="0" w:color="auto"/>
        <w:bottom w:val="none" w:sz="0" w:space="0" w:color="auto"/>
        <w:right w:val="none" w:sz="0" w:space="0" w:color="auto"/>
      </w:divBdr>
    </w:div>
    <w:div w:id="298003501">
      <w:bodyDiv w:val="1"/>
      <w:marLeft w:val="0"/>
      <w:marRight w:val="0"/>
      <w:marTop w:val="0"/>
      <w:marBottom w:val="0"/>
      <w:divBdr>
        <w:top w:val="none" w:sz="0" w:space="0" w:color="auto"/>
        <w:left w:val="none" w:sz="0" w:space="0" w:color="auto"/>
        <w:bottom w:val="none" w:sz="0" w:space="0" w:color="auto"/>
        <w:right w:val="none" w:sz="0" w:space="0" w:color="auto"/>
      </w:divBdr>
    </w:div>
    <w:div w:id="300887576">
      <w:bodyDiv w:val="1"/>
      <w:marLeft w:val="0"/>
      <w:marRight w:val="0"/>
      <w:marTop w:val="0"/>
      <w:marBottom w:val="0"/>
      <w:divBdr>
        <w:top w:val="none" w:sz="0" w:space="0" w:color="auto"/>
        <w:left w:val="none" w:sz="0" w:space="0" w:color="auto"/>
        <w:bottom w:val="none" w:sz="0" w:space="0" w:color="auto"/>
        <w:right w:val="none" w:sz="0" w:space="0" w:color="auto"/>
      </w:divBdr>
      <w:divsChild>
        <w:div w:id="852955651">
          <w:marLeft w:val="0"/>
          <w:marRight w:val="0"/>
          <w:marTop w:val="0"/>
          <w:marBottom w:val="0"/>
          <w:divBdr>
            <w:top w:val="none" w:sz="0" w:space="0" w:color="auto"/>
            <w:left w:val="none" w:sz="0" w:space="0" w:color="auto"/>
            <w:bottom w:val="none" w:sz="0" w:space="0" w:color="auto"/>
            <w:right w:val="none" w:sz="0" w:space="0" w:color="auto"/>
          </w:divBdr>
        </w:div>
      </w:divsChild>
    </w:div>
    <w:div w:id="327680377">
      <w:bodyDiv w:val="1"/>
      <w:marLeft w:val="0"/>
      <w:marRight w:val="0"/>
      <w:marTop w:val="0"/>
      <w:marBottom w:val="0"/>
      <w:divBdr>
        <w:top w:val="none" w:sz="0" w:space="0" w:color="auto"/>
        <w:left w:val="none" w:sz="0" w:space="0" w:color="auto"/>
        <w:bottom w:val="none" w:sz="0" w:space="0" w:color="auto"/>
        <w:right w:val="none" w:sz="0" w:space="0" w:color="auto"/>
      </w:divBdr>
    </w:div>
    <w:div w:id="328751612">
      <w:bodyDiv w:val="1"/>
      <w:marLeft w:val="0"/>
      <w:marRight w:val="0"/>
      <w:marTop w:val="0"/>
      <w:marBottom w:val="0"/>
      <w:divBdr>
        <w:top w:val="none" w:sz="0" w:space="0" w:color="auto"/>
        <w:left w:val="none" w:sz="0" w:space="0" w:color="auto"/>
        <w:bottom w:val="none" w:sz="0" w:space="0" w:color="auto"/>
        <w:right w:val="none" w:sz="0" w:space="0" w:color="auto"/>
      </w:divBdr>
      <w:divsChild>
        <w:div w:id="282463">
          <w:marLeft w:val="0"/>
          <w:marRight w:val="0"/>
          <w:marTop w:val="0"/>
          <w:marBottom w:val="0"/>
          <w:divBdr>
            <w:top w:val="none" w:sz="0" w:space="0" w:color="auto"/>
            <w:left w:val="none" w:sz="0" w:space="0" w:color="auto"/>
            <w:bottom w:val="none" w:sz="0" w:space="0" w:color="auto"/>
            <w:right w:val="none" w:sz="0" w:space="0" w:color="auto"/>
          </w:divBdr>
        </w:div>
      </w:divsChild>
    </w:div>
    <w:div w:id="367069989">
      <w:bodyDiv w:val="1"/>
      <w:marLeft w:val="0"/>
      <w:marRight w:val="0"/>
      <w:marTop w:val="0"/>
      <w:marBottom w:val="0"/>
      <w:divBdr>
        <w:top w:val="none" w:sz="0" w:space="0" w:color="auto"/>
        <w:left w:val="none" w:sz="0" w:space="0" w:color="auto"/>
        <w:bottom w:val="none" w:sz="0" w:space="0" w:color="auto"/>
        <w:right w:val="none" w:sz="0" w:space="0" w:color="auto"/>
      </w:divBdr>
      <w:divsChild>
        <w:div w:id="1894732116">
          <w:marLeft w:val="0"/>
          <w:marRight w:val="0"/>
          <w:marTop w:val="0"/>
          <w:marBottom w:val="0"/>
          <w:divBdr>
            <w:top w:val="none" w:sz="0" w:space="0" w:color="auto"/>
            <w:left w:val="none" w:sz="0" w:space="0" w:color="auto"/>
            <w:bottom w:val="none" w:sz="0" w:space="0" w:color="auto"/>
            <w:right w:val="none" w:sz="0" w:space="0" w:color="auto"/>
          </w:divBdr>
          <w:divsChild>
            <w:div w:id="1720591936">
              <w:marLeft w:val="0"/>
              <w:marRight w:val="0"/>
              <w:marTop w:val="0"/>
              <w:marBottom w:val="0"/>
              <w:divBdr>
                <w:top w:val="none" w:sz="0" w:space="0" w:color="auto"/>
                <w:left w:val="none" w:sz="0" w:space="0" w:color="auto"/>
                <w:bottom w:val="none" w:sz="0" w:space="0" w:color="auto"/>
                <w:right w:val="none" w:sz="0" w:space="0" w:color="auto"/>
              </w:divBdr>
              <w:divsChild>
                <w:div w:id="11684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54927">
      <w:bodyDiv w:val="1"/>
      <w:marLeft w:val="0"/>
      <w:marRight w:val="0"/>
      <w:marTop w:val="0"/>
      <w:marBottom w:val="0"/>
      <w:divBdr>
        <w:top w:val="none" w:sz="0" w:space="0" w:color="auto"/>
        <w:left w:val="none" w:sz="0" w:space="0" w:color="auto"/>
        <w:bottom w:val="none" w:sz="0" w:space="0" w:color="auto"/>
        <w:right w:val="none" w:sz="0" w:space="0" w:color="auto"/>
      </w:divBdr>
      <w:divsChild>
        <w:div w:id="1310208591">
          <w:marLeft w:val="0"/>
          <w:marRight w:val="0"/>
          <w:marTop w:val="0"/>
          <w:marBottom w:val="0"/>
          <w:divBdr>
            <w:top w:val="none" w:sz="0" w:space="0" w:color="auto"/>
            <w:left w:val="none" w:sz="0" w:space="0" w:color="auto"/>
            <w:bottom w:val="none" w:sz="0" w:space="0" w:color="auto"/>
            <w:right w:val="none" w:sz="0" w:space="0" w:color="auto"/>
          </w:divBdr>
          <w:divsChild>
            <w:div w:id="527261318">
              <w:marLeft w:val="0"/>
              <w:marRight w:val="0"/>
              <w:marTop w:val="0"/>
              <w:marBottom w:val="0"/>
              <w:divBdr>
                <w:top w:val="none" w:sz="0" w:space="0" w:color="auto"/>
                <w:left w:val="none" w:sz="0" w:space="0" w:color="auto"/>
                <w:bottom w:val="none" w:sz="0" w:space="0" w:color="auto"/>
                <w:right w:val="none" w:sz="0" w:space="0" w:color="auto"/>
              </w:divBdr>
              <w:divsChild>
                <w:div w:id="2034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7622">
      <w:bodyDiv w:val="1"/>
      <w:marLeft w:val="0"/>
      <w:marRight w:val="0"/>
      <w:marTop w:val="0"/>
      <w:marBottom w:val="0"/>
      <w:divBdr>
        <w:top w:val="none" w:sz="0" w:space="0" w:color="auto"/>
        <w:left w:val="none" w:sz="0" w:space="0" w:color="auto"/>
        <w:bottom w:val="none" w:sz="0" w:space="0" w:color="auto"/>
        <w:right w:val="none" w:sz="0" w:space="0" w:color="auto"/>
      </w:divBdr>
      <w:divsChild>
        <w:div w:id="603806754">
          <w:marLeft w:val="0"/>
          <w:marRight w:val="0"/>
          <w:marTop w:val="0"/>
          <w:marBottom w:val="0"/>
          <w:divBdr>
            <w:top w:val="none" w:sz="0" w:space="0" w:color="auto"/>
            <w:left w:val="none" w:sz="0" w:space="0" w:color="auto"/>
            <w:bottom w:val="none" w:sz="0" w:space="0" w:color="auto"/>
            <w:right w:val="none" w:sz="0" w:space="0" w:color="auto"/>
          </w:divBdr>
          <w:divsChild>
            <w:div w:id="1576472621">
              <w:marLeft w:val="0"/>
              <w:marRight w:val="0"/>
              <w:marTop w:val="0"/>
              <w:marBottom w:val="0"/>
              <w:divBdr>
                <w:top w:val="none" w:sz="0" w:space="0" w:color="auto"/>
                <w:left w:val="none" w:sz="0" w:space="0" w:color="auto"/>
                <w:bottom w:val="none" w:sz="0" w:space="0" w:color="auto"/>
                <w:right w:val="none" w:sz="0" w:space="0" w:color="auto"/>
              </w:divBdr>
              <w:divsChild>
                <w:div w:id="3209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4018">
      <w:bodyDiv w:val="1"/>
      <w:marLeft w:val="0"/>
      <w:marRight w:val="0"/>
      <w:marTop w:val="0"/>
      <w:marBottom w:val="0"/>
      <w:divBdr>
        <w:top w:val="none" w:sz="0" w:space="0" w:color="auto"/>
        <w:left w:val="none" w:sz="0" w:space="0" w:color="auto"/>
        <w:bottom w:val="none" w:sz="0" w:space="0" w:color="auto"/>
        <w:right w:val="none" w:sz="0" w:space="0" w:color="auto"/>
      </w:divBdr>
      <w:divsChild>
        <w:div w:id="1493913716">
          <w:marLeft w:val="0"/>
          <w:marRight w:val="0"/>
          <w:marTop w:val="0"/>
          <w:marBottom w:val="0"/>
          <w:divBdr>
            <w:top w:val="none" w:sz="0" w:space="0" w:color="auto"/>
            <w:left w:val="none" w:sz="0" w:space="0" w:color="auto"/>
            <w:bottom w:val="none" w:sz="0" w:space="0" w:color="auto"/>
            <w:right w:val="none" w:sz="0" w:space="0" w:color="auto"/>
          </w:divBdr>
          <w:divsChild>
            <w:div w:id="30963713">
              <w:marLeft w:val="0"/>
              <w:marRight w:val="0"/>
              <w:marTop w:val="0"/>
              <w:marBottom w:val="0"/>
              <w:divBdr>
                <w:top w:val="none" w:sz="0" w:space="0" w:color="auto"/>
                <w:left w:val="none" w:sz="0" w:space="0" w:color="auto"/>
                <w:bottom w:val="none" w:sz="0" w:space="0" w:color="auto"/>
                <w:right w:val="none" w:sz="0" w:space="0" w:color="auto"/>
              </w:divBdr>
              <w:divsChild>
                <w:div w:id="13754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5120">
      <w:bodyDiv w:val="1"/>
      <w:marLeft w:val="0"/>
      <w:marRight w:val="0"/>
      <w:marTop w:val="0"/>
      <w:marBottom w:val="0"/>
      <w:divBdr>
        <w:top w:val="none" w:sz="0" w:space="0" w:color="auto"/>
        <w:left w:val="none" w:sz="0" w:space="0" w:color="auto"/>
        <w:bottom w:val="none" w:sz="0" w:space="0" w:color="auto"/>
        <w:right w:val="none" w:sz="0" w:space="0" w:color="auto"/>
      </w:divBdr>
      <w:divsChild>
        <w:div w:id="1587227295">
          <w:marLeft w:val="0"/>
          <w:marRight w:val="0"/>
          <w:marTop w:val="0"/>
          <w:marBottom w:val="0"/>
          <w:divBdr>
            <w:top w:val="none" w:sz="0" w:space="0" w:color="auto"/>
            <w:left w:val="none" w:sz="0" w:space="0" w:color="auto"/>
            <w:bottom w:val="none" w:sz="0" w:space="0" w:color="auto"/>
            <w:right w:val="none" w:sz="0" w:space="0" w:color="auto"/>
          </w:divBdr>
          <w:divsChild>
            <w:div w:id="1237395177">
              <w:marLeft w:val="0"/>
              <w:marRight w:val="0"/>
              <w:marTop w:val="0"/>
              <w:marBottom w:val="0"/>
              <w:divBdr>
                <w:top w:val="none" w:sz="0" w:space="0" w:color="auto"/>
                <w:left w:val="none" w:sz="0" w:space="0" w:color="auto"/>
                <w:bottom w:val="none" w:sz="0" w:space="0" w:color="auto"/>
                <w:right w:val="none" w:sz="0" w:space="0" w:color="auto"/>
              </w:divBdr>
              <w:divsChild>
                <w:div w:id="10193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997278">
      <w:bodyDiv w:val="1"/>
      <w:marLeft w:val="0"/>
      <w:marRight w:val="0"/>
      <w:marTop w:val="0"/>
      <w:marBottom w:val="0"/>
      <w:divBdr>
        <w:top w:val="none" w:sz="0" w:space="0" w:color="auto"/>
        <w:left w:val="none" w:sz="0" w:space="0" w:color="auto"/>
        <w:bottom w:val="none" w:sz="0" w:space="0" w:color="auto"/>
        <w:right w:val="none" w:sz="0" w:space="0" w:color="auto"/>
      </w:divBdr>
      <w:divsChild>
        <w:div w:id="2002851769">
          <w:marLeft w:val="0"/>
          <w:marRight w:val="0"/>
          <w:marTop w:val="0"/>
          <w:marBottom w:val="0"/>
          <w:divBdr>
            <w:top w:val="none" w:sz="0" w:space="0" w:color="auto"/>
            <w:left w:val="none" w:sz="0" w:space="0" w:color="auto"/>
            <w:bottom w:val="none" w:sz="0" w:space="0" w:color="auto"/>
            <w:right w:val="none" w:sz="0" w:space="0" w:color="auto"/>
          </w:divBdr>
          <w:divsChild>
            <w:div w:id="1846168865">
              <w:marLeft w:val="0"/>
              <w:marRight w:val="0"/>
              <w:marTop w:val="0"/>
              <w:marBottom w:val="0"/>
              <w:divBdr>
                <w:top w:val="none" w:sz="0" w:space="0" w:color="auto"/>
                <w:left w:val="none" w:sz="0" w:space="0" w:color="auto"/>
                <w:bottom w:val="none" w:sz="0" w:space="0" w:color="auto"/>
                <w:right w:val="none" w:sz="0" w:space="0" w:color="auto"/>
              </w:divBdr>
              <w:divsChild>
                <w:div w:id="4712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44912">
      <w:bodyDiv w:val="1"/>
      <w:marLeft w:val="0"/>
      <w:marRight w:val="0"/>
      <w:marTop w:val="0"/>
      <w:marBottom w:val="0"/>
      <w:divBdr>
        <w:top w:val="none" w:sz="0" w:space="0" w:color="auto"/>
        <w:left w:val="none" w:sz="0" w:space="0" w:color="auto"/>
        <w:bottom w:val="none" w:sz="0" w:space="0" w:color="auto"/>
        <w:right w:val="none" w:sz="0" w:space="0" w:color="auto"/>
      </w:divBdr>
    </w:div>
    <w:div w:id="490602802">
      <w:bodyDiv w:val="1"/>
      <w:marLeft w:val="0"/>
      <w:marRight w:val="0"/>
      <w:marTop w:val="0"/>
      <w:marBottom w:val="0"/>
      <w:divBdr>
        <w:top w:val="none" w:sz="0" w:space="0" w:color="auto"/>
        <w:left w:val="none" w:sz="0" w:space="0" w:color="auto"/>
        <w:bottom w:val="none" w:sz="0" w:space="0" w:color="auto"/>
        <w:right w:val="none" w:sz="0" w:space="0" w:color="auto"/>
      </w:divBdr>
    </w:div>
    <w:div w:id="501432943">
      <w:bodyDiv w:val="1"/>
      <w:marLeft w:val="0"/>
      <w:marRight w:val="0"/>
      <w:marTop w:val="0"/>
      <w:marBottom w:val="0"/>
      <w:divBdr>
        <w:top w:val="none" w:sz="0" w:space="0" w:color="auto"/>
        <w:left w:val="none" w:sz="0" w:space="0" w:color="auto"/>
        <w:bottom w:val="none" w:sz="0" w:space="0" w:color="auto"/>
        <w:right w:val="none" w:sz="0" w:space="0" w:color="auto"/>
      </w:divBdr>
      <w:divsChild>
        <w:div w:id="541944226">
          <w:marLeft w:val="0"/>
          <w:marRight w:val="0"/>
          <w:marTop w:val="0"/>
          <w:marBottom w:val="0"/>
          <w:divBdr>
            <w:top w:val="none" w:sz="0" w:space="0" w:color="auto"/>
            <w:left w:val="none" w:sz="0" w:space="0" w:color="auto"/>
            <w:bottom w:val="none" w:sz="0" w:space="0" w:color="auto"/>
            <w:right w:val="none" w:sz="0" w:space="0" w:color="auto"/>
          </w:divBdr>
        </w:div>
      </w:divsChild>
    </w:div>
    <w:div w:id="554853473">
      <w:bodyDiv w:val="1"/>
      <w:marLeft w:val="0"/>
      <w:marRight w:val="0"/>
      <w:marTop w:val="0"/>
      <w:marBottom w:val="0"/>
      <w:divBdr>
        <w:top w:val="none" w:sz="0" w:space="0" w:color="auto"/>
        <w:left w:val="none" w:sz="0" w:space="0" w:color="auto"/>
        <w:bottom w:val="none" w:sz="0" w:space="0" w:color="auto"/>
        <w:right w:val="none" w:sz="0" w:space="0" w:color="auto"/>
      </w:divBdr>
      <w:divsChild>
        <w:div w:id="1869681886">
          <w:marLeft w:val="0"/>
          <w:marRight w:val="0"/>
          <w:marTop w:val="0"/>
          <w:marBottom w:val="0"/>
          <w:divBdr>
            <w:top w:val="none" w:sz="0" w:space="0" w:color="auto"/>
            <w:left w:val="none" w:sz="0" w:space="0" w:color="auto"/>
            <w:bottom w:val="none" w:sz="0" w:space="0" w:color="auto"/>
            <w:right w:val="none" w:sz="0" w:space="0" w:color="auto"/>
          </w:divBdr>
          <w:divsChild>
            <w:div w:id="1035080802">
              <w:marLeft w:val="0"/>
              <w:marRight w:val="0"/>
              <w:marTop w:val="0"/>
              <w:marBottom w:val="0"/>
              <w:divBdr>
                <w:top w:val="none" w:sz="0" w:space="0" w:color="auto"/>
                <w:left w:val="none" w:sz="0" w:space="0" w:color="auto"/>
                <w:bottom w:val="none" w:sz="0" w:space="0" w:color="auto"/>
                <w:right w:val="none" w:sz="0" w:space="0" w:color="auto"/>
              </w:divBdr>
              <w:divsChild>
                <w:div w:id="14214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8841">
      <w:bodyDiv w:val="1"/>
      <w:marLeft w:val="0"/>
      <w:marRight w:val="0"/>
      <w:marTop w:val="0"/>
      <w:marBottom w:val="0"/>
      <w:divBdr>
        <w:top w:val="none" w:sz="0" w:space="0" w:color="auto"/>
        <w:left w:val="none" w:sz="0" w:space="0" w:color="auto"/>
        <w:bottom w:val="none" w:sz="0" w:space="0" w:color="auto"/>
        <w:right w:val="none" w:sz="0" w:space="0" w:color="auto"/>
      </w:divBdr>
      <w:divsChild>
        <w:div w:id="1620645964">
          <w:marLeft w:val="0"/>
          <w:marRight w:val="0"/>
          <w:marTop w:val="0"/>
          <w:marBottom w:val="0"/>
          <w:divBdr>
            <w:top w:val="none" w:sz="0" w:space="0" w:color="auto"/>
            <w:left w:val="none" w:sz="0" w:space="0" w:color="auto"/>
            <w:bottom w:val="none" w:sz="0" w:space="0" w:color="auto"/>
            <w:right w:val="none" w:sz="0" w:space="0" w:color="auto"/>
          </w:divBdr>
          <w:divsChild>
            <w:div w:id="1893810533">
              <w:marLeft w:val="0"/>
              <w:marRight w:val="0"/>
              <w:marTop w:val="0"/>
              <w:marBottom w:val="0"/>
              <w:divBdr>
                <w:top w:val="none" w:sz="0" w:space="0" w:color="auto"/>
                <w:left w:val="none" w:sz="0" w:space="0" w:color="auto"/>
                <w:bottom w:val="none" w:sz="0" w:space="0" w:color="auto"/>
                <w:right w:val="none" w:sz="0" w:space="0" w:color="auto"/>
              </w:divBdr>
              <w:divsChild>
                <w:div w:id="656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79942">
      <w:bodyDiv w:val="1"/>
      <w:marLeft w:val="0"/>
      <w:marRight w:val="0"/>
      <w:marTop w:val="0"/>
      <w:marBottom w:val="0"/>
      <w:divBdr>
        <w:top w:val="none" w:sz="0" w:space="0" w:color="auto"/>
        <w:left w:val="none" w:sz="0" w:space="0" w:color="auto"/>
        <w:bottom w:val="none" w:sz="0" w:space="0" w:color="auto"/>
        <w:right w:val="none" w:sz="0" w:space="0" w:color="auto"/>
      </w:divBdr>
    </w:div>
    <w:div w:id="587079497">
      <w:bodyDiv w:val="1"/>
      <w:marLeft w:val="0"/>
      <w:marRight w:val="0"/>
      <w:marTop w:val="0"/>
      <w:marBottom w:val="0"/>
      <w:divBdr>
        <w:top w:val="none" w:sz="0" w:space="0" w:color="auto"/>
        <w:left w:val="none" w:sz="0" w:space="0" w:color="auto"/>
        <w:bottom w:val="none" w:sz="0" w:space="0" w:color="auto"/>
        <w:right w:val="none" w:sz="0" w:space="0" w:color="auto"/>
      </w:divBdr>
      <w:divsChild>
        <w:div w:id="1509444734">
          <w:marLeft w:val="0"/>
          <w:marRight w:val="0"/>
          <w:marTop w:val="0"/>
          <w:marBottom w:val="0"/>
          <w:divBdr>
            <w:top w:val="none" w:sz="0" w:space="0" w:color="auto"/>
            <w:left w:val="none" w:sz="0" w:space="0" w:color="auto"/>
            <w:bottom w:val="none" w:sz="0" w:space="0" w:color="auto"/>
            <w:right w:val="none" w:sz="0" w:space="0" w:color="auto"/>
          </w:divBdr>
          <w:divsChild>
            <w:div w:id="1231697999">
              <w:marLeft w:val="0"/>
              <w:marRight w:val="0"/>
              <w:marTop w:val="0"/>
              <w:marBottom w:val="0"/>
              <w:divBdr>
                <w:top w:val="none" w:sz="0" w:space="0" w:color="auto"/>
                <w:left w:val="none" w:sz="0" w:space="0" w:color="auto"/>
                <w:bottom w:val="none" w:sz="0" w:space="0" w:color="auto"/>
                <w:right w:val="none" w:sz="0" w:space="0" w:color="auto"/>
              </w:divBdr>
              <w:divsChild>
                <w:div w:id="7361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971492">
      <w:bodyDiv w:val="1"/>
      <w:marLeft w:val="0"/>
      <w:marRight w:val="0"/>
      <w:marTop w:val="0"/>
      <w:marBottom w:val="0"/>
      <w:divBdr>
        <w:top w:val="none" w:sz="0" w:space="0" w:color="auto"/>
        <w:left w:val="none" w:sz="0" w:space="0" w:color="auto"/>
        <w:bottom w:val="none" w:sz="0" w:space="0" w:color="auto"/>
        <w:right w:val="none" w:sz="0" w:space="0" w:color="auto"/>
      </w:divBdr>
      <w:divsChild>
        <w:div w:id="1480461594">
          <w:marLeft w:val="0"/>
          <w:marRight w:val="0"/>
          <w:marTop w:val="0"/>
          <w:marBottom w:val="0"/>
          <w:divBdr>
            <w:top w:val="none" w:sz="0" w:space="0" w:color="auto"/>
            <w:left w:val="none" w:sz="0" w:space="0" w:color="auto"/>
            <w:bottom w:val="none" w:sz="0" w:space="0" w:color="auto"/>
            <w:right w:val="none" w:sz="0" w:space="0" w:color="auto"/>
          </w:divBdr>
          <w:divsChild>
            <w:div w:id="223561919">
              <w:marLeft w:val="0"/>
              <w:marRight w:val="0"/>
              <w:marTop w:val="0"/>
              <w:marBottom w:val="0"/>
              <w:divBdr>
                <w:top w:val="none" w:sz="0" w:space="0" w:color="auto"/>
                <w:left w:val="none" w:sz="0" w:space="0" w:color="auto"/>
                <w:bottom w:val="none" w:sz="0" w:space="0" w:color="auto"/>
                <w:right w:val="none" w:sz="0" w:space="0" w:color="auto"/>
              </w:divBdr>
              <w:divsChild>
                <w:div w:id="15750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206507">
      <w:bodyDiv w:val="1"/>
      <w:marLeft w:val="0"/>
      <w:marRight w:val="0"/>
      <w:marTop w:val="0"/>
      <w:marBottom w:val="0"/>
      <w:divBdr>
        <w:top w:val="none" w:sz="0" w:space="0" w:color="auto"/>
        <w:left w:val="none" w:sz="0" w:space="0" w:color="auto"/>
        <w:bottom w:val="none" w:sz="0" w:space="0" w:color="auto"/>
        <w:right w:val="none" w:sz="0" w:space="0" w:color="auto"/>
      </w:divBdr>
      <w:divsChild>
        <w:div w:id="834338954">
          <w:marLeft w:val="0"/>
          <w:marRight w:val="0"/>
          <w:marTop w:val="0"/>
          <w:marBottom w:val="0"/>
          <w:divBdr>
            <w:top w:val="none" w:sz="0" w:space="0" w:color="auto"/>
            <w:left w:val="none" w:sz="0" w:space="0" w:color="auto"/>
            <w:bottom w:val="none" w:sz="0" w:space="0" w:color="auto"/>
            <w:right w:val="none" w:sz="0" w:space="0" w:color="auto"/>
          </w:divBdr>
          <w:divsChild>
            <w:div w:id="1440684829">
              <w:marLeft w:val="0"/>
              <w:marRight w:val="0"/>
              <w:marTop w:val="0"/>
              <w:marBottom w:val="0"/>
              <w:divBdr>
                <w:top w:val="none" w:sz="0" w:space="0" w:color="auto"/>
                <w:left w:val="none" w:sz="0" w:space="0" w:color="auto"/>
                <w:bottom w:val="none" w:sz="0" w:space="0" w:color="auto"/>
                <w:right w:val="none" w:sz="0" w:space="0" w:color="auto"/>
              </w:divBdr>
              <w:divsChild>
                <w:div w:id="16769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7242">
      <w:bodyDiv w:val="1"/>
      <w:marLeft w:val="0"/>
      <w:marRight w:val="0"/>
      <w:marTop w:val="0"/>
      <w:marBottom w:val="0"/>
      <w:divBdr>
        <w:top w:val="none" w:sz="0" w:space="0" w:color="auto"/>
        <w:left w:val="none" w:sz="0" w:space="0" w:color="auto"/>
        <w:bottom w:val="none" w:sz="0" w:space="0" w:color="auto"/>
        <w:right w:val="none" w:sz="0" w:space="0" w:color="auto"/>
      </w:divBdr>
      <w:divsChild>
        <w:div w:id="1047680921">
          <w:marLeft w:val="0"/>
          <w:marRight w:val="0"/>
          <w:marTop w:val="0"/>
          <w:marBottom w:val="0"/>
          <w:divBdr>
            <w:top w:val="none" w:sz="0" w:space="0" w:color="auto"/>
            <w:left w:val="none" w:sz="0" w:space="0" w:color="auto"/>
            <w:bottom w:val="none" w:sz="0" w:space="0" w:color="auto"/>
            <w:right w:val="none" w:sz="0" w:space="0" w:color="auto"/>
          </w:divBdr>
        </w:div>
      </w:divsChild>
    </w:div>
    <w:div w:id="702288121">
      <w:bodyDiv w:val="1"/>
      <w:marLeft w:val="0"/>
      <w:marRight w:val="0"/>
      <w:marTop w:val="0"/>
      <w:marBottom w:val="0"/>
      <w:divBdr>
        <w:top w:val="none" w:sz="0" w:space="0" w:color="auto"/>
        <w:left w:val="none" w:sz="0" w:space="0" w:color="auto"/>
        <w:bottom w:val="none" w:sz="0" w:space="0" w:color="auto"/>
        <w:right w:val="none" w:sz="0" w:space="0" w:color="auto"/>
      </w:divBdr>
      <w:divsChild>
        <w:div w:id="1497577794">
          <w:marLeft w:val="0"/>
          <w:marRight w:val="0"/>
          <w:marTop w:val="0"/>
          <w:marBottom w:val="0"/>
          <w:divBdr>
            <w:top w:val="none" w:sz="0" w:space="0" w:color="auto"/>
            <w:left w:val="none" w:sz="0" w:space="0" w:color="auto"/>
            <w:bottom w:val="none" w:sz="0" w:space="0" w:color="auto"/>
            <w:right w:val="none" w:sz="0" w:space="0" w:color="auto"/>
          </w:divBdr>
          <w:divsChild>
            <w:div w:id="490409170">
              <w:marLeft w:val="0"/>
              <w:marRight w:val="0"/>
              <w:marTop w:val="0"/>
              <w:marBottom w:val="0"/>
              <w:divBdr>
                <w:top w:val="none" w:sz="0" w:space="0" w:color="auto"/>
                <w:left w:val="none" w:sz="0" w:space="0" w:color="auto"/>
                <w:bottom w:val="none" w:sz="0" w:space="0" w:color="auto"/>
                <w:right w:val="none" w:sz="0" w:space="0" w:color="auto"/>
              </w:divBdr>
              <w:divsChild>
                <w:div w:id="10971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5589">
      <w:bodyDiv w:val="1"/>
      <w:marLeft w:val="0"/>
      <w:marRight w:val="0"/>
      <w:marTop w:val="0"/>
      <w:marBottom w:val="0"/>
      <w:divBdr>
        <w:top w:val="none" w:sz="0" w:space="0" w:color="auto"/>
        <w:left w:val="none" w:sz="0" w:space="0" w:color="auto"/>
        <w:bottom w:val="none" w:sz="0" w:space="0" w:color="auto"/>
        <w:right w:val="none" w:sz="0" w:space="0" w:color="auto"/>
      </w:divBdr>
      <w:divsChild>
        <w:div w:id="32509680">
          <w:marLeft w:val="0"/>
          <w:marRight w:val="0"/>
          <w:marTop w:val="0"/>
          <w:marBottom w:val="0"/>
          <w:divBdr>
            <w:top w:val="none" w:sz="0" w:space="0" w:color="auto"/>
            <w:left w:val="none" w:sz="0" w:space="0" w:color="auto"/>
            <w:bottom w:val="none" w:sz="0" w:space="0" w:color="auto"/>
            <w:right w:val="none" w:sz="0" w:space="0" w:color="auto"/>
          </w:divBdr>
          <w:divsChild>
            <w:div w:id="1000043725">
              <w:marLeft w:val="0"/>
              <w:marRight w:val="0"/>
              <w:marTop w:val="0"/>
              <w:marBottom w:val="0"/>
              <w:divBdr>
                <w:top w:val="none" w:sz="0" w:space="0" w:color="auto"/>
                <w:left w:val="none" w:sz="0" w:space="0" w:color="auto"/>
                <w:bottom w:val="none" w:sz="0" w:space="0" w:color="auto"/>
                <w:right w:val="none" w:sz="0" w:space="0" w:color="auto"/>
              </w:divBdr>
              <w:divsChild>
                <w:div w:id="4786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71881">
      <w:bodyDiv w:val="1"/>
      <w:marLeft w:val="0"/>
      <w:marRight w:val="0"/>
      <w:marTop w:val="0"/>
      <w:marBottom w:val="0"/>
      <w:divBdr>
        <w:top w:val="none" w:sz="0" w:space="0" w:color="auto"/>
        <w:left w:val="none" w:sz="0" w:space="0" w:color="auto"/>
        <w:bottom w:val="none" w:sz="0" w:space="0" w:color="auto"/>
        <w:right w:val="none" w:sz="0" w:space="0" w:color="auto"/>
      </w:divBdr>
      <w:divsChild>
        <w:div w:id="1687320402">
          <w:marLeft w:val="0"/>
          <w:marRight w:val="0"/>
          <w:marTop w:val="0"/>
          <w:marBottom w:val="0"/>
          <w:divBdr>
            <w:top w:val="none" w:sz="0" w:space="0" w:color="auto"/>
            <w:left w:val="none" w:sz="0" w:space="0" w:color="auto"/>
            <w:bottom w:val="none" w:sz="0" w:space="0" w:color="auto"/>
            <w:right w:val="none" w:sz="0" w:space="0" w:color="auto"/>
          </w:divBdr>
          <w:divsChild>
            <w:div w:id="1113210039">
              <w:marLeft w:val="0"/>
              <w:marRight w:val="0"/>
              <w:marTop w:val="0"/>
              <w:marBottom w:val="0"/>
              <w:divBdr>
                <w:top w:val="none" w:sz="0" w:space="0" w:color="auto"/>
                <w:left w:val="none" w:sz="0" w:space="0" w:color="auto"/>
                <w:bottom w:val="none" w:sz="0" w:space="0" w:color="auto"/>
                <w:right w:val="none" w:sz="0" w:space="0" w:color="auto"/>
              </w:divBdr>
              <w:divsChild>
                <w:div w:id="13431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49686">
      <w:bodyDiv w:val="1"/>
      <w:marLeft w:val="0"/>
      <w:marRight w:val="0"/>
      <w:marTop w:val="0"/>
      <w:marBottom w:val="0"/>
      <w:divBdr>
        <w:top w:val="none" w:sz="0" w:space="0" w:color="auto"/>
        <w:left w:val="none" w:sz="0" w:space="0" w:color="auto"/>
        <w:bottom w:val="none" w:sz="0" w:space="0" w:color="auto"/>
        <w:right w:val="none" w:sz="0" w:space="0" w:color="auto"/>
      </w:divBdr>
      <w:divsChild>
        <w:div w:id="376468269">
          <w:marLeft w:val="0"/>
          <w:marRight w:val="0"/>
          <w:marTop w:val="0"/>
          <w:marBottom w:val="0"/>
          <w:divBdr>
            <w:top w:val="none" w:sz="0" w:space="0" w:color="auto"/>
            <w:left w:val="none" w:sz="0" w:space="0" w:color="auto"/>
            <w:bottom w:val="none" w:sz="0" w:space="0" w:color="auto"/>
            <w:right w:val="none" w:sz="0" w:space="0" w:color="auto"/>
          </w:divBdr>
          <w:divsChild>
            <w:div w:id="1272056296">
              <w:marLeft w:val="0"/>
              <w:marRight w:val="0"/>
              <w:marTop w:val="0"/>
              <w:marBottom w:val="0"/>
              <w:divBdr>
                <w:top w:val="none" w:sz="0" w:space="0" w:color="auto"/>
                <w:left w:val="none" w:sz="0" w:space="0" w:color="auto"/>
                <w:bottom w:val="none" w:sz="0" w:space="0" w:color="auto"/>
                <w:right w:val="none" w:sz="0" w:space="0" w:color="auto"/>
              </w:divBdr>
              <w:divsChild>
                <w:div w:id="14161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74371">
      <w:bodyDiv w:val="1"/>
      <w:marLeft w:val="0"/>
      <w:marRight w:val="0"/>
      <w:marTop w:val="0"/>
      <w:marBottom w:val="0"/>
      <w:divBdr>
        <w:top w:val="none" w:sz="0" w:space="0" w:color="auto"/>
        <w:left w:val="none" w:sz="0" w:space="0" w:color="auto"/>
        <w:bottom w:val="none" w:sz="0" w:space="0" w:color="auto"/>
        <w:right w:val="none" w:sz="0" w:space="0" w:color="auto"/>
      </w:divBdr>
      <w:divsChild>
        <w:div w:id="768239711">
          <w:marLeft w:val="0"/>
          <w:marRight w:val="0"/>
          <w:marTop w:val="0"/>
          <w:marBottom w:val="0"/>
          <w:divBdr>
            <w:top w:val="none" w:sz="0" w:space="0" w:color="auto"/>
            <w:left w:val="none" w:sz="0" w:space="0" w:color="auto"/>
            <w:bottom w:val="none" w:sz="0" w:space="0" w:color="auto"/>
            <w:right w:val="none" w:sz="0" w:space="0" w:color="auto"/>
          </w:divBdr>
          <w:divsChild>
            <w:div w:id="347610545">
              <w:marLeft w:val="0"/>
              <w:marRight w:val="0"/>
              <w:marTop w:val="0"/>
              <w:marBottom w:val="0"/>
              <w:divBdr>
                <w:top w:val="none" w:sz="0" w:space="0" w:color="auto"/>
                <w:left w:val="none" w:sz="0" w:space="0" w:color="auto"/>
                <w:bottom w:val="none" w:sz="0" w:space="0" w:color="auto"/>
                <w:right w:val="none" w:sz="0" w:space="0" w:color="auto"/>
              </w:divBdr>
              <w:divsChild>
                <w:div w:id="9187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78160">
      <w:bodyDiv w:val="1"/>
      <w:marLeft w:val="0"/>
      <w:marRight w:val="0"/>
      <w:marTop w:val="0"/>
      <w:marBottom w:val="0"/>
      <w:divBdr>
        <w:top w:val="none" w:sz="0" w:space="0" w:color="auto"/>
        <w:left w:val="none" w:sz="0" w:space="0" w:color="auto"/>
        <w:bottom w:val="none" w:sz="0" w:space="0" w:color="auto"/>
        <w:right w:val="none" w:sz="0" w:space="0" w:color="auto"/>
      </w:divBdr>
      <w:divsChild>
        <w:div w:id="602301845">
          <w:marLeft w:val="0"/>
          <w:marRight w:val="0"/>
          <w:marTop w:val="0"/>
          <w:marBottom w:val="0"/>
          <w:divBdr>
            <w:top w:val="none" w:sz="0" w:space="0" w:color="auto"/>
            <w:left w:val="none" w:sz="0" w:space="0" w:color="auto"/>
            <w:bottom w:val="none" w:sz="0" w:space="0" w:color="auto"/>
            <w:right w:val="none" w:sz="0" w:space="0" w:color="auto"/>
          </w:divBdr>
          <w:divsChild>
            <w:div w:id="190728161">
              <w:marLeft w:val="0"/>
              <w:marRight w:val="0"/>
              <w:marTop w:val="0"/>
              <w:marBottom w:val="0"/>
              <w:divBdr>
                <w:top w:val="none" w:sz="0" w:space="0" w:color="auto"/>
                <w:left w:val="none" w:sz="0" w:space="0" w:color="auto"/>
                <w:bottom w:val="none" w:sz="0" w:space="0" w:color="auto"/>
                <w:right w:val="none" w:sz="0" w:space="0" w:color="auto"/>
              </w:divBdr>
              <w:divsChild>
                <w:div w:id="6809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7488">
      <w:bodyDiv w:val="1"/>
      <w:marLeft w:val="0"/>
      <w:marRight w:val="0"/>
      <w:marTop w:val="0"/>
      <w:marBottom w:val="0"/>
      <w:divBdr>
        <w:top w:val="none" w:sz="0" w:space="0" w:color="auto"/>
        <w:left w:val="none" w:sz="0" w:space="0" w:color="auto"/>
        <w:bottom w:val="none" w:sz="0" w:space="0" w:color="auto"/>
        <w:right w:val="none" w:sz="0" w:space="0" w:color="auto"/>
      </w:divBdr>
    </w:div>
    <w:div w:id="828641831">
      <w:bodyDiv w:val="1"/>
      <w:marLeft w:val="0"/>
      <w:marRight w:val="0"/>
      <w:marTop w:val="0"/>
      <w:marBottom w:val="0"/>
      <w:divBdr>
        <w:top w:val="none" w:sz="0" w:space="0" w:color="auto"/>
        <w:left w:val="none" w:sz="0" w:space="0" w:color="auto"/>
        <w:bottom w:val="none" w:sz="0" w:space="0" w:color="auto"/>
        <w:right w:val="none" w:sz="0" w:space="0" w:color="auto"/>
      </w:divBdr>
      <w:divsChild>
        <w:div w:id="858929070">
          <w:marLeft w:val="0"/>
          <w:marRight w:val="0"/>
          <w:marTop w:val="0"/>
          <w:marBottom w:val="0"/>
          <w:divBdr>
            <w:top w:val="none" w:sz="0" w:space="0" w:color="auto"/>
            <w:left w:val="none" w:sz="0" w:space="0" w:color="auto"/>
            <w:bottom w:val="none" w:sz="0" w:space="0" w:color="auto"/>
            <w:right w:val="none" w:sz="0" w:space="0" w:color="auto"/>
          </w:divBdr>
          <w:divsChild>
            <w:div w:id="1186015987">
              <w:marLeft w:val="0"/>
              <w:marRight w:val="0"/>
              <w:marTop w:val="0"/>
              <w:marBottom w:val="0"/>
              <w:divBdr>
                <w:top w:val="none" w:sz="0" w:space="0" w:color="auto"/>
                <w:left w:val="none" w:sz="0" w:space="0" w:color="auto"/>
                <w:bottom w:val="none" w:sz="0" w:space="0" w:color="auto"/>
                <w:right w:val="none" w:sz="0" w:space="0" w:color="auto"/>
              </w:divBdr>
              <w:divsChild>
                <w:div w:id="13781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88607">
      <w:bodyDiv w:val="1"/>
      <w:marLeft w:val="0"/>
      <w:marRight w:val="0"/>
      <w:marTop w:val="0"/>
      <w:marBottom w:val="0"/>
      <w:divBdr>
        <w:top w:val="none" w:sz="0" w:space="0" w:color="auto"/>
        <w:left w:val="none" w:sz="0" w:space="0" w:color="auto"/>
        <w:bottom w:val="none" w:sz="0" w:space="0" w:color="auto"/>
        <w:right w:val="none" w:sz="0" w:space="0" w:color="auto"/>
      </w:divBdr>
      <w:divsChild>
        <w:div w:id="759526089">
          <w:marLeft w:val="0"/>
          <w:marRight w:val="0"/>
          <w:marTop w:val="0"/>
          <w:marBottom w:val="0"/>
          <w:divBdr>
            <w:top w:val="none" w:sz="0" w:space="0" w:color="auto"/>
            <w:left w:val="none" w:sz="0" w:space="0" w:color="auto"/>
            <w:bottom w:val="none" w:sz="0" w:space="0" w:color="auto"/>
            <w:right w:val="none" w:sz="0" w:space="0" w:color="auto"/>
          </w:divBdr>
        </w:div>
      </w:divsChild>
    </w:div>
    <w:div w:id="892041123">
      <w:bodyDiv w:val="1"/>
      <w:marLeft w:val="0"/>
      <w:marRight w:val="0"/>
      <w:marTop w:val="0"/>
      <w:marBottom w:val="0"/>
      <w:divBdr>
        <w:top w:val="none" w:sz="0" w:space="0" w:color="auto"/>
        <w:left w:val="none" w:sz="0" w:space="0" w:color="auto"/>
        <w:bottom w:val="none" w:sz="0" w:space="0" w:color="auto"/>
        <w:right w:val="none" w:sz="0" w:space="0" w:color="auto"/>
      </w:divBdr>
      <w:divsChild>
        <w:div w:id="1315573142">
          <w:marLeft w:val="0"/>
          <w:marRight w:val="0"/>
          <w:marTop w:val="0"/>
          <w:marBottom w:val="0"/>
          <w:divBdr>
            <w:top w:val="none" w:sz="0" w:space="0" w:color="auto"/>
            <w:left w:val="none" w:sz="0" w:space="0" w:color="auto"/>
            <w:bottom w:val="none" w:sz="0" w:space="0" w:color="auto"/>
            <w:right w:val="none" w:sz="0" w:space="0" w:color="auto"/>
          </w:divBdr>
          <w:divsChild>
            <w:div w:id="188567393">
              <w:marLeft w:val="0"/>
              <w:marRight w:val="0"/>
              <w:marTop w:val="0"/>
              <w:marBottom w:val="0"/>
              <w:divBdr>
                <w:top w:val="none" w:sz="0" w:space="0" w:color="auto"/>
                <w:left w:val="none" w:sz="0" w:space="0" w:color="auto"/>
                <w:bottom w:val="none" w:sz="0" w:space="0" w:color="auto"/>
                <w:right w:val="none" w:sz="0" w:space="0" w:color="auto"/>
              </w:divBdr>
              <w:divsChild>
                <w:div w:id="767585631">
                  <w:marLeft w:val="0"/>
                  <w:marRight w:val="0"/>
                  <w:marTop w:val="0"/>
                  <w:marBottom w:val="0"/>
                  <w:divBdr>
                    <w:top w:val="none" w:sz="0" w:space="0" w:color="auto"/>
                    <w:left w:val="none" w:sz="0" w:space="0" w:color="auto"/>
                    <w:bottom w:val="none" w:sz="0" w:space="0" w:color="auto"/>
                    <w:right w:val="none" w:sz="0" w:space="0" w:color="auto"/>
                  </w:divBdr>
                  <w:divsChild>
                    <w:div w:id="644503419">
                      <w:marLeft w:val="0"/>
                      <w:marRight w:val="0"/>
                      <w:marTop w:val="0"/>
                      <w:marBottom w:val="0"/>
                      <w:divBdr>
                        <w:top w:val="none" w:sz="0" w:space="0" w:color="auto"/>
                        <w:left w:val="none" w:sz="0" w:space="0" w:color="auto"/>
                        <w:bottom w:val="none" w:sz="0" w:space="0" w:color="auto"/>
                        <w:right w:val="none" w:sz="0" w:space="0" w:color="auto"/>
                      </w:divBdr>
                      <w:divsChild>
                        <w:div w:id="1691029676">
                          <w:marLeft w:val="0"/>
                          <w:marRight w:val="0"/>
                          <w:marTop w:val="0"/>
                          <w:marBottom w:val="0"/>
                          <w:divBdr>
                            <w:top w:val="none" w:sz="0" w:space="0" w:color="auto"/>
                            <w:left w:val="none" w:sz="0" w:space="0" w:color="auto"/>
                            <w:bottom w:val="none" w:sz="0" w:space="0" w:color="auto"/>
                            <w:right w:val="none" w:sz="0" w:space="0" w:color="auto"/>
                          </w:divBdr>
                          <w:divsChild>
                            <w:div w:id="1780878676">
                              <w:marLeft w:val="0"/>
                              <w:marRight w:val="0"/>
                              <w:marTop w:val="0"/>
                              <w:marBottom w:val="0"/>
                              <w:divBdr>
                                <w:top w:val="none" w:sz="0" w:space="0" w:color="auto"/>
                                <w:left w:val="none" w:sz="0" w:space="0" w:color="auto"/>
                                <w:bottom w:val="none" w:sz="0" w:space="0" w:color="auto"/>
                                <w:right w:val="none" w:sz="0" w:space="0" w:color="auto"/>
                              </w:divBdr>
                              <w:divsChild>
                                <w:div w:id="207302508">
                                  <w:marLeft w:val="0"/>
                                  <w:marRight w:val="0"/>
                                  <w:marTop w:val="0"/>
                                  <w:marBottom w:val="0"/>
                                  <w:divBdr>
                                    <w:top w:val="none" w:sz="0" w:space="0" w:color="auto"/>
                                    <w:left w:val="none" w:sz="0" w:space="0" w:color="auto"/>
                                    <w:bottom w:val="none" w:sz="0" w:space="0" w:color="auto"/>
                                    <w:right w:val="none" w:sz="0" w:space="0" w:color="auto"/>
                                  </w:divBdr>
                                  <w:divsChild>
                                    <w:div w:id="1936202687">
                                      <w:marLeft w:val="0"/>
                                      <w:marRight w:val="0"/>
                                      <w:marTop w:val="0"/>
                                      <w:marBottom w:val="0"/>
                                      <w:divBdr>
                                        <w:top w:val="none" w:sz="0" w:space="0" w:color="auto"/>
                                        <w:left w:val="none" w:sz="0" w:space="0" w:color="auto"/>
                                        <w:bottom w:val="none" w:sz="0" w:space="0" w:color="auto"/>
                                        <w:right w:val="none" w:sz="0" w:space="0" w:color="auto"/>
                                      </w:divBdr>
                                      <w:divsChild>
                                        <w:div w:id="13058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1990146">
      <w:bodyDiv w:val="1"/>
      <w:marLeft w:val="0"/>
      <w:marRight w:val="0"/>
      <w:marTop w:val="0"/>
      <w:marBottom w:val="0"/>
      <w:divBdr>
        <w:top w:val="none" w:sz="0" w:space="0" w:color="auto"/>
        <w:left w:val="none" w:sz="0" w:space="0" w:color="auto"/>
        <w:bottom w:val="none" w:sz="0" w:space="0" w:color="auto"/>
        <w:right w:val="none" w:sz="0" w:space="0" w:color="auto"/>
      </w:divBdr>
    </w:div>
    <w:div w:id="924997860">
      <w:bodyDiv w:val="1"/>
      <w:marLeft w:val="0"/>
      <w:marRight w:val="0"/>
      <w:marTop w:val="0"/>
      <w:marBottom w:val="0"/>
      <w:divBdr>
        <w:top w:val="none" w:sz="0" w:space="0" w:color="auto"/>
        <w:left w:val="none" w:sz="0" w:space="0" w:color="auto"/>
        <w:bottom w:val="none" w:sz="0" w:space="0" w:color="auto"/>
        <w:right w:val="none" w:sz="0" w:space="0" w:color="auto"/>
      </w:divBdr>
    </w:div>
    <w:div w:id="927035953">
      <w:bodyDiv w:val="1"/>
      <w:marLeft w:val="0"/>
      <w:marRight w:val="0"/>
      <w:marTop w:val="0"/>
      <w:marBottom w:val="0"/>
      <w:divBdr>
        <w:top w:val="none" w:sz="0" w:space="0" w:color="auto"/>
        <w:left w:val="none" w:sz="0" w:space="0" w:color="auto"/>
        <w:bottom w:val="none" w:sz="0" w:space="0" w:color="auto"/>
        <w:right w:val="none" w:sz="0" w:space="0" w:color="auto"/>
      </w:divBdr>
      <w:divsChild>
        <w:div w:id="1183860966">
          <w:marLeft w:val="0"/>
          <w:marRight w:val="0"/>
          <w:marTop w:val="0"/>
          <w:marBottom w:val="0"/>
          <w:divBdr>
            <w:top w:val="none" w:sz="0" w:space="0" w:color="auto"/>
            <w:left w:val="none" w:sz="0" w:space="0" w:color="auto"/>
            <w:bottom w:val="none" w:sz="0" w:space="0" w:color="auto"/>
            <w:right w:val="none" w:sz="0" w:space="0" w:color="auto"/>
          </w:divBdr>
          <w:divsChild>
            <w:div w:id="132647578">
              <w:marLeft w:val="0"/>
              <w:marRight w:val="0"/>
              <w:marTop w:val="0"/>
              <w:marBottom w:val="0"/>
              <w:divBdr>
                <w:top w:val="none" w:sz="0" w:space="0" w:color="auto"/>
                <w:left w:val="none" w:sz="0" w:space="0" w:color="auto"/>
                <w:bottom w:val="none" w:sz="0" w:space="0" w:color="auto"/>
                <w:right w:val="none" w:sz="0" w:space="0" w:color="auto"/>
              </w:divBdr>
              <w:divsChild>
                <w:div w:id="8807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2114">
      <w:bodyDiv w:val="1"/>
      <w:marLeft w:val="0"/>
      <w:marRight w:val="0"/>
      <w:marTop w:val="0"/>
      <w:marBottom w:val="0"/>
      <w:divBdr>
        <w:top w:val="none" w:sz="0" w:space="0" w:color="auto"/>
        <w:left w:val="none" w:sz="0" w:space="0" w:color="auto"/>
        <w:bottom w:val="none" w:sz="0" w:space="0" w:color="auto"/>
        <w:right w:val="none" w:sz="0" w:space="0" w:color="auto"/>
      </w:divBdr>
      <w:divsChild>
        <w:div w:id="51464542">
          <w:marLeft w:val="0"/>
          <w:marRight w:val="0"/>
          <w:marTop w:val="0"/>
          <w:marBottom w:val="0"/>
          <w:divBdr>
            <w:top w:val="none" w:sz="0" w:space="0" w:color="auto"/>
            <w:left w:val="none" w:sz="0" w:space="0" w:color="auto"/>
            <w:bottom w:val="none" w:sz="0" w:space="0" w:color="auto"/>
            <w:right w:val="none" w:sz="0" w:space="0" w:color="auto"/>
          </w:divBdr>
          <w:divsChild>
            <w:div w:id="876089242">
              <w:marLeft w:val="0"/>
              <w:marRight w:val="0"/>
              <w:marTop w:val="0"/>
              <w:marBottom w:val="0"/>
              <w:divBdr>
                <w:top w:val="none" w:sz="0" w:space="0" w:color="auto"/>
                <w:left w:val="none" w:sz="0" w:space="0" w:color="auto"/>
                <w:bottom w:val="none" w:sz="0" w:space="0" w:color="auto"/>
                <w:right w:val="none" w:sz="0" w:space="0" w:color="auto"/>
              </w:divBdr>
              <w:divsChild>
                <w:div w:id="19419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49334">
      <w:bodyDiv w:val="1"/>
      <w:marLeft w:val="0"/>
      <w:marRight w:val="0"/>
      <w:marTop w:val="0"/>
      <w:marBottom w:val="0"/>
      <w:divBdr>
        <w:top w:val="none" w:sz="0" w:space="0" w:color="auto"/>
        <w:left w:val="none" w:sz="0" w:space="0" w:color="auto"/>
        <w:bottom w:val="none" w:sz="0" w:space="0" w:color="auto"/>
        <w:right w:val="none" w:sz="0" w:space="0" w:color="auto"/>
      </w:divBdr>
      <w:divsChild>
        <w:div w:id="206141827">
          <w:marLeft w:val="0"/>
          <w:marRight w:val="0"/>
          <w:marTop w:val="0"/>
          <w:marBottom w:val="0"/>
          <w:divBdr>
            <w:top w:val="none" w:sz="0" w:space="0" w:color="auto"/>
            <w:left w:val="none" w:sz="0" w:space="0" w:color="auto"/>
            <w:bottom w:val="none" w:sz="0" w:space="0" w:color="auto"/>
            <w:right w:val="none" w:sz="0" w:space="0" w:color="auto"/>
          </w:divBdr>
          <w:divsChild>
            <w:div w:id="460465378">
              <w:marLeft w:val="0"/>
              <w:marRight w:val="0"/>
              <w:marTop w:val="0"/>
              <w:marBottom w:val="0"/>
              <w:divBdr>
                <w:top w:val="none" w:sz="0" w:space="0" w:color="auto"/>
                <w:left w:val="none" w:sz="0" w:space="0" w:color="auto"/>
                <w:bottom w:val="none" w:sz="0" w:space="0" w:color="auto"/>
                <w:right w:val="none" w:sz="0" w:space="0" w:color="auto"/>
              </w:divBdr>
              <w:divsChild>
                <w:div w:id="16976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0267">
      <w:bodyDiv w:val="1"/>
      <w:marLeft w:val="0"/>
      <w:marRight w:val="0"/>
      <w:marTop w:val="0"/>
      <w:marBottom w:val="0"/>
      <w:divBdr>
        <w:top w:val="none" w:sz="0" w:space="0" w:color="auto"/>
        <w:left w:val="none" w:sz="0" w:space="0" w:color="auto"/>
        <w:bottom w:val="none" w:sz="0" w:space="0" w:color="auto"/>
        <w:right w:val="none" w:sz="0" w:space="0" w:color="auto"/>
      </w:divBdr>
      <w:divsChild>
        <w:div w:id="1738432603">
          <w:marLeft w:val="0"/>
          <w:marRight w:val="0"/>
          <w:marTop w:val="0"/>
          <w:marBottom w:val="0"/>
          <w:divBdr>
            <w:top w:val="none" w:sz="0" w:space="0" w:color="auto"/>
            <w:left w:val="none" w:sz="0" w:space="0" w:color="auto"/>
            <w:bottom w:val="none" w:sz="0" w:space="0" w:color="auto"/>
            <w:right w:val="none" w:sz="0" w:space="0" w:color="auto"/>
          </w:divBdr>
          <w:divsChild>
            <w:div w:id="325668725">
              <w:marLeft w:val="0"/>
              <w:marRight w:val="0"/>
              <w:marTop w:val="0"/>
              <w:marBottom w:val="0"/>
              <w:divBdr>
                <w:top w:val="none" w:sz="0" w:space="0" w:color="auto"/>
                <w:left w:val="none" w:sz="0" w:space="0" w:color="auto"/>
                <w:bottom w:val="none" w:sz="0" w:space="0" w:color="auto"/>
                <w:right w:val="none" w:sz="0" w:space="0" w:color="auto"/>
              </w:divBdr>
              <w:divsChild>
                <w:div w:id="168564001">
                  <w:marLeft w:val="0"/>
                  <w:marRight w:val="0"/>
                  <w:marTop w:val="0"/>
                  <w:marBottom w:val="0"/>
                  <w:divBdr>
                    <w:top w:val="none" w:sz="0" w:space="0" w:color="auto"/>
                    <w:left w:val="none" w:sz="0" w:space="0" w:color="auto"/>
                    <w:bottom w:val="none" w:sz="0" w:space="0" w:color="auto"/>
                    <w:right w:val="none" w:sz="0" w:space="0" w:color="auto"/>
                  </w:divBdr>
                </w:div>
              </w:divsChild>
            </w:div>
            <w:div w:id="1274479976">
              <w:marLeft w:val="0"/>
              <w:marRight w:val="0"/>
              <w:marTop w:val="0"/>
              <w:marBottom w:val="0"/>
              <w:divBdr>
                <w:top w:val="none" w:sz="0" w:space="0" w:color="auto"/>
                <w:left w:val="none" w:sz="0" w:space="0" w:color="auto"/>
                <w:bottom w:val="none" w:sz="0" w:space="0" w:color="auto"/>
                <w:right w:val="none" w:sz="0" w:space="0" w:color="auto"/>
              </w:divBdr>
              <w:divsChild>
                <w:div w:id="12566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4792">
      <w:bodyDiv w:val="1"/>
      <w:marLeft w:val="0"/>
      <w:marRight w:val="0"/>
      <w:marTop w:val="0"/>
      <w:marBottom w:val="0"/>
      <w:divBdr>
        <w:top w:val="none" w:sz="0" w:space="0" w:color="auto"/>
        <w:left w:val="none" w:sz="0" w:space="0" w:color="auto"/>
        <w:bottom w:val="none" w:sz="0" w:space="0" w:color="auto"/>
        <w:right w:val="none" w:sz="0" w:space="0" w:color="auto"/>
      </w:divBdr>
      <w:divsChild>
        <w:div w:id="1598756226">
          <w:marLeft w:val="0"/>
          <w:marRight w:val="0"/>
          <w:marTop w:val="0"/>
          <w:marBottom w:val="0"/>
          <w:divBdr>
            <w:top w:val="none" w:sz="0" w:space="0" w:color="auto"/>
            <w:left w:val="none" w:sz="0" w:space="0" w:color="auto"/>
            <w:bottom w:val="none" w:sz="0" w:space="0" w:color="auto"/>
            <w:right w:val="none" w:sz="0" w:space="0" w:color="auto"/>
          </w:divBdr>
        </w:div>
      </w:divsChild>
    </w:div>
    <w:div w:id="1017385164">
      <w:bodyDiv w:val="1"/>
      <w:marLeft w:val="0"/>
      <w:marRight w:val="0"/>
      <w:marTop w:val="0"/>
      <w:marBottom w:val="0"/>
      <w:divBdr>
        <w:top w:val="none" w:sz="0" w:space="0" w:color="auto"/>
        <w:left w:val="none" w:sz="0" w:space="0" w:color="auto"/>
        <w:bottom w:val="none" w:sz="0" w:space="0" w:color="auto"/>
        <w:right w:val="none" w:sz="0" w:space="0" w:color="auto"/>
      </w:divBdr>
    </w:div>
    <w:div w:id="1023094074">
      <w:bodyDiv w:val="1"/>
      <w:marLeft w:val="0"/>
      <w:marRight w:val="0"/>
      <w:marTop w:val="0"/>
      <w:marBottom w:val="0"/>
      <w:divBdr>
        <w:top w:val="none" w:sz="0" w:space="0" w:color="auto"/>
        <w:left w:val="none" w:sz="0" w:space="0" w:color="auto"/>
        <w:bottom w:val="none" w:sz="0" w:space="0" w:color="auto"/>
        <w:right w:val="none" w:sz="0" w:space="0" w:color="auto"/>
      </w:divBdr>
    </w:div>
    <w:div w:id="1023631608">
      <w:bodyDiv w:val="1"/>
      <w:marLeft w:val="0"/>
      <w:marRight w:val="0"/>
      <w:marTop w:val="0"/>
      <w:marBottom w:val="0"/>
      <w:divBdr>
        <w:top w:val="none" w:sz="0" w:space="0" w:color="auto"/>
        <w:left w:val="none" w:sz="0" w:space="0" w:color="auto"/>
        <w:bottom w:val="none" w:sz="0" w:space="0" w:color="auto"/>
        <w:right w:val="none" w:sz="0" w:space="0" w:color="auto"/>
      </w:divBdr>
      <w:divsChild>
        <w:div w:id="1939828018">
          <w:marLeft w:val="0"/>
          <w:marRight w:val="0"/>
          <w:marTop w:val="0"/>
          <w:marBottom w:val="0"/>
          <w:divBdr>
            <w:top w:val="none" w:sz="0" w:space="0" w:color="auto"/>
            <w:left w:val="none" w:sz="0" w:space="0" w:color="auto"/>
            <w:bottom w:val="none" w:sz="0" w:space="0" w:color="auto"/>
            <w:right w:val="none" w:sz="0" w:space="0" w:color="auto"/>
          </w:divBdr>
          <w:divsChild>
            <w:div w:id="1777019333">
              <w:marLeft w:val="0"/>
              <w:marRight w:val="0"/>
              <w:marTop w:val="0"/>
              <w:marBottom w:val="0"/>
              <w:divBdr>
                <w:top w:val="none" w:sz="0" w:space="0" w:color="auto"/>
                <w:left w:val="none" w:sz="0" w:space="0" w:color="auto"/>
                <w:bottom w:val="none" w:sz="0" w:space="0" w:color="auto"/>
                <w:right w:val="none" w:sz="0" w:space="0" w:color="auto"/>
              </w:divBdr>
              <w:divsChild>
                <w:div w:id="174425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1949">
      <w:bodyDiv w:val="1"/>
      <w:marLeft w:val="0"/>
      <w:marRight w:val="0"/>
      <w:marTop w:val="0"/>
      <w:marBottom w:val="0"/>
      <w:divBdr>
        <w:top w:val="none" w:sz="0" w:space="0" w:color="auto"/>
        <w:left w:val="none" w:sz="0" w:space="0" w:color="auto"/>
        <w:bottom w:val="none" w:sz="0" w:space="0" w:color="auto"/>
        <w:right w:val="none" w:sz="0" w:space="0" w:color="auto"/>
      </w:divBdr>
    </w:div>
    <w:div w:id="1056976348">
      <w:bodyDiv w:val="1"/>
      <w:marLeft w:val="0"/>
      <w:marRight w:val="0"/>
      <w:marTop w:val="0"/>
      <w:marBottom w:val="0"/>
      <w:divBdr>
        <w:top w:val="none" w:sz="0" w:space="0" w:color="auto"/>
        <w:left w:val="none" w:sz="0" w:space="0" w:color="auto"/>
        <w:bottom w:val="none" w:sz="0" w:space="0" w:color="auto"/>
        <w:right w:val="none" w:sz="0" w:space="0" w:color="auto"/>
      </w:divBdr>
      <w:divsChild>
        <w:div w:id="831221182">
          <w:marLeft w:val="0"/>
          <w:marRight w:val="0"/>
          <w:marTop w:val="0"/>
          <w:marBottom w:val="0"/>
          <w:divBdr>
            <w:top w:val="none" w:sz="0" w:space="0" w:color="auto"/>
            <w:left w:val="none" w:sz="0" w:space="0" w:color="auto"/>
            <w:bottom w:val="none" w:sz="0" w:space="0" w:color="auto"/>
            <w:right w:val="none" w:sz="0" w:space="0" w:color="auto"/>
          </w:divBdr>
          <w:divsChild>
            <w:div w:id="576481232">
              <w:marLeft w:val="0"/>
              <w:marRight w:val="0"/>
              <w:marTop w:val="0"/>
              <w:marBottom w:val="0"/>
              <w:divBdr>
                <w:top w:val="none" w:sz="0" w:space="0" w:color="auto"/>
                <w:left w:val="none" w:sz="0" w:space="0" w:color="auto"/>
                <w:bottom w:val="none" w:sz="0" w:space="0" w:color="auto"/>
                <w:right w:val="none" w:sz="0" w:space="0" w:color="auto"/>
              </w:divBdr>
              <w:divsChild>
                <w:div w:id="18509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22086">
      <w:bodyDiv w:val="1"/>
      <w:marLeft w:val="0"/>
      <w:marRight w:val="0"/>
      <w:marTop w:val="0"/>
      <w:marBottom w:val="0"/>
      <w:divBdr>
        <w:top w:val="none" w:sz="0" w:space="0" w:color="auto"/>
        <w:left w:val="none" w:sz="0" w:space="0" w:color="auto"/>
        <w:bottom w:val="none" w:sz="0" w:space="0" w:color="auto"/>
        <w:right w:val="none" w:sz="0" w:space="0" w:color="auto"/>
      </w:divBdr>
      <w:divsChild>
        <w:div w:id="1015502826">
          <w:marLeft w:val="0"/>
          <w:marRight w:val="0"/>
          <w:marTop w:val="0"/>
          <w:marBottom w:val="0"/>
          <w:divBdr>
            <w:top w:val="none" w:sz="0" w:space="0" w:color="auto"/>
            <w:left w:val="none" w:sz="0" w:space="0" w:color="auto"/>
            <w:bottom w:val="none" w:sz="0" w:space="0" w:color="auto"/>
            <w:right w:val="none" w:sz="0" w:space="0" w:color="auto"/>
          </w:divBdr>
          <w:divsChild>
            <w:div w:id="1786849444">
              <w:marLeft w:val="0"/>
              <w:marRight w:val="0"/>
              <w:marTop w:val="0"/>
              <w:marBottom w:val="0"/>
              <w:divBdr>
                <w:top w:val="none" w:sz="0" w:space="0" w:color="auto"/>
                <w:left w:val="none" w:sz="0" w:space="0" w:color="auto"/>
                <w:bottom w:val="none" w:sz="0" w:space="0" w:color="auto"/>
                <w:right w:val="none" w:sz="0" w:space="0" w:color="auto"/>
              </w:divBdr>
              <w:divsChild>
                <w:div w:id="991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62081">
      <w:bodyDiv w:val="1"/>
      <w:marLeft w:val="0"/>
      <w:marRight w:val="0"/>
      <w:marTop w:val="0"/>
      <w:marBottom w:val="0"/>
      <w:divBdr>
        <w:top w:val="none" w:sz="0" w:space="0" w:color="auto"/>
        <w:left w:val="none" w:sz="0" w:space="0" w:color="auto"/>
        <w:bottom w:val="none" w:sz="0" w:space="0" w:color="auto"/>
        <w:right w:val="none" w:sz="0" w:space="0" w:color="auto"/>
      </w:divBdr>
      <w:divsChild>
        <w:div w:id="1216359062">
          <w:marLeft w:val="0"/>
          <w:marRight w:val="0"/>
          <w:marTop w:val="0"/>
          <w:marBottom w:val="0"/>
          <w:divBdr>
            <w:top w:val="none" w:sz="0" w:space="0" w:color="auto"/>
            <w:left w:val="none" w:sz="0" w:space="0" w:color="auto"/>
            <w:bottom w:val="none" w:sz="0" w:space="0" w:color="auto"/>
            <w:right w:val="none" w:sz="0" w:space="0" w:color="auto"/>
          </w:divBdr>
        </w:div>
      </w:divsChild>
    </w:div>
    <w:div w:id="1122961308">
      <w:bodyDiv w:val="1"/>
      <w:marLeft w:val="0"/>
      <w:marRight w:val="0"/>
      <w:marTop w:val="0"/>
      <w:marBottom w:val="0"/>
      <w:divBdr>
        <w:top w:val="none" w:sz="0" w:space="0" w:color="auto"/>
        <w:left w:val="none" w:sz="0" w:space="0" w:color="auto"/>
        <w:bottom w:val="none" w:sz="0" w:space="0" w:color="auto"/>
        <w:right w:val="none" w:sz="0" w:space="0" w:color="auto"/>
      </w:divBdr>
    </w:div>
    <w:div w:id="1123965899">
      <w:bodyDiv w:val="1"/>
      <w:marLeft w:val="0"/>
      <w:marRight w:val="0"/>
      <w:marTop w:val="0"/>
      <w:marBottom w:val="0"/>
      <w:divBdr>
        <w:top w:val="none" w:sz="0" w:space="0" w:color="auto"/>
        <w:left w:val="none" w:sz="0" w:space="0" w:color="auto"/>
        <w:bottom w:val="none" w:sz="0" w:space="0" w:color="auto"/>
        <w:right w:val="none" w:sz="0" w:space="0" w:color="auto"/>
      </w:divBdr>
      <w:divsChild>
        <w:div w:id="1781023880">
          <w:marLeft w:val="0"/>
          <w:marRight w:val="0"/>
          <w:marTop w:val="0"/>
          <w:marBottom w:val="0"/>
          <w:divBdr>
            <w:top w:val="none" w:sz="0" w:space="0" w:color="auto"/>
            <w:left w:val="none" w:sz="0" w:space="0" w:color="auto"/>
            <w:bottom w:val="none" w:sz="0" w:space="0" w:color="auto"/>
            <w:right w:val="none" w:sz="0" w:space="0" w:color="auto"/>
          </w:divBdr>
          <w:divsChild>
            <w:div w:id="300577903">
              <w:marLeft w:val="0"/>
              <w:marRight w:val="0"/>
              <w:marTop w:val="0"/>
              <w:marBottom w:val="0"/>
              <w:divBdr>
                <w:top w:val="none" w:sz="0" w:space="0" w:color="auto"/>
                <w:left w:val="none" w:sz="0" w:space="0" w:color="auto"/>
                <w:bottom w:val="none" w:sz="0" w:space="0" w:color="auto"/>
                <w:right w:val="none" w:sz="0" w:space="0" w:color="auto"/>
              </w:divBdr>
              <w:divsChild>
                <w:div w:id="2032486869">
                  <w:marLeft w:val="0"/>
                  <w:marRight w:val="0"/>
                  <w:marTop w:val="0"/>
                  <w:marBottom w:val="0"/>
                  <w:divBdr>
                    <w:top w:val="none" w:sz="0" w:space="0" w:color="auto"/>
                    <w:left w:val="none" w:sz="0" w:space="0" w:color="auto"/>
                    <w:bottom w:val="none" w:sz="0" w:space="0" w:color="auto"/>
                    <w:right w:val="none" w:sz="0" w:space="0" w:color="auto"/>
                  </w:divBdr>
                  <w:divsChild>
                    <w:div w:id="1880437143">
                      <w:marLeft w:val="0"/>
                      <w:marRight w:val="0"/>
                      <w:marTop w:val="0"/>
                      <w:marBottom w:val="0"/>
                      <w:divBdr>
                        <w:top w:val="none" w:sz="0" w:space="0" w:color="auto"/>
                        <w:left w:val="none" w:sz="0" w:space="0" w:color="auto"/>
                        <w:bottom w:val="none" w:sz="0" w:space="0" w:color="auto"/>
                        <w:right w:val="none" w:sz="0" w:space="0" w:color="auto"/>
                      </w:divBdr>
                      <w:divsChild>
                        <w:div w:id="447093181">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sChild>
                                <w:div w:id="399863994">
                                  <w:marLeft w:val="0"/>
                                  <w:marRight w:val="0"/>
                                  <w:marTop w:val="0"/>
                                  <w:marBottom w:val="0"/>
                                  <w:divBdr>
                                    <w:top w:val="none" w:sz="0" w:space="0" w:color="auto"/>
                                    <w:left w:val="none" w:sz="0" w:space="0" w:color="auto"/>
                                    <w:bottom w:val="none" w:sz="0" w:space="0" w:color="auto"/>
                                    <w:right w:val="none" w:sz="0" w:space="0" w:color="auto"/>
                                  </w:divBdr>
                                  <w:divsChild>
                                    <w:div w:id="578254096">
                                      <w:marLeft w:val="0"/>
                                      <w:marRight w:val="0"/>
                                      <w:marTop w:val="0"/>
                                      <w:marBottom w:val="0"/>
                                      <w:divBdr>
                                        <w:top w:val="none" w:sz="0" w:space="0" w:color="auto"/>
                                        <w:left w:val="none" w:sz="0" w:space="0" w:color="auto"/>
                                        <w:bottom w:val="none" w:sz="0" w:space="0" w:color="auto"/>
                                        <w:right w:val="none" w:sz="0" w:space="0" w:color="auto"/>
                                      </w:divBdr>
                                      <w:divsChild>
                                        <w:div w:id="19757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272548">
      <w:bodyDiv w:val="1"/>
      <w:marLeft w:val="0"/>
      <w:marRight w:val="0"/>
      <w:marTop w:val="0"/>
      <w:marBottom w:val="0"/>
      <w:divBdr>
        <w:top w:val="none" w:sz="0" w:space="0" w:color="auto"/>
        <w:left w:val="none" w:sz="0" w:space="0" w:color="auto"/>
        <w:bottom w:val="none" w:sz="0" w:space="0" w:color="auto"/>
        <w:right w:val="none" w:sz="0" w:space="0" w:color="auto"/>
      </w:divBdr>
    </w:div>
    <w:div w:id="1131941950">
      <w:bodyDiv w:val="1"/>
      <w:marLeft w:val="0"/>
      <w:marRight w:val="0"/>
      <w:marTop w:val="0"/>
      <w:marBottom w:val="0"/>
      <w:divBdr>
        <w:top w:val="none" w:sz="0" w:space="0" w:color="auto"/>
        <w:left w:val="none" w:sz="0" w:space="0" w:color="auto"/>
        <w:bottom w:val="none" w:sz="0" w:space="0" w:color="auto"/>
        <w:right w:val="none" w:sz="0" w:space="0" w:color="auto"/>
      </w:divBdr>
      <w:divsChild>
        <w:div w:id="1850021571">
          <w:marLeft w:val="0"/>
          <w:marRight w:val="0"/>
          <w:marTop w:val="0"/>
          <w:marBottom w:val="0"/>
          <w:divBdr>
            <w:top w:val="none" w:sz="0" w:space="0" w:color="auto"/>
            <w:left w:val="none" w:sz="0" w:space="0" w:color="auto"/>
            <w:bottom w:val="none" w:sz="0" w:space="0" w:color="auto"/>
            <w:right w:val="none" w:sz="0" w:space="0" w:color="auto"/>
          </w:divBdr>
          <w:divsChild>
            <w:div w:id="750808208">
              <w:marLeft w:val="0"/>
              <w:marRight w:val="0"/>
              <w:marTop w:val="0"/>
              <w:marBottom w:val="0"/>
              <w:divBdr>
                <w:top w:val="none" w:sz="0" w:space="0" w:color="auto"/>
                <w:left w:val="none" w:sz="0" w:space="0" w:color="auto"/>
                <w:bottom w:val="none" w:sz="0" w:space="0" w:color="auto"/>
                <w:right w:val="none" w:sz="0" w:space="0" w:color="auto"/>
              </w:divBdr>
              <w:divsChild>
                <w:div w:id="7258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03138">
      <w:bodyDiv w:val="1"/>
      <w:marLeft w:val="0"/>
      <w:marRight w:val="0"/>
      <w:marTop w:val="0"/>
      <w:marBottom w:val="0"/>
      <w:divBdr>
        <w:top w:val="none" w:sz="0" w:space="0" w:color="auto"/>
        <w:left w:val="none" w:sz="0" w:space="0" w:color="auto"/>
        <w:bottom w:val="none" w:sz="0" w:space="0" w:color="auto"/>
        <w:right w:val="none" w:sz="0" w:space="0" w:color="auto"/>
      </w:divBdr>
      <w:divsChild>
        <w:div w:id="1710034740">
          <w:marLeft w:val="0"/>
          <w:marRight w:val="0"/>
          <w:marTop w:val="0"/>
          <w:marBottom w:val="0"/>
          <w:divBdr>
            <w:top w:val="none" w:sz="0" w:space="0" w:color="auto"/>
            <w:left w:val="none" w:sz="0" w:space="0" w:color="auto"/>
            <w:bottom w:val="none" w:sz="0" w:space="0" w:color="auto"/>
            <w:right w:val="none" w:sz="0" w:space="0" w:color="auto"/>
          </w:divBdr>
          <w:divsChild>
            <w:div w:id="764687583">
              <w:marLeft w:val="0"/>
              <w:marRight w:val="0"/>
              <w:marTop w:val="0"/>
              <w:marBottom w:val="0"/>
              <w:divBdr>
                <w:top w:val="none" w:sz="0" w:space="0" w:color="auto"/>
                <w:left w:val="none" w:sz="0" w:space="0" w:color="auto"/>
                <w:bottom w:val="none" w:sz="0" w:space="0" w:color="auto"/>
                <w:right w:val="none" w:sz="0" w:space="0" w:color="auto"/>
              </w:divBdr>
              <w:divsChild>
                <w:div w:id="4977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55273">
      <w:bodyDiv w:val="1"/>
      <w:marLeft w:val="0"/>
      <w:marRight w:val="0"/>
      <w:marTop w:val="0"/>
      <w:marBottom w:val="0"/>
      <w:divBdr>
        <w:top w:val="none" w:sz="0" w:space="0" w:color="auto"/>
        <w:left w:val="none" w:sz="0" w:space="0" w:color="auto"/>
        <w:bottom w:val="none" w:sz="0" w:space="0" w:color="auto"/>
        <w:right w:val="none" w:sz="0" w:space="0" w:color="auto"/>
      </w:divBdr>
      <w:divsChild>
        <w:div w:id="596138933">
          <w:marLeft w:val="0"/>
          <w:marRight w:val="0"/>
          <w:marTop w:val="0"/>
          <w:marBottom w:val="0"/>
          <w:divBdr>
            <w:top w:val="none" w:sz="0" w:space="0" w:color="auto"/>
            <w:left w:val="none" w:sz="0" w:space="0" w:color="auto"/>
            <w:bottom w:val="none" w:sz="0" w:space="0" w:color="auto"/>
            <w:right w:val="none" w:sz="0" w:space="0" w:color="auto"/>
          </w:divBdr>
          <w:divsChild>
            <w:div w:id="213780578">
              <w:marLeft w:val="0"/>
              <w:marRight w:val="0"/>
              <w:marTop w:val="0"/>
              <w:marBottom w:val="0"/>
              <w:divBdr>
                <w:top w:val="none" w:sz="0" w:space="0" w:color="auto"/>
                <w:left w:val="none" w:sz="0" w:space="0" w:color="auto"/>
                <w:bottom w:val="none" w:sz="0" w:space="0" w:color="auto"/>
                <w:right w:val="none" w:sz="0" w:space="0" w:color="auto"/>
              </w:divBdr>
              <w:divsChild>
                <w:div w:id="377360846">
                  <w:marLeft w:val="0"/>
                  <w:marRight w:val="0"/>
                  <w:marTop w:val="0"/>
                  <w:marBottom w:val="0"/>
                  <w:divBdr>
                    <w:top w:val="none" w:sz="0" w:space="0" w:color="auto"/>
                    <w:left w:val="none" w:sz="0" w:space="0" w:color="auto"/>
                    <w:bottom w:val="none" w:sz="0" w:space="0" w:color="auto"/>
                    <w:right w:val="none" w:sz="0" w:space="0" w:color="auto"/>
                  </w:divBdr>
                  <w:divsChild>
                    <w:div w:id="1801802882">
                      <w:marLeft w:val="0"/>
                      <w:marRight w:val="0"/>
                      <w:marTop w:val="0"/>
                      <w:marBottom w:val="0"/>
                      <w:divBdr>
                        <w:top w:val="none" w:sz="0" w:space="0" w:color="auto"/>
                        <w:left w:val="none" w:sz="0" w:space="0" w:color="auto"/>
                        <w:bottom w:val="none" w:sz="0" w:space="0" w:color="auto"/>
                        <w:right w:val="none" w:sz="0" w:space="0" w:color="auto"/>
                      </w:divBdr>
                      <w:divsChild>
                        <w:div w:id="1945645829">
                          <w:marLeft w:val="0"/>
                          <w:marRight w:val="0"/>
                          <w:marTop w:val="0"/>
                          <w:marBottom w:val="0"/>
                          <w:divBdr>
                            <w:top w:val="none" w:sz="0" w:space="0" w:color="auto"/>
                            <w:left w:val="none" w:sz="0" w:space="0" w:color="auto"/>
                            <w:bottom w:val="none" w:sz="0" w:space="0" w:color="auto"/>
                            <w:right w:val="none" w:sz="0" w:space="0" w:color="auto"/>
                          </w:divBdr>
                          <w:divsChild>
                            <w:div w:id="2005934515">
                              <w:marLeft w:val="0"/>
                              <w:marRight w:val="0"/>
                              <w:marTop w:val="0"/>
                              <w:marBottom w:val="0"/>
                              <w:divBdr>
                                <w:top w:val="none" w:sz="0" w:space="0" w:color="auto"/>
                                <w:left w:val="none" w:sz="0" w:space="0" w:color="auto"/>
                                <w:bottom w:val="none" w:sz="0" w:space="0" w:color="auto"/>
                                <w:right w:val="none" w:sz="0" w:space="0" w:color="auto"/>
                              </w:divBdr>
                              <w:divsChild>
                                <w:div w:id="1361318039">
                                  <w:marLeft w:val="0"/>
                                  <w:marRight w:val="0"/>
                                  <w:marTop w:val="0"/>
                                  <w:marBottom w:val="0"/>
                                  <w:divBdr>
                                    <w:top w:val="none" w:sz="0" w:space="0" w:color="auto"/>
                                    <w:left w:val="none" w:sz="0" w:space="0" w:color="auto"/>
                                    <w:bottom w:val="none" w:sz="0" w:space="0" w:color="auto"/>
                                    <w:right w:val="none" w:sz="0" w:space="0" w:color="auto"/>
                                  </w:divBdr>
                                  <w:divsChild>
                                    <w:div w:id="6961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497117">
      <w:bodyDiv w:val="1"/>
      <w:marLeft w:val="0"/>
      <w:marRight w:val="0"/>
      <w:marTop w:val="0"/>
      <w:marBottom w:val="0"/>
      <w:divBdr>
        <w:top w:val="none" w:sz="0" w:space="0" w:color="auto"/>
        <w:left w:val="none" w:sz="0" w:space="0" w:color="auto"/>
        <w:bottom w:val="none" w:sz="0" w:space="0" w:color="auto"/>
        <w:right w:val="none" w:sz="0" w:space="0" w:color="auto"/>
      </w:divBdr>
    </w:div>
    <w:div w:id="1228689595">
      <w:bodyDiv w:val="1"/>
      <w:marLeft w:val="0"/>
      <w:marRight w:val="0"/>
      <w:marTop w:val="0"/>
      <w:marBottom w:val="0"/>
      <w:divBdr>
        <w:top w:val="none" w:sz="0" w:space="0" w:color="auto"/>
        <w:left w:val="none" w:sz="0" w:space="0" w:color="auto"/>
        <w:bottom w:val="none" w:sz="0" w:space="0" w:color="auto"/>
        <w:right w:val="none" w:sz="0" w:space="0" w:color="auto"/>
      </w:divBdr>
      <w:divsChild>
        <w:div w:id="818687865">
          <w:marLeft w:val="0"/>
          <w:marRight w:val="0"/>
          <w:marTop w:val="0"/>
          <w:marBottom w:val="0"/>
          <w:divBdr>
            <w:top w:val="none" w:sz="0" w:space="0" w:color="auto"/>
            <w:left w:val="none" w:sz="0" w:space="0" w:color="auto"/>
            <w:bottom w:val="none" w:sz="0" w:space="0" w:color="auto"/>
            <w:right w:val="none" w:sz="0" w:space="0" w:color="auto"/>
          </w:divBdr>
          <w:divsChild>
            <w:div w:id="377553908">
              <w:marLeft w:val="0"/>
              <w:marRight w:val="0"/>
              <w:marTop w:val="0"/>
              <w:marBottom w:val="0"/>
              <w:divBdr>
                <w:top w:val="none" w:sz="0" w:space="0" w:color="auto"/>
                <w:left w:val="none" w:sz="0" w:space="0" w:color="auto"/>
                <w:bottom w:val="none" w:sz="0" w:space="0" w:color="auto"/>
                <w:right w:val="none" w:sz="0" w:space="0" w:color="auto"/>
              </w:divBdr>
              <w:divsChild>
                <w:div w:id="19046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37558">
      <w:bodyDiv w:val="1"/>
      <w:marLeft w:val="0"/>
      <w:marRight w:val="0"/>
      <w:marTop w:val="0"/>
      <w:marBottom w:val="0"/>
      <w:divBdr>
        <w:top w:val="none" w:sz="0" w:space="0" w:color="auto"/>
        <w:left w:val="none" w:sz="0" w:space="0" w:color="auto"/>
        <w:bottom w:val="none" w:sz="0" w:space="0" w:color="auto"/>
        <w:right w:val="none" w:sz="0" w:space="0" w:color="auto"/>
      </w:divBdr>
      <w:divsChild>
        <w:div w:id="1551839197">
          <w:marLeft w:val="0"/>
          <w:marRight w:val="0"/>
          <w:marTop w:val="0"/>
          <w:marBottom w:val="0"/>
          <w:divBdr>
            <w:top w:val="none" w:sz="0" w:space="0" w:color="auto"/>
            <w:left w:val="none" w:sz="0" w:space="0" w:color="auto"/>
            <w:bottom w:val="none" w:sz="0" w:space="0" w:color="auto"/>
            <w:right w:val="none" w:sz="0" w:space="0" w:color="auto"/>
          </w:divBdr>
          <w:divsChild>
            <w:div w:id="424037647">
              <w:marLeft w:val="0"/>
              <w:marRight w:val="0"/>
              <w:marTop w:val="0"/>
              <w:marBottom w:val="0"/>
              <w:divBdr>
                <w:top w:val="none" w:sz="0" w:space="0" w:color="auto"/>
                <w:left w:val="none" w:sz="0" w:space="0" w:color="auto"/>
                <w:bottom w:val="none" w:sz="0" w:space="0" w:color="auto"/>
                <w:right w:val="none" w:sz="0" w:space="0" w:color="auto"/>
              </w:divBdr>
              <w:divsChild>
                <w:div w:id="2988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76167">
      <w:bodyDiv w:val="1"/>
      <w:marLeft w:val="0"/>
      <w:marRight w:val="0"/>
      <w:marTop w:val="0"/>
      <w:marBottom w:val="0"/>
      <w:divBdr>
        <w:top w:val="none" w:sz="0" w:space="0" w:color="auto"/>
        <w:left w:val="none" w:sz="0" w:space="0" w:color="auto"/>
        <w:bottom w:val="none" w:sz="0" w:space="0" w:color="auto"/>
        <w:right w:val="none" w:sz="0" w:space="0" w:color="auto"/>
      </w:divBdr>
      <w:divsChild>
        <w:div w:id="1959680925">
          <w:marLeft w:val="0"/>
          <w:marRight w:val="0"/>
          <w:marTop w:val="0"/>
          <w:marBottom w:val="0"/>
          <w:divBdr>
            <w:top w:val="none" w:sz="0" w:space="0" w:color="auto"/>
            <w:left w:val="none" w:sz="0" w:space="0" w:color="auto"/>
            <w:bottom w:val="none" w:sz="0" w:space="0" w:color="auto"/>
            <w:right w:val="none" w:sz="0" w:space="0" w:color="auto"/>
          </w:divBdr>
        </w:div>
      </w:divsChild>
    </w:div>
    <w:div w:id="1252817600">
      <w:bodyDiv w:val="1"/>
      <w:marLeft w:val="0"/>
      <w:marRight w:val="0"/>
      <w:marTop w:val="0"/>
      <w:marBottom w:val="0"/>
      <w:divBdr>
        <w:top w:val="none" w:sz="0" w:space="0" w:color="auto"/>
        <w:left w:val="none" w:sz="0" w:space="0" w:color="auto"/>
        <w:bottom w:val="none" w:sz="0" w:space="0" w:color="auto"/>
        <w:right w:val="none" w:sz="0" w:space="0" w:color="auto"/>
      </w:divBdr>
      <w:divsChild>
        <w:div w:id="1768964523">
          <w:marLeft w:val="0"/>
          <w:marRight w:val="0"/>
          <w:marTop w:val="0"/>
          <w:marBottom w:val="0"/>
          <w:divBdr>
            <w:top w:val="none" w:sz="0" w:space="0" w:color="auto"/>
            <w:left w:val="none" w:sz="0" w:space="0" w:color="auto"/>
            <w:bottom w:val="none" w:sz="0" w:space="0" w:color="auto"/>
            <w:right w:val="none" w:sz="0" w:space="0" w:color="auto"/>
          </w:divBdr>
          <w:divsChild>
            <w:div w:id="688414849">
              <w:marLeft w:val="0"/>
              <w:marRight w:val="0"/>
              <w:marTop w:val="0"/>
              <w:marBottom w:val="0"/>
              <w:divBdr>
                <w:top w:val="none" w:sz="0" w:space="0" w:color="auto"/>
                <w:left w:val="none" w:sz="0" w:space="0" w:color="auto"/>
                <w:bottom w:val="none" w:sz="0" w:space="0" w:color="auto"/>
                <w:right w:val="none" w:sz="0" w:space="0" w:color="auto"/>
              </w:divBdr>
              <w:divsChild>
                <w:div w:id="12659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8156">
      <w:bodyDiv w:val="1"/>
      <w:marLeft w:val="0"/>
      <w:marRight w:val="0"/>
      <w:marTop w:val="0"/>
      <w:marBottom w:val="0"/>
      <w:divBdr>
        <w:top w:val="none" w:sz="0" w:space="0" w:color="auto"/>
        <w:left w:val="none" w:sz="0" w:space="0" w:color="auto"/>
        <w:bottom w:val="none" w:sz="0" w:space="0" w:color="auto"/>
        <w:right w:val="none" w:sz="0" w:space="0" w:color="auto"/>
      </w:divBdr>
      <w:divsChild>
        <w:div w:id="1989631298">
          <w:marLeft w:val="0"/>
          <w:marRight w:val="0"/>
          <w:marTop w:val="0"/>
          <w:marBottom w:val="0"/>
          <w:divBdr>
            <w:top w:val="none" w:sz="0" w:space="0" w:color="auto"/>
            <w:left w:val="none" w:sz="0" w:space="0" w:color="auto"/>
            <w:bottom w:val="none" w:sz="0" w:space="0" w:color="auto"/>
            <w:right w:val="none" w:sz="0" w:space="0" w:color="auto"/>
          </w:divBdr>
          <w:divsChild>
            <w:div w:id="1815173593">
              <w:marLeft w:val="0"/>
              <w:marRight w:val="0"/>
              <w:marTop w:val="0"/>
              <w:marBottom w:val="0"/>
              <w:divBdr>
                <w:top w:val="none" w:sz="0" w:space="0" w:color="auto"/>
                <w:left w:val="none" w:sz="0" w:space="0" w:color="auto"/>
                <w:bottom w:val="none" w:sz="0" w:space="0" w:color="auto"/>
                <w:right w:val="none" w:sz="0" w:space="0" w:color="auto"/>
              </w:divBdr>
              <w:divsChild>
                <w:div w:id="876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048779">
      <w:bodyDiv w:val="1"/>
      <w:marLeft w:val="0"/>
      <w:marRight w:val="0"/>
      <w:marTop w:val="0"/>
      <w:marBottom w:val="0"/>
      <w:divBdr>
        <w:top w:val="none" w:sz="0" w:space="0" w:color="auto"/>
        <w:left w:val="none" w:sz="0" w:space="0" w:color="auto"/>
        <w:bottom w:val="none" w:sz="0" w:space="0" w:color="auto"/>
        <w:right w:val="none" w:sz="0" w:space="0" w:color="auto"/>
      </w:divBdr>
      <w:divsChild>
        <w:div w:id="979263039">
          <w:marLeft w:val="0"/>
          <w:marRight w:val="0"/>
          <w:marTop w:val="0"/>
          <w:marBottom w:val="0"/>
          <w:divBdr>
            <w:top w:val="none" w:sz="0" w:space="0" w:color="auto"/>
            <w:left w:val="none" w:sz="0" w:space="0" w:color="auto"/>
            <w:bottom w:val="none" w:sz="0" w:space="0" w:color="auto"/>
            <w:right w:val="none" w:sz="0" w:space="0" w:color="auto"/>
          </w:divBdr>
          <w:divsChild>
            <w:div w:id="1854026647">
              <w:marLeft w:val="0"/>
              <w:marRight w:val="0"/>
              <w:marTop w:val="0"/>
              <w:marBottom w:val="0"/>
              <w:divBdr>
                <w:top w:val="none" w:sz="0" w:space="0" w:color="auto"/>
                <w:left w:val="none" w:sz="0" w:space="0" w:color="auto"/>
                <w:bottom w:val="none" w:sz="0" w:space="0" w:color="auto"/>
                <w:right w:val="none" w:sz="0" w:space="0" w:color="auto"/>
              </w:divBdr>
              <w:divsChild>
                <w:div w:id="21404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21063">
      <w:bodyDiv w:val="1"/>
      <w:marLeft w:val="0"/>
      <w:marRight w:val="0"/>
      <w:marTop w:val="0"/>
      <w:marBottom w:val="0"/>
      <w:divBdr>
        <w:top w:val="none" w:sz="0" w:space="0" w:color="auto"/>
        <w:left w:val="none" w:sz="0" w:space="0" w:color="auto"/>
        <w:bottom w:val="none" w:sz="0" w:space="0" w:color="auto"/>
        <w:right w:val="none" w:sz="0" w:space="0" w:color="auto"/>
      </w:divBdr>
      <w:divsChild>
        <w:div w:id="325020314">
          <w:marLeft w:val="0"/>
          <w:marRight w:val="0"/>
          <w:marTop w:val="0"/>
          <w:marBottom w:val="0"/>
          <w:divBdr>
            <w:top w:val="none" w:sz="0" w:space="0" w:color="auto"/>
            <w:left w:val="none" w:sz="0" w:space="0" w:color="auto"/>
            <w:bottom w:val="none" w:sz="0" w:space="0" w:color="auto"/>
            <w:right w:val="none" w:sz="0" w:space="0" w:color="auto"/>
          </w:divBdr>
          <w:divsChild>
            <w:div w:id="1476218639">
              <w:marLeft w:val="0"/>
              <w:marRight w:val="0"/>
              <w:marTop w:val="0"/>
              <w:marBottom w:val="0"/>
              <w:divBdr>
                <w:top w:val="none" w:sz="0" w:space="0" w:color="auto"/>
                <w:left w:val="none" w:sz="0" w:space="0" w:color="auto"/>
                <w:bottom w:val="none" w:sz="0" w:space="0" w:color="auto"/>
                <w:right w:val="none" w:sz="0" w:space="0" w:color="auto"/>
              </w:divBdr>
              <w:divsChild>
                <w:div w:id="20605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04840">
      <w:bodyDiv w:val="1"/>
      <w:marLeft w:val="0"/>
      <w:marRight w:val="0"/>
      <w:marTop w:val="0"/>
      <w:marBottom w:val="0"/>
      <w:divBdr>
        <w:top w:val="none" w:sz="0" w:space="0" w:color="auto"/>
        <w:left w:val="none" w:sz="0" w:space="0" w:color="auto"/>
        <w:bottom w:val="none" w:sz="0" w:space="0" w:color="auto"/>
        <w:right w:val="none" w:sz="0" w:space="0" w:color="auto"/>
      </w:divBdr>
    </w:div>
    <w:div w:id="1325550756">
      <w:bodyDiv w:val="1"/>
      <w:marLeft w:val="0"/>
      <w:marRight w:val="0"/>
      <w:marTop w:val="0"/>
      <w:marBottom w:val="0"/>
      <w:divBdr>
        <w:top w:val="none" w:sz="0" w:space="0" w:color="auto"/>
        <w:left w:val="none" w:sz="0" w:space="0" w:color="auto"/>
        <w:bottom w:val="none" w:sz="0" w:space="0" w:color="auto"/>
        <w:right w:val="none" w:sz="0" w:space="0" w:color="auto"/>
      </w:divBdr>
    </w:div>
    <w:div w:id="1335692044">
      <w:bodyDiv w:val="1"/>
      <w:marLeft w:val="0"/>
      <w:marRight w:val="0"/>
      <w:marTop w:val="0"/>
      <w:marBottom w:val="0"/>
      <w:divBdr>
        <w:top w:val="none" w:sz="0" w:space="0" w:color="auto"/>
        <w:left w:val="none" w:sz="0" w:space="0" w:color="auto"/>
        <w:bottom w:val="none" w:sz="0" w:space="0" w:color="auto"/>
        <w:right w:val="none" w:sz="0" w:space="0" w:color="auto"/>
      </w:divBdr>
    </w:div>
    <w:div w:id="1349990801">
      <w:bodyDiv w:val="1"/>
      <w:marLeft w:val="0"/>
      <w:marRight w:val="0"/>
      <w:marTop w:val="0"/>
      <w:marBottom w:val="0"/>
      <w:divBdr>
        <w:top w:val="none" w:sz="0" w:space="0" w:color="auto"/>
        <w:left w:val="none" w:sz="0" w:space="0" w:color="auto"/>
        <w:bottom w:val="none" w:sz="0" w:space="0" w:color="auto"/>
        <w:right w:val="none" w:sz="0" w:space="0" w:color="auto"/>
      </w:divBdr>
    </w:div>
    <w:div w:id="1353651468">
      <w:bodyDiv w:val="1"/>
      <w:marLeft w:val="0"/>
      <w:marRight w:val="0"/>
      <w:marTop w:val="0"/>
      <w:marBottom w:val="0"/>
      <w:divBdr>
        <w:top w:val="none" w:sz="0" w:space="0" w:color="auto"/>
        <w:left w:val="none" w:sz="0" w:space="0" w:color="auto"/>
        <w:bottom w:val="none" w:sz="0" w:space="0" w:color="auto"/>
        <w:right w:val="none" w:sz="0" w:space="0" w:color="auto"/>
      </w:divBdr>
      <w:divsChild>
        <w:div w:id="1722053849">
          <w:marLeft w:val="0"/>
          <w:marRight w:val="0"/>
          <w:marTop w:val="0"/>
          <w:marBottom w:val="0"/>
          <w:divBdr>
            <w:top w:val="none" w:sz="0" w:space="0" w:color="auto"/>
            <w:left w:val="none" w:sz="0" w:space="0" w:color="auto"/>
            <w:bottom w:val="none" w:sz="0" w:space="0" w:color="auto"/>
            <w:right w:val="none" w:sz="0" w:space="0" w:color="auto"/>
          </w:divBdr>
          <w:divsChild>
            <w:div w:id="2001303509">
              <w:marLeft w:val="0"/>
              <w:marRight w:val="0"/>
              <w:marTop w:val="0"/>
              <w:marBottom w:val="0"/>
              <w:divBdr>
                <w:top w:val="none" w:sz="0" w:space="0" w:color="auto"/>
                <w:left w:val="none" w:sz="0" w:space="0" w:color="auto"/>
                <w:bottom w:val="none" w:sz="0" w:space="0" w:color="auto"/>
                <w:right w:val="none" w:sz="0" w:space="0" w:color="auto"/>
              </w:divBdr>
              <w:divsChild>
                <w:div w:id="1790466107">
                  <w:marLeft w:val="0"/>
                  <w:marRight w:val="0"/>
                  <w:marTop w:val="0"/>
                  <w:marBottom w:val="0"/>
                  <w:divBdr>
                    <w:top w:val="none" w:sz="0" w:space="0" w:color="auto"/>
                    <w:left w:val="none" w:sz="0" w:space="0" w:color="auto"/>
                    <w:bottom w:val="none" w:sz="0" w:space="0" w:color="auto"/>
                    <w:right w:val="none" w:sz="0" w:space="0" w:color="auto"/>
                  </w:divBdr>
                </w:div>
              </w:divsChild>
            </w:div>
            <w:div w:id="424427370">
              <w:marLeft w:val="0"/>
              <w:marRight w:val="0"/>
              <w:marTop w:val="0"/>
              <w:marBottom w:val="0"/>
              <w:divBdr>
                <w:top w:val="none" w:sz="0" w:space="0" w:color="auto"/>
                <w:left w:val="none" w:sz="0" w:space="0" w:color="auto"/>
                <w:bottom w:val="none" w:sz="0" w:space="0" w:color="auto"/>
                <w:right w:val="none" w:sz="0" w:space="0" w:color="auto"/>
              </w:divBdr>
              <w:divsChild>
                <w:div w:id="12971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355163">
      <w:bodyDiv w:val="1"/>
      <w:marLeft w:val="0"/>
      <w:marRight w:val="0"/>
      <w:marTop w:val="0"/>
      <w:marBottom w:val="0"/>
      <w:divBdr>
        <w:top w:val="none" w:sz="0" w:space="0" w:color="auto"/>
        <w:left w:val="none" w:sz="0" w:space="0" w:color="auto"/>
        <w:bottom w:val="none" w:sz="0" w:space="0" w:color="auto"/>
        <w:right w:val="none" w:sz="0" w:space="0" w:color="auto"/>
      </w:divBdr>
      <w:divsChild>
        <w:div w:id="800538867">
          <w:marLeft w:val="0"/>
          <w:marRight w:val="0"/>
          <w:marTop w:val="0"/>
          <w:marBottom w:val="0"/>
          <w:divBdr>
            <w:top w:val="none" w:sz="0" w:space="0" w:color="auto"/>
            <w:left w:val="none" w:sz="0" w:space="0" w:color="auto"/>
            <w:bottom w:val="none" w:sz="0" w:space="0" w:color="auto"/>
            <w:right w:val="none" w:sz="0" w:space="0" w:color="auto"/>
          </w:divBdr>
          <w:divsChild>
            <w:div w:id="1047222313">
              <w:marLeft w:val="0"/>
              <w:marRight w:val="0"/>
              <w:marTop w:val="0"/>
              <w:marBottom w:val="0"/>
              <w:divBdr>
                <w:top w:val="none" w:sz="0" w:space="0" w:color="auto"/>
                <w:left w:val="none" w:sz="0" w:space="0" w:color="auto"/>
                <w:bottom w:val="none" w:sz="0" w:space="0" w:color="auto"/>
                <w:right w:val="none" w:sz="0" w:space="0" w:color="auto"/>
              </w:divBdr>
              <w:divsChild>
                <w:div w:id="20131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97810">
      <w:bodyDiv w:val="1"/>
      <w:marLeft w:val="0"/>
      <w:marRight w:val="0"/>
      <w:marTop w:val="0"/>
      <w:marBottom w:val="0"/>
      <w:divBdr>
        <w:top w:val="none" w:sz="0" w:space="0" w:color="auto"/>
        <w:left w:val="none" w:sz="0" w:space="0" w:color="auto"/>
        <w:bottom w:val="none" w:sz="0" w:space="0" w:color="auto"/>
        <w:right w:val="none" w:sz="0" w:space="0" w:color="auto"/>
      </w:divBdr>
    </w:div>
    <w:div w:id="1391689451">
      <w:bodyDiv w:val="1"/>
      <w:marLeft w:val="0"/>
      <w:marRight w:val="0"/>
      <w:marTop w:val="0"/>
      <w:marBottom w:val="0"/>
      <w:divBdr>
        <w:top w:val="none" w:sz="0" w:space="0" w:color="auto"/>
        <w:left w:val="none" w:sz="0" w:space="0" w:color="auto"/>
        <w:bottom w:val="none" w:sz="0" w:space="0" w:color="auto"/>
        <w:right w:val="none" w:sz="0" w:space="0" w:color="auto"/>
      </w:divBdr>
      <w:divsChild>
        <w:div w:id="383454751">
          <w:marLeft w:val="0"/>
          <w:marRight w:val="0"/>
          <w:marTop w:val="0"/>
          <w:marBottom w:val="0"/>
          <w:divBdr>
            <w:top w:val="none" w:sz="0" w:space="0" w:color="auto"/>
            <w:left w:val="none" w:sz="0" w:space="0" w:color="auto"/>
            <w:bottom w:val="none" w:sz="0" w:space="0" w:color="auto"/>
            <w:right w:val="none" w:sz="0" w:space="0" w:color="auto"/>
          </w:divBdr>
          <w:divsChild>
            <w:div w:id="396130426">
              <w:marLeft w:val="0"/>
              <w:marRight w:val="0"/>
              <w:marTop w:val="0"/>
              <w:marBottom w:val="0"/>
              <w:divBdr>
                <w:top w:val="none" w:sz="0" w:space="0" w:color="auto"/>
                <w:left w:val="none" w:sz="0" w:space="0" w:color="auto"/>
                <w:bottom w:val="none" w:sz="0" w:space="0" w:color="auto"/>
                <w:right w:val="none" w:sz="0" w:space="0" w:color="auto"/>
              </w:divBdr>
              <w:divsChild>
                <w:div w:id="8222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42572">
      <w:bodyDiv w:val="1"/>
      <w:marLeft w:val="0"/>
      <w:marRight w:val="0"/>
      <w:marTop w:val="0"/>
      <w:marBottom w:val="0"/>
      <w:divBdr>
        <w:top w:val="none" w:sz="0" w:space="0" w:color="auto"/>
        <w:left w:val="none" w:sz="0" w:space="0" w:color="auto"/>
        <w:bottom w:val="none" w:sz="0" w:space="0" w:color="auto"/>
        <w:right w:val="none" w:sz="0" w:space="0" w:color="auto"/>
      </w:divBdr>
      <w:divsChild>
        <w:div w:id="1683050410">
          <w:marLeft w:val="0"/>
          <w:marRight w:val="0"/>
          <w:marTop w:val="0"/>
          <w:marBottom w:val="0"/>
          <w:divBdr>
            <w:top w:val="none" w:sz="0" w:space="0" w:color="auto"/>
            <w:left w:val="none" w:sz="0" w:space="0" w:color="auto"/>
            <w:bottom w:val="none" w:sz="0" w:space="0" w:color="auto"/>
            <w:right w:val="none" w:sz="0" w:space="0" w:color="auto"/>
          </w:divBdr>
          <w:divsChild>
            <w:div w:id="382756880">
              <w:marLeft w:val="0"/>
              <w:marRight w:val="0"/>
              <w:marTop w:val="0"/>
              <w:marBottom w:val="0"/>
              <w:divBdr>
                <w:top w:val="none" w:sz="0" w:space="0" w:color="auto"/>
                <w:left w:val="none" w:sz="0" w:space="0" w:color="auto"/>
                <w:bottom w:val="none" w:sz="0" w:space="0" w:color="auto"/>
                <w:right w:val="none" w:sz="0" w:space="0" w:color="auto"/>
              </w:divBdr>
              <w:divsChild>
                <w:div w:id="18242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7751">
      <w:bodyDiv w:val="1"/>
      <w:marLeft w:val="0"/>
      <w:marRight w:val="0"/>
      <w:marTop w:val="0"/>
      <w:marBottom w:val="0"/>
      <w:divBdr>
        <w:top w:val="none" w:sz="0" w:space="0" w:color="auto"/>
        <w:left w:val="none" w:sz="0" w:space="0" w:color="auto"/>
        <w:bottom w:val="none" w:sz="0" w:space="0" w:color="auto"/>
        <w:right w:val="none" w:sz="0" w:space="0" w:color="auto"/>
      </w:divBdr>
      <w:divsChild>
        <w:div w:id="1177310670">
          <w:marLeft w:val="0"/>
          <w:marRight w:val="0"/>
          <w:marTop w:val="0"/>
          <w:marBottom w:val="0"/>
          <w:divBdr>
            <w:top w:val="none" w:sz="0" w:space="0" w:color="auto"/>
            <w:left w:val="none" w:sz="0" w:space="0" w:color="auto"/>
            <w:bottom w:val="none" w:sz="0" w:space="0" w:color="auto"/>
            <w:right w:val="none" w:sz="0" w:space="0" w:color="auto"/>
          </w:divBdr>
          <w:divsChild>
            <w:div w:id="1408185383">
              <w:marLeft w:val="0"/>
              <w:marRight w:val="0"/>
              <w:marTop w:val="0"/>
              <w:marBottom w:val="0"/>
              <w:divBdr>
                <w:top w:val="none" w:sz="0" w:space="0" w:color="auto"/>
                <w:left w:val="none" w:sz="0" w:space="0" w:color="auto"/>
                <w:bottom w:val="none" w:sz="0" w:space="0" w:color="auto"/>
                <w:right w:val="none" w:sz="0" w:space="0" w:color="auto"/>
              </w:divBdr>
              <w:divsChild>
                <w:div w:id="1253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50185">
      <w:bodyDiv w:val="1"/>
      <w:marLeft w:val="0"/>
      <w:marRight w:val="0"/>
      <w:marTop w:val="0"/>
      <w:marBottom w:val="0"/>
      <w:divBdr>
        <w:top w:val="none" w:sz="0" w:space="0" w:color="auto"/>
        <w:left w:val="none" w:sz="0" w:space="0" w:color="auto"/>
        <w:bottom w:val="none" w:sz="0" w:space="0" w:color="auto"/>
        <w:right w:val="none" w:sz="0" w:space="0" w:color="auto"/>
      </w:divBdr>
      <w:divsChild>
        <w:div w:id="1289434301">
          <w:marLeft w:val="0"/>
          <w:marRight w:val="0"/>
          <w:marTop w:val="0"/>
          <w:marBottom w:val="0"/>
          <w:divBdr>
            <w:top w:val="none" w:sz="0" w:space="0" w:color="auto"/>
            <w:left w:val="none" w:sz="0" w:space="0" w:color="auto"/>
            <w:bottom w:val="none" w:sz="0" w:space="0" w:color="auto"/>
            <w:right w:val="none" w:sz="0" w:space="0" w:color="auto"/>
          </w:divBdr>
          <w:divsChild>
            <w:div w:id="18510614">
              <w:marLeft w:val="0"/>
              <w:marRight w:val="0"/>
              <w:marTop w:val="0"/>
              <w:marBottom w:val="0"/>
              <w:divBdr>
                <w:top w:val="none" w:sz="0" w:space="0" w:color="auto"/>
                <w:left w:val="none" w:sz="0" w:space="0" w:color="auto"/>
                <w:bottom w:val="none" w:sz="0" w:space="0" w:color="auto"/>
                <w:right w:val="none" w:sz="0" w:space="0" w:color="auto"/>
              </w:divBdr>
              <w:divsChild>
                <w:div w:id="5399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52075">
      <w:bodyDiv w:val="1"/>
      <w:marLeft w:val="0"/>
      <w:marRight w:val="0"/>
      <w:marTop w:val="0"/>
      <w:marBottom w:val="0"/>
      <w:divBdr>
        <w:top w:val="none" w:sz="0" w:space="0" w:color="auto"/>
        <w:left w:val="none" w:sz="0" w:space="0" w:color="auto"/>
        <w:bottom w:val="none" w:sz="0" w:space="0" w:color="auto"/>
        <w:right w:val="none" w:sz="0" w:space="0" w:color="auto"/>
      </w:divBdr>
      <w:divsChild>
        <w:div w:id="1923879773">
          <w:marLeft w:val="0"/>
          <w:marRight w:val="0"/>
          <w:marTop w:val="0"/>
          <w:marBottom w:val="0"/>
          <w:divBdr>
            <w:top w:val="none" w:sz="0" w:space="0" w:color="auto"/>
            <w:left w:val="none" w:sz="0" w:space="0" w:color="auto"/>
            <w:bottom w:val="none" w:sz="0" w:space="0" w:color="auto"/>
            <w:right w:val="none" w:sz="0" w:space="0" w:color="auto"/>
          </w:divBdr>
          <w:divsChild>
            <w:div w:id="532155205">
              <w:marLeft w:val="0"/>
              <w:marRight w:val="0"/>
              <w:marTop w:val="0"/>
              <w:marBottom w:val="0"/>
              <w:divBdr>
                <w:top w:val="none" w:sz="0" w:space="0" w:color="auto"/>
                <w:left w:val="none" w:sz="0" w:space="0" w:color="auto"/>
                <w:bottom w:val="none" w:sz="0" w:space="0" w:color="auto"/>
                <w:right w:val="none" w:sz="0" w:space="0" w:color="auto"/>
              </w:divBdr>
              <w:divsChild>
                <w:div w:id="3010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7536">
      <w:bodyDiv w:val="1"/>
      <w:marLeft w:val="0"/>
      <w:marRight w:val="0"/>
      <w:marTop w:val="0"/>
      <w:marBottom w:val="0"/>
      <w:divBdr>
        <w:top w:val="none" w:sz="0" w:space="0" w:color="auto"/>
        <w:left w:val="none" w:sz="0" w:space="0" w:color="auto"/>
        <w:bottom w:val="none" w:sz="0" w:space="0" w:color="auto"/>
        <w:right w:val="none" w:sz="0" w:space="0" w:color="auto"/>
      </w:divBdr>
      <w:divsChild>
        <w:div w:id="1856338187">
          <w:marLeft w:val="0"/>
          <w:marRight w:val="0"/>
          <w:marTop w:val="0"/>
          <w:marBottom w:val="0"/>
          <w:divBdr>
            <w:top w:val="none" w:sz="0" w:space="0" w:color="auto"/>
            <w:left w:val="none" w:sz="0" w:space="0" w:color="auto"/>
            <w:bottom w:val="none" w:sz="0" w:space="0" w:color="auto"/>
            <w:right w:val="none" w:sz="0" w:space="0" w:color="auto"/>
          </w:divBdr>
          <w:divsChild>
            <w:div w:id="233777992">
              <w:marLeft w:val="0"/>
              <w:marRight w:val="0"/>
              <w:marTop w:val="0"/>
              <w:marBottom w:val="0"/>
              <w:divBdr>
                <w:top w:val="none" w:sz="0" w:space="0" w:color="auto"/>
                <w:left w:val="none" w:sz="0" w:space="0" w:color="auto"/>
                <w:bottom w:val="none" w:sz="0" w:space="0" w:color="auto"/>
                <w:right w:val="none" w:sz="0" w:space="0" w:color="auto"/>
              </w:divBdr>
              <w:divsChild>
                <w:div w:id="10466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94734">
      <w:bodyDiv w:val="1"/>
      <w:marLeft w:val="0"/>
      <w:marRight w:val="0"/>
      <w:marTop w:val="0"/>
      <w:marBottom w:val="0"/>
      <w:divBdr>
        <w:top w:val="none" w:sz="0" w:space="0" w:color="auto"/>
        <w:left w:val="none" w:sz="0" w:space="0" w:color="auto"/>
        <w:bottom w:val="none" w:sz="0" w:space="0" w:color="auto"/>
        <w:right w:val="none" w:sz="0" w:space="0" w:color="auto"/>
      </w:divBdr>
    </w:div>
    <w:div w:id="1514955620">
      <w:bodyDiv w:val="1"/>
      <w:marLeft w:val="0"/>
      <w:marRight w:val="0"/>
      <w:marTop w:val="0"/>
      <w:marBottom w:val="0"/>
      <w:divBdr>
        <w:top w:val="none" w:sz="0" w:space="0" w:color="auto"/>
        <w:left w:val="none" w:sz="0" w:space="0" w:color="auto"/>
        <w:bottom w:val="none" w:sz="0" w:space="0" w:color="auto"/>
        <w:right w:val="none" w:sz="0" w:space="0" w:color="auto"/>
      </w:divBdr>
      <w:divsChild>
        <w:div w:id="1473909627">
          <w:marLeft w:val="0"/>
          <w:marRight w:val="0"/>
          <w:marTop w:val="0"/>
          <w:marBottom w:val="0"/>
          <w:divBdr>
            <w:top w:val="none" w:sz="0" w:space="0" w:color="auto"/>
            <w:left w:val="none" w:sz="0" w:space="0" w:color="auto"/>
            <w:bottom w:val="none" w:sz="0" w:space="0" w:color="auto"/>
            <w:right w:val="none" w:sz="0" w:space="0" w:color="auto"/>
          </w:divBdr>
          <w:divsChild>
            <w:div w:id="496387106">
              <w:marLeft w:val="0"/>
              <w:marRight w:val="0"/>
              <w:marTop w:val="0"/>
              <w:marBottom w:val="0"/>
              <w:divBdr>
                <w:top w:val="none" w:sz="0" w:space="0" w:color="auto"/>
                <w:left w:val="none" w:sz="0" w:space="0" w:color="auto"/>
                <w:bottom w:val="none" w:sz="0" w:space="0" w:color="auto"/>
                <w:right w:val="none" w:sz="0" w:space="0" w:color="auto"/>
              </w:divBdr>
              <w:divsChild>
                <w:div w:id="160834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58003">
      <w:bodyDiv w:val="1"/>
      <w:marLeft w:val="0"/>
      <w:marRight w:val="0"/>
      <w:marTop w:val="0"/>
      <w:marBottom w:val="0"/>
      <w:divBdr>
        <w:top w:val="none" w:sz="0" w:space="0" w:color="auto"/>
        <w:left w:val="none" w:sz="0" w:space="0" w:color="auto"/>
        <w:bottom w:val="none" w:sz="0" w:space="0" w:color="auto"/>
        <w:right w:val="none" w:sz="0" w:space="0" w:color="auto"/>
      </w:divBdr>
      <w:divsChild>
        <w:div w:id="886380044">
          <w:marLeft w:val="0"/>
          <w:marRight w:val="0"/>
          <w:marTop w:val="0"/>
          <w:marBottom w:val="0"/>
          <w:divBdr>
            <w:top w:val="none" w:sz="0" w:space="0" w:color="auto"/>
            <w:left w:val="none" w:sz="0" w:space="0" w:color="auto"/>
            <w:bottom w:val="none" w:sz="0" w:space="0" w:color="auto"/>
            <w:right w:val="none" w:sz="0" w:space="0" w:color="auto"/>
          </w:divBdr>
          <w:divsChild>
            <w:div w:id="1469396934">
              <w:marLeft w:val="0"/>
              <w:marRight w:val="0"/>
              <w:marTop w:val="0"/>
              <w:marBottom w:val="0"/>
              <w:divBdr>
                <w:top w:val="none" w:sz="0" w:space="0" w:color="auto"/>
                <w:left w:val="none" w:sz="0" w:space="0" w:color="auto"/>
                <w:bottom w:val="none" w:sz="0" w:space="0" w:color="auto"/>
                <w:right w:val="none" w:sz="0" w:space="0" w:color="auto"/>
              </w:divBdr>
              <w:divsChild>
                <w:div w:id="4763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7102">
      <w:bodyDiv w:val="1"/>
      <w:marLeft w:val="0"/>
      <w:marRight w:val="0"/>
      <w:marTop w:val="0"/>
      <w:marBottom w:val="0"/>
      <w:divBdr>
        <w:top w:val="none" w:sz="0" w:space="0" w:color="auto"/>
        <w:left w:val="none" w:sz="0" w:space="0" w:color="auto"/>
        <w:bottom w:val="none" w:sz="0" w:space="0" w:color="auto"/>
        <w:right w:val="none" w:sz="0" w:space="0" w:color="auto"/>
      </w:divBdr>
      <w:divsChild>
        <w:div w:id="62335338">
          <w:marLeft w:val="0"/>
          <w:marRight w:val="0"/>
          <w:marTop w:val="0"/>
          <w:marBottom w:val="0"/>
          <w:divBdr>
            <w:top w:val="none" w:sz="0" w:space="0" w:color="auto"/>
            <w:left w:val="none" w:sz="0" w:space="0" w:color="auto"/>
            <w:bottom w:val="none" w:sz="0" w:space="0" w:color="auto"/>
            <w:right w:val="none" w:sz="0" w:space="0" w:color="auto"/>
          </w:divBdr>
          <w:divsChild>
            <w:div w:id="1282104093">
              <w:marLeft w:val="0"/>
              <w:marRight w:val="0"/>
              <w:marTop w:val="0"/>
              <w:marBottom w:val="0"/>
              <w:divBdr>
                <w:top w:val="none" w:sz="0" w:space="0" w:color="auto"/>
                <w:left w:val="none" w:sz="0" w:space="0" w:color="auto"/>
                <w:bottom w:val="none" w:sz="0" w:space="0" w:color="auto"/>
                <w:right w:val="none" w:sz="0" w:space="0" w:color="auto"/>
              </w:divBdr>
              <w:divsChild>
                <w:div w:id="11574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7247">
      <w:bodyDiv w:val="1"/>
      <w:marLeft w:val="0"/>
      <w:marRight w:val="0"/>
      <w:marTop w:val="0"/>
      <w:marBottom w:val="0"/>
      <w:divBdr>
        <w:top w:val="none" w:sz="0" w:space="0" w:color="auto"/>
        <w:left w:val="none" w:sz="0" w:space="0" w:color="auto"/>
        <w:bottom w:val="none" w:sz="0" w:space="0" w:color="auto"/>
        <w:right w:val="none" w:sz="0" w:space="0" w:color="auto"/>
      </w:divBdr>
    </w:div>
    <w:div w:id="1539271904">
      <w:bodyDiv w:val="1"/>
      <w:marLeft w:val="0"/>
      <w:marRight w:val="0"/>
      <w:marTop w:val="0"/>
      <w:marBottom w:val="0"/>
      <w:divBdr>
        <w:top w:val="none" w:sz="0" w:space="0" w:color="auto"/>
        <w:left w:val="none" w:sz="0" w:space="0" w:color="auto"/>
        <w:bottom w:val="none" w:sz="0" w:space="0" w:color="auto"/>
        <w:right w:val="none" w:sz="0" w:space="0" w:color="auto"/>
      </w:divBdr>
      <w:divsChild>
        <w:div w:id="1060906759">
          <w:marLeft w:val="0"/>
          <w:marRight w:val="0"/>
          <w:marTop w:val="0"/>
          <w:marBottom w:val="0"/>
          <w:divBdr>
            <w:top w:val="none" w:sz="0" w:space="0" w:color="auto"/>
            <w:left w:val="none" w:sz="0" w:space="0" w:color="auto"/>
            <w:bottom w:val="none" w:sz="0" w:space="0" w:color="auto"/>
            <w:right w:val="none" w:sz="0" w:space="0" w:color="auto"/>
          </w:divBdr>
          <w:divsChild>
            <w:div w:id="1829056860">
              <w:marLeft w:val="0"/>
              <w:marRight w:val="0"/>
              <w:marTop w:val="0"/>
              <w:marBottom w:val="0"/>
              <w:divBdr>
                <w:top w:val="none" w:sz="0" w:space="0" w:color="auto"/>
                <w:left w:val="none" w:sz="0" w:space="0" w:color="auto"/>
                <w:bottom w:val="none" w:sz="0" w:space="0" w:color="auto"/>
                <w:right w:val="none" w:sz="0" w:space="0" w:color="auto"/>
              </w:divBdr>
              <w:divsChild>
                <w:div w:id="6723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4982">
      <w:bodyDiv w:val="1"/>
      <w:marLeft w:val="0"/>
      <w:marRight w:val="0"/>
      <w:marTop w:val="0"/>
      <w:marBottom w:val="0"/>
      <w:divBdr>
        <w:top w:val="none" w:sz="0" w:space="0" w:color="auto"/>
        <w:left w:val="none" w:sz="0" w:space="0" w:color="auto"/>
        <w:bottom w:val="none" w:sz="0" w:space="0" w:color="auto"/>
        <w:right w:val="none" w:sz="0" w:space="0" w:color="auto"/>
      </w:divBdr>
      <w:divsChild>
        <w:div w:id="1978146297">
          <w:marLeft w:val="0"/>
          <w:marRight w:val="0"/>
          <w:marTop w:val="0"/>
          <w:marBottom w:val="0"/>
          <w:divBdr>
            <w:top w:val="none" w:sz="0" w:space="0" w:color="auto"/>
            <w:left w:val="none" w:sz="0" w:space="0" w:color="auto"/>
            <w:bottom w:val="none" w:sz="0" w:space="0" w:color="auto"/>
            <w:right w:val="none" w:sz="0" w:space="0" w:color="auto"/>
          </w:divBdr>
          <w:divsChild>
            <w:div w:id="1280842176">
              <w:marLeft w:val="0"/>
              <w:marRight w:val="0"/>
              <w:marTop w:val="0"/>
              <w:marBottom w:val="0"/>
              <w:divBdr>
                <w:top w:val="none" w:sz="0" w:space="0" w:color="auto"/>
                <w:left w:val="none" w:sz="0" w:space="0" w:color="auto"/>
                <w:bottom w:val="none" w:sz="0" w:space="0" w:color="auto"/>
                <w:right w:val="none" w:sz="0" w:space="0" w:color="auto"/>
              </w:divBdr>
              <w:divsChild>
                <w:div w:id="5867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22940">
      <w:bodyDiv w:val="1"/>
      <w:marLeft w:val="0"/>
      <w:marRight w:val="0"/>
      <w:marTop w:val="0"/>
      <w:marBottom w:val="0"/>
      <w:divBdr>
        <w:top w:val="none" w:sz="0" w:space="0" w:color="auto"/>
        <w:left w:val="none" w:sz="0" w:space="0" w:color="auto"/>
        <w:bottom w:val="none" w:sz="0" w:space="0" w:color="auto"/>
        <w:right w:val="none" w:sz="0" w:space="0" w:color="auto"/>
      </w:divBdr>
      <w:divsChild>
        <w:div w:id="1461220839">
          <w:marLeft w:val="0"/>
          <w:marRight w:val="0"/>
          <w:marTop w:val="0"/>
          <w:marBottom w:val="0"/>
          <w:divBdr>
            <w:top w:val="none" w:sz="0" w:space="0" w:color="auto"/>
            <w:left w:val="none" w:sz="0" w:space="0" w:color="auto"/>
            <w:bottom w:val="none" w:sz="0" w:space="0" w:color="auto"/>
            <w:right w:val="none" w:sz="0" w:space="0" w:color="auto"/>
          </w:divBdr>
          <w:divsChild>
            <w:div w:id="124743086">
              <w:marLeft w:val="0"/>
              <w:marRight w:val="0"/>
              <w:marTop w:val="0"/>
              <w:marBottom w:val="0"/>
              <w:divBdr>
                <w:top w:val="none" w:sz="0" w:space="0" w:color="auto"/>
                <w:left w:val="none" w:sz="0" w:space="0" w:color="auto"/>
                <w:bottom w:val="none" w:sz="0" w:space="0" w:color="auto"/>
                <w:right w:val="none" w:sz="0" w:space="0" w:color="auto"/>
              </w:divBdr>
              <w:divsChild>
                <w:div w:id="20750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33433">
      <w:bodyDiv w:val="1"/>
      <w:marLeft w:val="0"/>
      <w:marRight w:val="0"/>
      <w:marTop w:val="0"/>
      <w:marBottom w:val="0"/>
      <w:divBdr>
        <w:top w:val="none" w:sz="0" w:space="0" w:color="auto"/>
        <w:left w:val="none" w:sz="0" w:space="0" w:color="auto"/>
        <w:bottom w:val="none" w:sz="0" w:space="0" w:color="auto"/>
        <w:right w:val="none" w:sz="0" w:space="0" w:color="auto"/>
      </w:divBdr>
    </w:div>
    <w:div w:id="1569876643">
      <w:bodyDiv w:val="1"/>
      <w:marLeft w:val="0"/>
      <w:marRight w:val="0"/>
      <w:marTop w:val="0"/>
      <w:marBottom w:val="0"/>
      <w:divBdr>
        <w:top w:val="none" w:sz="0" w:space="0" w:color="auto"/>
        <w:left w:val="none" w:sz="0" w:space="0" w:color="auto"/>
        <w:bottom w:val="none" w:sz="0" w:space="0" w:color="auto"/>
        <w:right w:val="none" w:sz="0" w:space="0" w:color="auto"/>
      </w:divBdr>
    </w:div>
    <w:div w:id="1573615982">
      <w:bodyDiv w:val="1"/>
      <w:marLeft w:val="0"/>
      <w:marRight w:val="0"/>
      <w:marTop w:val="0"/>
      <w:marBottom w:val="0"/>
      <w:divBdr>
        <w:top w:val="none" w:sz="0" w:space="0" w:color="auto"/>
        <w:left w:val="none" w:sz="0" w:space="0" w:color="auto"/>
        <w:bottom w:val="none" w:sz="0" w:space="0" w:color="auto"/>
        <w:right w:val="none" w:sz="0" w:space="0" w:color="auto"/>
      </w:divBdr>
    </w:div>
    <w:div w:id="1579899126">
      <w:bodyDiv w:val="1"/>
      <w:marLeft w:val="0"/>
      <w:marRight w:val="0"/>
      <w:marTop w:val="0"/>
      <w:marBottom w:val="0"/>
      <w:divBdr>
        <w:top w:val="none" w:sz="0" w:space="0" w:color="auto"/>
        <w:left w:val="none" w:sz="0" w:space="0" w:color="auto"/>
        <w:bottom w:val="none" w:sz="0" w:space="0" w:color="auto"/>
        <w:right w:val="none" w:sz="0" w:space="0" w:color="auto"/>
      </w:divBdr>
    </w:div>
    <w:div w:id="1588349336">
      <w:bodyDiv w:val="1"/>
      <w:marLeft w:val="0"/>
      <w:marRight w:val="0"/>
      <w:marTop w:val="0"/>
      <w:marBottom w:val="0"/>
      <w:divBdr>
        <w:top w:val="none" w:sz="0" w:space="0" w:color="auto"/>
        <w:left w:val="none" w:sz="0" w:space="0" w:color="auto"/>
        <w:bottom w:val="none" w:sz="0" w:space="0" w:color="auto"/>
        <w:right w:val="none" w:sz="0" w:space="0" w:color="auto"/>
      </w:divBdr>
      <w:divsChild>
        <w:div w:id="416173087">
          <w:marLeft w:val="0"/>
          <w:marRight w:val="0"/>
          <w:marTop w:val="0"/>
          <w:marBottom w:val="0"/>
          <w:divBdr>
            <w:top w:val="none" w:sz="0" w:space="0" w:color="auto"/>
            <w:left w:val="none" w:sz="0" w:space="0" w:color="auto"/>
            <w:bottom w:val="none" w:sz="0" w:space="0" w:color="auto"/>
            <w:right w:val="none" w:sz="0" w:space="0" w:color="auto"/>
          </w:divBdr>
          <w:divsChild>
            <w:div w:id="171384888">
              <w:marLeft w:val="0"/>
              <w:marRight w:val="0"/>
              <w:marTop w:val="0"/>
              <w:marBottom w:val="0"/>
              <w:divBdr>
                <w:top w:val="none" w:sz="0" w:space="0" w:color="auto"/>
                <w:left w:val="none" w:sz="0" w:space="0" w:color="auto"/>
                <w:bottom w:val="none" w:sz="0" w:space="0" w:color="auto"/>
                <w:right w:val="none" w:sz="0" w:space="0" w:color="auto"/>
              </w:divBdr>
              <w:divsChild>
                <w:div w:id="18805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80424">
      <w:bodyDiv w:val="1"/>
      <w:marLeft w:val="0"/>
      <w:marRight w:val="0"/>
      <w:marTop w:val="0"/>
      <w:marBottom w:val="0"/>
      <w:divBdr>
        <w:top w:val="none" w:sz="0" w:space="0" w:color="auto"/>
        <w:left w:val="none" w:sz="0" w:space="0" w:color="auto"/>
        <w:bottom w:val="none" w:sz="0" w:space="0" w:color="auto"/>
        <w:right w:val="none" w:sz="0" w:space="0" w:color="auto"/>
      </w:divBdr>
      <w:divsChild>
        <w:div w:id="492336819">
          <w:marLeft w:val="0"/>
          <w:marRight w:val="0"/>
          <w:marTop w:val="0"/>
          <w:marBottom w:val="0"/>
          <w:divBdr>
            <w:top w:val="none" w:sz="0" w:space="0" w:color="auto"/>
            <w:left w:val="none" w:sz="0" w:space="0" w:color="auto"/>
            <w:bottom w:val="none" w:sz="0" w:space="0" w:color="auto"/>
            <w:right w:val="none" w:sz="0" w:space="0" w:color="auto"/>
          </w:divBdr>
          <w:divsChild>
            <w:div w:id="303893198">
              <w:marLeft w:val="0"/>
              <w:marRight w:val="0"/>
              <w:marTop w:val="0"/>
              <w:marBottom w:val="0"/>
              <w:divBdr>
                <w:top w:val="none" w:sz="0" w:space="0" w:color="auto"/>
                <w:left w:val="none" w:sz="0" w:space="0" w:color="auto"/>
                <w:bottom w:val="none" w:sz="0" w:space="0" w:color="auto"/>
                <w:right w:val="none" w:sz="0" w:space="0" w:color="auto"/>
              </w:divBdr>
              <w:divsChild>
                <w:div w:id="18533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92665">
      <w:bodyDiv w:val="1"/>
      <w:marLeft w:val="0"/>
      <w:marRight w:val="0"/>
      <w:marTop w:val="0"/>
      <w:marBottom w:val="0"/>
      <w:divBdr>
        <w:top w:val="none" w:sz="0" w:space="0" w:color="auto"/>
        <w:left w:val="none" w:sz="0" w:space="0" w:color="auto"/>
        <w:bottom w:val="none" w:sz="0" w:space="0" w:color="auto"/>
        <w:right w:val="none" w:sz="0" w:space="0" w:color="auto"/>
      </w:divBdr>
      <w:divsChild>
        <w:div w:id="395006931">
          <w:marLeft w:val="0"/>
          <w:marRight w:val="0"/>
          <w:marTop w:val="0"/>
          <w:marBottom w:val="0"/>
          <w:divBdr>
            <w:top w:val="none" w:sz="0" w:space="0" w:color="auto"/>
            <w:left w:val="none" w:sz="0" w:space="0" w:color="auto"/>
            <w:bottom w:val="none" w:sz="0" w:space="0" w:color="auto"/>
            <w:right w:val="none" w:sz="0" w:space="0" w:color="auto"/>
          </w:divBdr>
          <w:divsChild>
            <w:div w:id="463545397">
              <w:marLeft w:val="0"/>
              <w:marRight w:val="0"/>
              <w:marTop w:val="0"/>
              <w:marBottom w:val="0"/>
              <w:divBdr>
                <w:top w:val="none" w:sz="0" w:space="0" w:color="auto"/>
                <w:left w:val="none" w:sz="0" w:space="0" w:color="auto"/>
                <w:bottom w:val="none" w:sz="0" w:space="0" w:color="auto"/>
                <w:right w:val="none" w:sz="0" w:space="0" w:color="auto"/>
              </w:divBdr>
              <w:divsChild>
                <w:div w:id="1013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9134">
      <w:bodyDiv w:val="1"/>
      <w:marLeft w:val="0"/>
      <w:marRight w:val="0"/>
      <w:marTop w:val="0"/>
      <w:marBottom w:val="0"/>
      <w:divBdr>
        <w:top w:val="none" w:sz="0" w:space="0" w:color="auto"/>
        <w:left w:val="none" w:sz="0" w:space="0" w:color="auto"/>
        <w:bottom w:val="none" w:sz="0" w:space="0" w:color="auto"/>
        <w:right w:val="none" w:sz="0" w:space="0" w:color="auto"/>
      </w:divBdr>
      <w:divsChild>
        <w:div w:id="1319068938">
          <w:marLeft w:val="0"/>
          <w:marRight w:val="0"/>
          <w:marTop w:val="0"/>
          <w:marBottom w:val="0"/>
          <w:divBdr>
            <w:top w:val="none" w:sz="0" w:space="0" w:color="auto"/>
            <w:left w:val="none" w:sz="0" w:space="0" w:color="auto"/>
            <w:bottom w:val="none" w:sz="0" w:space="0" w:color="auto"/>
            <w:right w:val="none" w:sz="0" w:space="0" w:color="auto"/>
          </w:divBdr>
          <w:divsChild>
            <w:div w:id="679623216">
              <w:marLeft w:val="0"/>
              <w:marRight w:val="0"/>
              <w:marTop w:val="0"/>
              <w:marBottom w:val="0"/>
              <w:divBdr>
                <w:top w:val="none" w:sz="0" w:space="0" w:color="auto"/>
                <w:left w:val="none" w:sz="0" w:space="0" w:color="auto"/>
                <w:bottom w:val="none" w:sz="0" w:space="0" w:color="auto"/>
                <w:right w:val="none" w:sz="0" w:space="0" w:color="auto"/>
              </w:divBdr>
              <w:divsChild>
                <w:div w:id="5494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98011">
      <w:bodyDiv w:val="1"/>
      <w:marLeft w:val="0"/>
      <w:marRight w:val="0"/>
      <w:marTop w:val="0"/>
      <w:marBottom w:val="0"/>
      <w:divBdr>
        <w:top w:val="none" w:sz="0" w:space="0" w:color="auto"/>
        <w:left w:val="none" w:sz="0" w:space="0" w:color="auto"/>
        <w:bottom w:val="none" w:sz="0" w:space="0" w:color="auto"/>
        <w:right w:val="none" w:sz="0" w:space="0" w:color="auto"/>
      </w:divBdr>
      <w:divsChild>
        <w:div w:id="760031617">
          <w:marLeft w:val="0"/>
          <w:marRight w:val="0"/>
          <w:marTop w:val="0"/>
          <w:marBottom w:val="0"/>
          <w:divBdr>
            <w:top w:val="none" w:sz="0" w:space="0" w:color="auto"/>
            <w:left w:val="none" w:sz="0" w:space="0" w:color="auto"/>
            <w:bottom w:val="none" w:sz="0" w:space="0" w:color="auto"/>
            <w:right w:val="none" w:sz="0" w:space="0" w:color="auto"/>
          </w:divBdr>
          <w:divsChild>
            <w:div w:id="1242448692">
              <w:marLeft w:val="0"/>
              <w:marRight w:val="0"/>
              <w:marTop w:val="0"/>
              <w:marBottom w:val="0"/>
              <w:divBdr>
                <w:top w:val="none" w:sz="0" w:space="0" w:color="auto"/>
                <w:left w:val="none" w:sz="0" w:space="0" w:color="auto"/>
                <w:bottom w:val="none" w:sz="0" w:space="0" w:color="auto"/>
                <w:right w:val="none" w:sz="0" w:space="0" w:color="auto"/>
              </w:divBdr>
              <w:divsChild>
                <w:div w:id="20792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32134">
      <w:bodyDiv w:val="1"/>
      <w:marLeft w:val="0"/>
      <w:marRight w:val="0"/>
      <w:marTop w:val="0"/>
      <w:marBottom w:val="0"/>
      <w:divBdr>
        <w:top w:val="none" w:sz="0" w:space="0" w:color="auto"/>
        <w:left w:val="none" w:sz="0" w:space="0" w:color="auto"/>
        <w:bottom w:val="none" w:sz="0" w:space="0" w:color="auto"/>
        <w:right w:val="none" w:sz="0" w:space="0" w:color="auto"/>
      </w:divBdr>
      <w:divsChild>
        <w:div w:id="2026443623">
          <w:marLeft w:val="0"/>
          <w:marRight w:val="0"/>
          <w:marTop w:val="0"/>
          <w:marBottom w:val="0"/>
          <w:divBdr>
            <w:top w:val="none" w:sz="0" w:space="0" w:color="auto"/>
            <w:left w:val="none" w:sz="0" w:space="0" w:color="auto"/>
            <w:bottom w:val="none" w:sz="0" w:space="0" w:color="auto"/>
            <w:right w:val="none" w:sz="0" w:space="0" w:color="auto"/>
          </w:divBdr>
          <w:divsChild>
            <w:div w:id="727074887">
              <w:marLeft w:val="0"/>
              <w:marRight w:val="0"/>
              <w:marTop w:val="0"/>
              <w:marBottom w:val="0"/>
              <w:divBdr>
                <w:top w:val="none" w:sz="0" w:space="0" w:color="auto"/>
                <w:left w:val="none" w:sz="0" w:space="0" w:color="auto"/>
                <w:bottom w:val="none" w:sz="0" w:space="0" w:color="auto"/>
                <w:right w:val="none" w:sz="0" w:space="0" w:color="auto"/>
              </w:divBdr>
              <w:divsChild>
                <w:div w:id="1762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10758">
      <w:bodyDiv w:val="1"/>
      <w:marLeft w:val="0"/>
      <w:marRight w:val="0"/>
      <w:marTop w:val="0"/>
      <w:marBottom w:val="0"/>
      <w:divBdr>
        <w:top w:val="none" w:sz="0" w:space="0" w:color="auto"/>
        <w:left w:val="none" w:sz="0" w:space="0" w:color="auto"/>
        <w:bottom w:val="none" w:sz="0" w:space="0" w:color="auto"/>
        <w:right w:val="none" w:sz="0" w:space="0" w:color="auto"/>
      </w:divBdr>
      <w:divsChild>
        <w:div w:id="2017224320">
          <w:marLeft w:val="0"/>
          <w:marRight w:val="0"/>
          <w:marTop w:val="0"/>
          <w:marBottom w:val="0"/>
          <w:divBdr>
            <w:top w:val="none" w:sz="0" w:space="0" w:color="auto"/>
            <w:left w:val="none" w:sz="0" w:space="0" w:color="auto"/>
            <w:bottom w:val="none" w:sz="0" w:space="0" w:color="auto"/>
            <w:right w:val="none" w:sz="0" w:space="0" w:color="auto"/>
          </w:divBdr>
          <w:divsChild>
            <w:div w:id="1610044345">
              <w:marLeft w:val="0"/>
              <w:marRight w:val="0"/>
              <w:marTop w:val="0"/>
              <w:marBottom w:val="0"/>
              <w:divBdr>
                <w:top w:val="none" w:sz="0" w:space="0" w:color="auto"/>
                <w:left w:val="none" w:sz="0" w:space="0" w:color="auto"/>
                <w:bottom w:val="none" w:sz="0" w:space="0" w:color="auto"/>
                <w:right w:val="none" w:sz="0" w:space="0" w:color="auto"/>
              </w:divBdr>
              <w:divsChild>
                <w:div w:id="801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56040">
      <w:bodyDiv w:val="1"/>
      <w:marLeft w:val="0"/>
      <w:marRight w:val="0"/>
      <w:marTop w:val="0"/>
      <w:marBottom w:val="0"/>
      <w:divBdr>
        <w:top w:val="none" w:sz="0" w:space="0" w:color="auto"/>
        <w:left w:val="none" w:sz="0" w:space="0" w:color="auto"/>
        <w:bottom w:val="none" w:sz="0" w:space="0" w:color="auto"/>
        <w:right w:val="none" w:sz="0" w:space="0" w:color="auto"/>
      </w:divBdr>
      <w:divsChild>
        <w:div w:id="1212767221">
          <w:marLeft w:val="0"/>
          <w:marRight w:val="0"/>
          <w:marTop w:val="0"/>
          <w:marBottom w:val="0"/>
          <w:divBdr>
            <w:top w:val="none" w:sz="0" w:space="0" w:color="auto"/>
            <w:left w:val="none" w:sz="0" w:space="0" w:color="auto"/>
            <w:bottom w:val="none" w:sz="0" w:space="0" w:color="auto"/>
            <w:right w:val="none" w:sz="0" w:space="0" w:color="auto"/>
          </w:divBdr>
          <w:divsChild>
            <w:div w:id="884826641">
              <w:marLeft w:val="0"/>
              <w:marRight w:val="0"/>
              <w:marTop w:val="0"/>
              <w:marBottom w:val="0"/>
              <w:divBdr>
                <w:top w:val="none" w:sz="0" w:space="0" w:color="auto"/>
                <w:left w:val="none" w:sz="0" w:space="0" w:color="auto"/>
                <w:bottom w:val="none" w:sz="0" w:space="0" w:color="auto"/>
                <w:right w:val="none" w:sz="0" w:space="0" w:color="auto"/>
              </w:divBdr>
              <w:divsChild>
                <w:div w:id="14536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39362">
      <w:bodyDiv w:val="1"/>
      <w:marLeft w:val="0"/>
      <w:marRight w:val="0"/>
      <w:marTop w:val="0"/>
      <w:marBottom w:val="0"/>
      <w:divBdr>
        <w:top w:val="none" w:sz="0" w:space="0" w:color="auto"/>
        <w:left w:val="none" w:sz="0" w:space="0" w:color="auto"/>
        <w:bottom w:val="none" w:sz="0" w:space="0" w:color="auto"/>
        <w:right w:val="none" w:sz="0" w:space="0" w:color="auto"/>
      </w:divBdr>
    </w:div>
    <w:div w:id="1692217658">
      <w:bodyDiv w:val="1"/>
      <w:marLeft w:val="0"/>
      <w:marRight w:val="0"/>
      <w:marTop w:val="0"/>
      <w:marBottom w:val="0"/>
      <w:divBdr>
        <w:top w:val="none" w:sz="0" w:space="0" w:color="auto"/>
        <w:left w:val="none" w:sz="0" w:space="0" w:color="auto"/>
        <w:bottom w:val="none" w:sz="0" w:space="0" w:color="auto"/>
        <w:right w:val="none" w:sz="0" w:space="0" w:color="auto"/>
      </w:divBdr>
    </w:div>
    <w:div w:id="1696924403">
      <w:bodyDiv w:val="1"/>
      <w:marLeft w:val="0"/>
      <w:marRight w:val="0"/>
      <w:marTop w:val="0"/>
      <w:marBottom w:val="0"/>
      <w:divBdr>
        <w:top w:val="none" w:sz="0" w:space="0" w:color="auto"/>
        <w:left w:val="none" w:sz="0" w:space="0" w:color="auto"/>
        <w:bottom w:val="none" w:sz="0" w:space="0" w:color="auto"/>
        <w:right w:val="none" w:sz="0" w:space="0" w:color="auto"/>
      </w:divBdr>
      <w:divsChild>
        <w:div w:id="1623224974">
          <w:marLeft w:val="0"/>
          <w:marRight w:val="0"/>
          <w:marTop w:val="0"/>
          <w:marBottom w:val="0"/>
          <w:divBdr>
            <w:top w:val="none" w:sz="0" w:space="0" w:color="auto"/>
            <w:left w:val="none" w:sz="0" w:space="0" w:color="auto"/>
            <w:bottom w:val="none" w:sz="0" w:space="0" w:color="auto"/>
            <w:right w:val="none" w:sz="0" w:space="0" w:color="auto"/>
          </w:divBdr>
          <w:divsChild>
            <w:div w:id="2054503140">
              <w:marLeft w:val="0"/>
              <w:marRight w:val="0"/>
              <w:marTop w:val="0"/>
              <w:marBottom w:val="0"/>
              <w:divBdr>
                <w:top w:val="none" w:sz="0" w:space="0" w:color="auto"/>
                <w:left w:val="none" w:sz="0" w:space="0" w:color="auto"/>
                <w:bottom w:val="none" w:sz="0" w:space="0" w:color="auto"/>
                <w:right w:val="none" w:sz="0" w:space="0" w:color="auto"/>
              </w:divBdr>
              <w:divsChild>
                <w:div w:id="12467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918">
      <w:bodyDiv w:val="1"/>
      <w:marLeft w:val="0"/>
      <w:marRight w:val="0"/>
      <w:marTop w:val="0"/>
      <w:marBottom w:val="0"/>
      <w:divBdr>
        <w:top w:val="none" w:sz="0" w:space="0" w:color="auto"/>
        <w:left w:val="none" w:sz="0" w:space="0" w:color="auto"/>
        <w:bottom w:val="none" w:sz="0" w:space="0" w:color="auto"/>
        <w:right w:val="none" w:sz="0" w:space="0" w:color="auto"/>
      </w:divBdr>
    </w:div>
    <w:div w:id="1739554814">
      <w:bodyDiv w:val="1"/>
      <w:marLeft w:val="0"/>
      <w:marRight w:val="0"/>
      <w:marTop w:val="0"/>
      <w:marBottom w:val="0"/>
      <w:divBdr>
        <w:top w:val="none" w:sz="0" w:space="0" w:color="auto"/>
        <w:left w:val="none" w:sz="0" w:space="0" w:color="auto"/>
        <w:bottom w:val="none" w:sz="0" w:space="0" w:color="auto"/>
        <w:right w:val="none" w:sz="0" w:space="0" w:color="auto"/>
      </w:divBdr>
      <w:divsChild>
        <w:div w:id="901067045">
          <w:marLeft w:val="0"/>
          <w:marRight w:val="0"/>
          <w:marTop w:val="0"/>
          <w:marBottom w:val="0"/>
          <w:divBdr>
            <w:top w:val="none" w:sz="0" w:space="0" w:color="auto"/>
            <w:left w:val="none" w:sz="0" w:space="0" w:color="auto"/>
            <w:bottom w:val="none" w:sz="0" w:space="0" w:color="auto"/>
            <w:right w:val="none" w:sz="0" w:space="0" w:color="auto"/>
          </w:divBdr>
          <w:divsChild>
            <w:div w:id="430903936">
              <w:marLeft w:val="0"/>
              <w:marRight w:val="0"/>
              <w:marTop w:val="0"/>
              <w:marBottom w:val="0"/>
              <w:divBdr>
                <w:top w:val="none" w:sz="0" w:space="0" w:color="auto"/>
                <w:left w:val="none" w:sz="0" w:space="0" w:color="auto"/>
                <w:bottom w:val="none" w:sz="0" w:space="0" w:color="auto"/>
                <w:right w:val="none" w:sz="0" w:space="0" w:color="auto"/>
              </w:divBdr>
              <w:divsChild>
                <w:div w:id="3537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4515">
      <w:bodyDiv w:val="1"/>
      <w:marLeft w:val="0"/>
      <w:marRight w:val="0"/>
      <w:marTop w:val="0"/>
      <w:marBottom w:val="0"/>
      <w:divBdr>
        <w:top w:val="none" w:sz="0" w:space="0" w:color="auto"/>
        <w:left w:val="none" w:sz="0" w:space="0" w:color="auto"/>
        <w:bottom w:val="none" w:sz="0" w:space="0" w:color="auto"/>
        <w:right w:val="none" w:sz="0" w:space="0" w:color="auto"/>
      </w:divBdr>
      <w:divsChild>
        <w:div w:id="1579552775">
          <w:marLeft w:val="0"/>
          <w:marRight w:val="0"/>
          <w:marTop w:val="0"/>
          <w:marBottom w:val="0"/>
          <w:divBdr>
            <w:top w:val="none" w:sz="0" w:space="0" w:color="auto"/>
            <w:left w:val="none" w:sz="0" w:space="0" w:color="auto"/>
            <w:bottom w:val="none" w:sz="0" w:space="0" w:color="auto"/>
            <w:right w:val="none" w:sz="0" w:space="0" w:color="auto"/>
          </w:divBdr>
          <w:divsChild>
            <w:div w:id="1936204718">
              <w:marLeft w:val="0"/>
              <w:marRight w:val="0"/>
              <w:marTop w:val="0"/>
              <w:marBottom w:val="0"/>
              <w:divBdr>
                <w:top w:val="none" w:sz="0" w:space="0" w:color="auto"/>
                <w:left w:val="none" w:sz="0" w:space="0" w:color="auto"/>
                <w:bottom w:val="none" w:sz="0" w:space="0" w:color="auto"/>
                <w:right w:val="none" w:sz="0" w:space="0" w:color="auto"/>
              </w:divBdr>
              <w:divsChild>
                <w:div w:id="21409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88484">
      <w:bodyDiv w:val="1"/>
      <w:marLeft w:val="0"/>
      <w:marRight w:val="0"/>
      <w:marTop w:val="0"/>
      <w:marBottom w:val="0"/>
      <w:divBdr>
        <w:top w:val="none" w:sz="0" w:space="0" w:color="auto"/>
        <w:left w:val="none" w:sz="0" w:space="0" w:color="auto"/>
        <w:bottom w:val="none" w:sz="0" w:space="0" w:color="auto"/>
        <w:right w:val="none" w:sz="0" w:space="0" w:color="auto"/>
      </w:divBdr>
      <w:divsChild>
        <w:div w:id="1849714441">
          <w:marLeft w:val="0"/>
          <w:marRight w:val="0"/>
          <w:marTop w:val="0"/>
          <w:marBottom w:val="0"/>
          <w:divBdr>
            <w:top w:val="none" w:sz="0" w:space="0" w:color="auto"/>
            <w:left w:val="none" w:sz="0" w:space="0" w:color="auto"/>
            <w:bottom w:val="none" w:sz="0" w:space="0" w:color="auto"/>
            <w:right w:val="none" w:sz="0" w:space="0" w:color="auto"/>
          </w:divBdr>
          <w:divsChild>
            <w:div w:id="659431906">
              <w:marLeft w:val="0"/>
              <w:marRight w:val="0"/>
              <w:marTop w:val="0"/>
              <w:marBottom w:val="0"/>
              <w:divBdr>
                <w:top w:val="none" w:sz="0" w:space="0" w:color="auto"/>
                <w:left w:val="none" w:sz="0" w:space="0" w:color="auto"/>
                <w:bottom w:val="none" w:sz="0" w:space="0" w:color="auto"/>
                <w:right w:val="none" w:sz="0" w:space="0" w:color="auto"/>
              </w:divBdr>
              <w:divsChild>
                <w:div w:id="157424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6047">
      <w:bodyDiv w:val="1"/>
      <w:marLeft w:val="0"/>
      <w:marRight w:val="0"/>
      <w:marTop w:val="0"/>
      <w:marBottom w:val="0"/>
      <w:divBdr>
        <w:top w:val="none" w:sz="0" w:space="0" w:color="auto"/>
        <w:left w:val="none" w:sz="0" w:space="0" w:color="auto"/>
        <w:bottom w:val="none" w:sz="0" w:space="0" w:color="auto"/>
        <w:right w:val="none" w:sz="0" w:space="0" w:color="auto"/>
      </w:divBdr>
      <w:divsChild>
        <w:div w:id="850489128">
          <w:marLeft w:val="0"/>
          <w:marRight w:val="0"/>
          <w:marTop w:val="0"/>
          <w:marBottom w:val="0"/>
          <w:divBdr>
            <w:top w:val="none" w:sz="0" w:space="0" w:color="auto"/>
            <w:left w:val="none" w:sz="0" w:space="0" w:color="auto"/>
            <w:bottom w:val="none" w:sz="0" w:space="0" w:color="auto"/>
            <w:right w:val="none" w:sz="0" w:space="0" w:color="auto"/>
          </w:divBdr>
          <w:divsChild>
            <w:div w:id="1374890382">
              <w:marLeft w:val="0"/>
              <w:marRight w:val="0"/>
              <w:marTop w:val="0"/>
              <w:marBottom w:val="0"/>
              <w:divBdr>
                <w:top w:val="none" w:sz="0" w:space="0" w:color="auto"/>
                <w:left w:val="none" w:sz="0" w:space="0" w:color="auto"/>
                <w:bottom w:val="none" w:sz="0" w:space="0" w:color="auto"/>
                <w:right w:val="none" w:sz="0" w:space="0" w:color="auto"/>
              </w:divBdr>
              <w:divsChild>
                <w:div w:id="11197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93173">
      <w:bodyDiv w:val="1"/>
      <w:marLeft w:val="0"/>
      <w:marRight w:val="0"/>
      <w:marTop w:val="0"/>
      <w:marBottom w:val="0"/>
      <w:divBdr>
        <w:top w:val="none" w:sz="0" w:space="0" w:color="auto"/>
        <w:left w:val="none" w:sz="0" w:space="0" w:color="auto"/>
        <w:bottom w:val="none" w:sz="0" w:space="0" w:color="auto"/>
        <w:right w:val="none" w:sz="0" w:space="0" w:color="auto"/>
      </w:divBdr>
      <w:divsChild>
        <w:div w:id="1084372491">
          <w:marLeft w:val="0"/>
          <w:marRight w:val="0"/>
          <w:marTop w:val="0"/>
          <w:marBottom w:val="0"/>
          <w:divBdr>
            <w:top w:val="none" w:sz="0" w:space="0" w:color="auto"/>
            <w:left w:val="none" w:sz="0" w:space="0" w:color="auto"/>
            <w:bottom w:val="none" w:sz="0" w:space="0" w:color="auto"/>
            <w:right w:val="none" w:sz="0" w:space="0" w:color="auto"/>
          </w:divBdr>
          <w:divsChild>
            <w:div w:id="1001472693">
              <w:marLeft w:val="0"/>
              <w:marRight w:val="0"/>
              <w:marTop w:val="0"/>
              <w:marBottom w:val="0"/>
              <w:divBdr>
                <w:top w:val="none" w:sz="0" w:space="0" w:color="auto"/>
                <w:left w:val="none" w:sz="0" w:space="0" w:color="auto"/>
                <w:bottom w:val="none" w:sz="0" w:space="0" w:color="auto"/>
                <w:right w:val="none" w:sz="0" w:space="0" w:color="auto"/>
              </w:divBdr>
              <w:divsChild>
                <w:div w:id="4128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74724">
      <w:bodyDiv w:val="1"/>
      <w:marLeft w:val="0"/>
      <w:marRight w:val="0"/>
      <w:marTop w:val="0"/>
      <w:marBottom w:val="0"/>
      <w:divBdr>
        <w:top w:val="none" w:sz="0" w:space="0" w:color="auto"/>
        <w:left w:val="none" w:sz="0" w:space="0" w:color="auto"/>
        <w:bottom w:val="none" w:sz="0" w:space="0" w:color="auto"/>
        <w:right w:val="none" w:sz="0" w:space="0" w:color="auto"/>
      </w:divBdr>
      <w:divsChild>
        <w:div w:id="518397129">
          <w:marLeft w:val="0"/>
          <w:marRight w:val="0"/>
          <w:marTop w:val="0"/>
          <w:marBottom w:val="0"/>
          <w:divBdr>
            <w:top w:val="none" w:sz="0" w:space="0" w:color="auto"/>
            <w:left w:val="none" w:sz="0" w:space="0" w:color="auto"/>
            <w:bottom w:val="none" w:sz="0" w:space="0" w:color="auto"/>
            <w:right w:val="none" w:sz="0" w:space="0" w:color="auto"/>
          </w:divBdr>
          <w:divsChild>
            <w:div w:id="511116679">
              <w:marLeft w:val="0"/>
              <w:marRight w:val="0"/>
              <w:marTop w:val="0"/>
              <w:marBottom w:val="0"/>
              <w:divBdr>
                <w:top w:val="none" w:sz="0" w:space="0" w:color="auto"/>
                <w:left w:val="none" w:sz="0" w:space="0" w:color="auto"/>
                <w:bottom w:val="none" w:sz="0" w:space="0" w:color="auto"/>
                <w:right w:val="none" w:sz="0" w:space="0" w:color="auto"/>
              </w:divBdr>
              <w:divsChild>
                <w:div w:id="172321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26241">
      <w:bodyDiv w:val="1"/>
      <w:marLeft w:val="0"/>
      <w:marRight w:val="0"/>
      <w:marTop w:val="0"/>
      <w:marBottom w:val="0"/>
      <w:divBdr>
        <w:top w:val="none" w:sz="0" w:space="0" w:color="auto"/>
        <w:left w:val="none" w:sz="0" w:space="0" w:color="auto"/>
        <w:bottom w:val="none" w:sz="0" w:space="0" w:color="auto"/>
        <w:right w:val="none" w:sz="0" w:space="0" w:color="auto"/>
      </w:divBdr>
      <w:divsChild>
        <w:div w:id="1089347709">
          <w:marLeft w:val="0"/>
          <w:marRight w:val="0"/>
          <w:marTop w:val="0"/>
          <w:marBottom w:val="0"/>
          <w:divBdr>
            <w:top w:val="none" w:sz="0" w:space="0" w:color="auto"/>
            <w:left w:val="none" w:sz="0" w:space="0" w:color="auto"/>
            <w:bottom w:val="none" w:sz="0" w:space="0" w:color="auto"/>
            <w:right w:val="none" w:sz="0" w:space="0" w:color="auto"/>
          </w:divBdr>
          <w:divsChild>
            <w:div w:id="1935744671">
              <w:marLeft w:val="0"/>
              <w:marRight w:val="0"/>
              <w:marTop w:val="0"/>
              <w:marBottom w:val="0"/>
              <w:divBdr>
                <w:top w:val="none" w:sz="0" w:space="0" w:color="auto"/>
                <w:left w:val="none" w:sz="0" w:space="0" w:color="auto"/>
                <w:bottom w:val="none" w:sz="0" w:space="0" w:color="auto"/>
                <w:right w:val="none" w:sz="0" w:space="0" w:color="auto"/>
              </w:divBdr>
              <w:divsChild>
                <w:div w:id="3985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12767">
      <w:bodyDiv w:val="1"/>
      <w:marLeft w:val="0"/>
      <w:marRight w:val="0"/>
      <w:marTop w:val="0"/>
      <w:marBottom w:val="0"/>
      <w:divBdr>
        <w:top w:val="none" w:sz="0" w:space="0" w:color="auto"/>
        <w:left w:val="none" w:sz="0" w:space="0" w:color="auto"/>
        <w:bottom w:val="none" w:sz="0" w:space="0" w:color="auto"/>
        <w:right w:val="none" w:sz="0" w:space="0" w:color="auto"/>
      </w:divBdr>
      <w:divsChild>
        <w:div w:id="1779376206">
          <w:marLeft w:val="0"/>
          <w:marRight w:val="0"/>
          <w:marTop w:val="0"/>
          <w:marBottom w:val="0"/>
          <w:divBdr>
            <w:top w:val="none" w:sz="0" w:space="0" w:color="auto"/>
            <w:left w:val="none" w:sz="0" w:space="0" w:color="auto"/>
            <w:bottom w:val="none" w:sz="0" w:space="0" w:color="auto"/>
            <w:right w:val="none" w:sz="0" w:space="0" w:color="auto"/>
          </w:divBdr>
          <w:divsChild>
            <w:div w:id="1479690054">
              <w:marLeft w:val="0"/>
              <w:marRight w:val="0"/>
              <w:marTop w:val="0"/>
              <w:marBottom w:val="0"/>
              <w:divBdr>
                <w:top w:val="none" w:sz="0" w:space="0" w:color="auto"/>
                <w:left w:val="none" w:sz="0" w:space="0" w:color="auto"/>
                <w:bottom w:val="none" w:sz="0" w:space="0" w:color="auto"/>
                <w:right w:val="none" w:sz="0" w:space="0" w:color="auto"/>
              </w:divBdr>
              <w:divsChild>
                <w:div w:id="15538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0246">
      <w:bodyDiv w:val="1"/>
      <w:marLeft w:val="0"/>
      <w:marRight w:val="0"/>
      <w:marTop w:val="0"/>
      <w:marBottom w:val="0"/>
      <w:divBdr>
        <w:top w:val="none" w:sz="0" w:space="0" w:color="auto"/>
        <w:left w:val="none" w:sz="0" w:space="0" w:color="auto"/>
        <w:bottom w:val="none" w:sz="0" w:space="0" w:color="auto"/>
        <w:right w:val="none" w:sz="0" w:space="0" w:color="auto"/>
      </w:divBdr>
      <w:divsChild>
        <w:div w:id="300430593">
          <w:marLeft w:val="0"/>
          <w:marRight w:val="0"/>
          <w:marTop w:val="0"/>
          <w:marBottom w:val="0"/>
          <w:divBdr>
            <w:top w:val="none" w:sz="0" w:space="0" w:color="auto"/>
            <w:left w:val="none" w:sz="0" w:space="0" w:color="auto"/>
            <w:bottom w:val="none" w:sz="0" w:space="0" w:color="auto"/>
            <w:right w:val="none" w:sz="0" w:space="0" w:color="auto"/>
          </w:divBdr>
          <w:divsChild>
            <w:div w:id="1268778812">
              <w:marLeft w:val="0"/>
              <w:marRight w:val="0"/>
              <w:marTop w:val="0"/>
              <w:marBottom w:val="0"/>
              <w:divBdr>
                <w:top w:val="none" w:sz="0" w:space="0" w:color="auto"/>
                <w:left w:val="none" w:sz="0" w:space="0" w:color="auto"/>
                <w:bottom w:val="none" w:sz="0" w:space="0" w:color="auto"/>
                <w:right w:val="none" w:sz="0" w:space="0" w:color="auto"/>
              </w:divBdr>
              <w:divsChild>
                <w:div w:id="9483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30656">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1">
          <w:marLeft w:val="0"/>
          <w:marRight w:val="0"/>
          <w:marTop w:val="0"/>
          <w:marBottom w:val="0"/>
          <w:divBdr>
            <w:top w:val="none" w:sz="0" w:space="0" w:color="auto"/>
            <w:left w:val="none" w:sz="0" w:space="0" w:color="auto"/>
            <w:bottom w:val="none" w:sz="0" w:space="0" w:color="auto"/>
            <w:right w:val="none" w:sz="0" w:space="0" w:color="auto"/>
          </w:divBdr>
          <w:divsChild>
            <w:div w:id="2079209678">
              <w:marLeft w:val="0"/>
              <w:marRight w:val="0"/>
              <w:marTop w:val="0"/>
              <w:marBottom w:val="0"/>
              <w:divBdr>
                <w:top w:val="none" w:sz="0" w:space="0" w:color="auto"/>
                <w:left w:val="none" w:sz="0" w:space="0" w:color="auto"/>
                <w:bottom w:val="none" w:sz="0" w:space="0" w:color="auto"/>
                <w:right w:val="none" w:sz="0" w:space="0" w:color="auto"/>
              </w:divBdr>
              <w:divsChild>
                <w:div w:id="2036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6068">
      <w:bodyDiv w:val="1"/>
      <w:marLeft w:val="0"/>
      <w:marRight w:val="0"/>
      <w:marTop w:val="0"/>
      <w:marBottom w:val="0"/>
      <w:divBdr>
        <w:top w:val="none" w:sz="0" w:space="0" w:color="auto"/>
        <w:left w:val="none" w:sz="0" w:space="0" w:color="auto"/>
        <w:bottom w:val="none" w:sz="0" w:space="0" w:color="auto"/>
        <w:right w:val="none" w:sz="0" w:space="0" w:color="auto"/>
      </w:divBdr>
      <w:divsChild>
        <w:div w:id="717705034">
          <w:marLeft w:val="0"/>
          <w:marRight w:val="0"/>
          <w:marTop w:val="0"/>
          <w:marBottom w:val="0"/>
          <w:divBdr>
            <w:top w:val="none" w:sz="0" w:space="0" w:color="auto"/>
            <w:left w:val="none" w:sz="0" w:space="0" w:color="auto"/>
            <w:bottom w:val="none" w:sz="0" w:space="0" w:color="auto"/>
            <w:right w:val="none" w:sz="0" w:space="0" w:color="auto"/>
          </w:divBdr>
          <w:divsChild>
            <w:div w:id="517278044">
              <w:marLeft w:val="0"/>
              <w:marRight w:val="0"/>
              <w:marTop w:val="0"/>
              <w:marBottom w:val="0"/>
              <w:divBdr>
                <w:top w:val="none" w:sz="0" w:space="0" w:color="auto"/>
                <w:left w:val="none" w:sz="0" w:space="0" w:color="auto"/>
                <w:bottom w:val="none" w:sz="0" w:space="0" w:color="auto"/>
                <w:right w:val="none" w:sz="0" w:space="0" w:color="auto"/>
              </w:divBdr>
              <w:divsChild>
                <w:div w:id="12631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363636">
      <w:bodyDiv w:val="1"/>
      <w:marLeft w:val="0"/>
      <w:marRight w:val="0"/>
      <w:marTop w:val="0"/>
      <w:marBottom w:val="0"/>
      <w:divBdr>
        <w:top w:val="none" w:sz="0" w:space="0" w:color="auto"/>
        <w:left w:val="none" w:sz="0" w:space="0" w:color="auto"/>
        <w:bottom w:val="none" w:sz="0" w:space="0" w:color="auto"/>
        <w:right w:val="none" w:sz="0" w:space="0" w:color="auto"/>
      </w:divBdr>
    </w:div>
    <w:div w:id="1957565387">
      <w:bodyDiv w:val="1"/>
      <w:marLeft w:val="0"/>
      <w:marRight w:val="0"/>
      <w:marTop w:val="0"/>
      <w:marBottom w:val="0"/>
      <w:divBdr>
        <w:top w:val="none" w:sz="0" w:space="0" w:color="auto"/>
        <w:left w:val="none" w:sz="0" w:space="0" w:color="auto"/>
        <w:bottom w:val="none" w:sz="0" w:space="0" w:color="auto"/>
        <w:right w:val="none" w:sz="0" w:space="0" w:color="auto"/>
      </w:divBdr>
      <w:divsChild>
        <w:div w:id="1674643947">
          <w:marLeft w:val="0"/>
          <w:marRight w:val="0"/>
          <w:marTop w:val="0"/>
          <w:marBottom w:val="0"/>
          <w:divBdr>
            <w:top w:val="none" w:sz="0" w:space="0" w:color="auto"/>
            <w:left w:val="none" w:sz="0" w:space="0" w:color="auto"/>
            <w:bottom w:val="none" w:sz="0" w:space="0" w:color="auto"/>
            <w:right w:val="none" w:sz="0" w:space="0" w:color="auto"/>
          </w:divBdr>
          <w:divsChild>
            <w:div w:id="1318538518">
              <w:marLeft w:val="0"/>
              <w:marRight w:val="0"/>
              <w:marTop w:val="0"/>
              <w:marBottom w:val="0"/>
              <w:divBdr>
                <w:top w:val="none" w:sz="0" w:space="0" w:color="auto"/>
                <w:left w:val="none" w:sz="0" w:space="0" w:color="auto"/>
                <w:bottom w:val="none" w:sz="0" w:space="0" w:color="auto"/>
                <w:right w:val="none" w:sz="0" w:space="0" w:color="auto"/>
              </w:divBdr>
              <w:divsChild>
                <w:div w:id="13804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2873">
      <w:bodyDiv w:val="1"/>
      <w:marLeft w:val="0"/>
      <w:marRight w:val="0"/>
      <w:marTop w:val="0"/>
      <w:marBottom w:val="0"/>
      <w:divBdr>
        <w:top w:val="none" w:sz="0" w:space="0" w:color="auto"/>
        <w:left w:val="none" w:sz="0" w:space="0" w:color="auto"/>
        <w:bottom w:val="none" w:sz="0" w:space="0" w:color="auto"/>
        <w:right w:val="none" w:sz="0" w:space="0" w:color="auto"/>
      </w:divBdr>
      <w:divsChild>
        <w:div w:id="348066713">
          <w:marLeft w:val="0"/>
          <w:marRight w:val="0"/>
          <w:marTop w:val="0"/>
          <w:marBottom w:val="0"/>
          <w:divBdr>
            <w:top w:val="none" w:sz="0" w:space="0" w:color="auto"/>
            <w:left w:val="none" w:sz="0" w:space="0" w:color="auto"/>
            <w:bottom w:val="none" w:sz="0" w:space="0" w:color="auto"/>
            <w:right w:val="none" w:sz="0" w:space="0" w:color="auto"/>
          </w:divBdr>
          <w:divsChild>
            <w:div w:id="330063202">
              <w:marLeft w:val="0"/>
              <w:marRight w:val="0"/>
              <w:marTop w:val="0"/>
              <w:marBottom w:val="0"/>
              <w:divBdr>
                <w:top w:val="none" w:sz="0" w:space="0" w:color="auto"/>
                <w:left w:val="none" w:sz="0" w:space="0" w:color="auto"/>
                <w:bottom w:val="none" w:sz="0" w:space="0" w:color="auto"/>
                <w:right w:val="none" w:sz="0" w:space="0" w:color="auto"/>
              </w:divBdr>
              <w:divsChild>
                <w:div w:id="21107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4370">
      <w:bodyDiv w:val="1"/>
      <w:marLeft w:val="0"/>
      <w:marRight w:val="0"/>
      <w:marTop w:val="0"/>
      <w:marBottom w:val="0"/>
      <w:divBdr>
        <w:top w:val="none" w:sz="0" w:space="0" w:color="auto"/>
        <w:left w:val="none" w:sz="0" w:space="0" w:color="auto"/>
        <w:bottom w:val="none" w:sz="0" w:space="0" w:color="auto"/>
        <w:right w:val="none" w:sz="0" w:space="0" w:color="auto"/>
      </w:divBdr>
    </w:div>
    <w:div w:id="2020112055">
      <w:bodyDiv w:val="1"/>
      <w:marLeft w:val="0"/>
      <w:marRight w:val="0"/>
      <w:marTop w:val="0"/>
      <w:marBottom w:val="0"/>
      <w:divBdr>
        <w:top w:val="none" w:sz="0" w:space="0" w:color="auto"/>
        <w:left w:val="none" w:sz="0" w:space="0" w:color="auto"/>
        <w:bottom w:val="none" w:sz="0" w:space="0" w:color="auto"/>
        <w:right w:val="none" w:sz="0" w:space="0" w:color="auto"/>
      </w:divBdr>
      <w:divsChild>
        <w:div w:id="1750880545">
          <w:marLeft w:val="0"/>
          <w:marRight w:val="0"/>
          <w:marTop w:val="0"/>
          <w:marBottom w:val="0"/>
          <w:divBdr>
            <w:top w:val="none" w:sz="0" w:space="0" w:color="auto"/>
            <w:left w:val="none" w:sz="0" w:space="0" w:color="auto"/>
            <w:bottom w:val="none" w:sz="0" w:space="0" w:color="auto"/>
            <w:right w:val="none" w:sz="0" w:space="0" w:color="auto"/>
          </w:divBdr>
          <w:divsChild>
            <w:div w:id="954826560">
              <w:marLeft w:val="0"/>
              <w:marRight w:val="0"/>
              <w:marTop w:val="0"/>
              <w:marBottom w:val="0"/>
              <w:divBdr>
                <w:top w:val="none" w:sz="0" w:space="0" w:color="auto"/>
                <w:left w:val="none" w:sz="0" w:space="0" w:color="auto"/>
                <w:bottom w:val="none" w:sz="0" w:space="0" w:color="auto"/>
                <w:right w:val="none" w:sz="0" w:space="0" w:color="auto"/>
              </w:divBdr>
              <w:divsChild>
                <w:div w:id="5040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0442">
      <w:bodyDiv w:val="1"/>
      <w:marLeft w:val="0"/>
      <w:marRight w:val="0"/>
      <w:marTop w:val="0"/>
      <w:marBottom w:val="0"/>
      <w:divBdr>
        <w:top w:val="none" w:sz="0" w:space="0" w:color="auto"/>
        <w:left w:val="none" w:sz="0" w:space="0" w:color="auto"/>
        <w:bottom w:val="none" w:sz="0" w:space="0" w:color="auto"/>
        <w:right w:val="none" w:sz="0" w:space="0" w:color="auto"/>
      </w:divBdr>
    </w:div>
    <w:div w:id="2069768829">
      <w:bodyDiv w:val="1"/>
      <w:marLeft w:val="0"/>
      <w:marRight w:val="0"/>
      <w:marTop w:val="0"/>
      <w:marBottom w:val="0"/>
      <w:divBdr>
        <w:top w:val="none" w:sz="0" w:space="0" w:color="auto"/>
        <w:left w:val="none" w:sz="0" w:space="0" w:color="auto"/>
        <w:bottom w:val="none" w:sz="0" w:space="0" w:color="auto"/>
        <w:right w:val="none" w:sz="0" w:space="0" w:color="auto"/>
      </w:divBdr>
      <w:divsChild>
        <w:div w:id="1555122905">
          <w:marLeft w:val="0"/>
          <w:marRight w:val="0"/>
          <w:marTop w:val="0"/>
          <w:marBottom w:val="0"/>
          <w:divBdr>
            <w:top w:val="none" w:sz="0" w:space="0" w:color="auto"/>
            <w:left w:val="none" w:sz="0" w:space="0" w:color="auto"/>
            <w:bottom w:val="none" w:sz="0" w:space="0" w:color="auto"/>
            <w:right w:val="none" w:sz="0" w:space="0" w:color="auto"/>
          </w:divBdr>
          <w:divsChild>
            <w:div w:id="2061125893">
              <w:marLeft w:val="0"/>
              <w:marRight w:val="0"/>
              <w:marTop w:val="0"/>
              <w:marBottom w:val="0"/>
              <w:divBdr>
                <w:top w:val="none" w:sz="0" w:space="0" w:color="auto"/>
                <w:left w:val="none" w:sz="0" w:space="0" w:color="auto"/>
                <w:bottom w:val="none" w:sz="0" w:space="0" w:color="auto"/>
                <w:right w:val="none" w:sz="0" w:space="0" w:color="auto"/>
              </w:divBdr>
              <w:divsChild>
                <w:div w:id="20971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6265">
      <w:bodyDiv w:val="1"/>
      <w:marLeft w:val="0"/>
      <w:marRight w:val="0"/>
      <w:marTop w:val="0"/>
      <w:marBottom w:val="0"/>
      <w:divBdr>
        <w:top w:val="none" w:sz="0" w:space="0" w:color="auto"/>
        <w:left w:val="none" w:sz="0" w:space="0" w:color="auto"/>
        <w:bottom w:val="none" w:sz="0" w:space="0" w:color="auto"/>
        <w:right w:val="none" w:sz="0" w:space="0" w:color="auto"/>
      </w:divBdr>
    </w:div>
    <w:div w:id="2082408951">
      <w:bodyDiv w:val="1"/>
      <w:marLeft w:val="0"/>
      <w:marRight w:val="0"/>
      <w:marTop w:val="0"/>
      <w:marBottom w:val="0"/>
      <w:divBdr>
        <w:top w:val="none" w:sz="0" w:space="0" w:color="auto"/>
        <w:left w:val="none" w:sz="0" w:space="0" w:color="auto"/>
        <w:bottom w:val="none" w:sz="0" w:space="0" w:color="auto"/>
        <w:right w:val="none" w:sz="0" w:space="0" w:color="auto"/>
      </w:divBdr>
      <w:divsChild>
        <w:div w:id="1831142013">
          <w:marLeft w:val="0"/>
          <w:marRight w:val="0"/>
          <w:marTop w:val="0"/>
          <w:marBottom w:val="0"/>
          <w:divBdr>
            <w:top w:val="none" w:sz="0" w:space="0" w:color="auto"/>
            <w:left w:val="none" w:sz="0" w:space="0" w:color="auto"/>
            <w:bottom w:val="none" w:sz="0" w:space="0" w:color="auto"/>
            <w:right w:val="none" w:sz="0" w:space="0" w:color="auto"/>
          </w:divBdr>
        </w:div>
      </w:divsChild>
    </w:div>
    <w:div w:id="2096899855">
      <w:bodyDiv w:val="1"/>
      <w:marLeft w:val="0"/>
      <w:marRight w:val="0"/>
      <w:marTop w:val="0"/>
      <w:marBottom w:val="0"/>
      <w:divBdr>
        <w:top w:val="none" w:sz="0" w:space="0" w:color="auto"/>
        <w:left w:val="none" w:sz="0" w:space="0" w:color="auto"/>
        <w:bottom w:val="none" w:sz="0" w:space="0" w:color="auto"/>
        <w:right w:val="none" w:sz="0" w:space="0" w:color="auto"/>
      </w:divBdr>
      <w:divsChild>
        <w:div w:id="2046101187">
          <w:marLeft w:val="0"/>
          <w:marRight w:val="0"/>
          <w:marTop w:val="0"/>
          <w:marBottom w:val="0"/>
          <w:divBdr>
            <w:top w:val="none" w:sz="0" w:space="0" w:color="auto"/>
            <w:left w:val="none" w:sz="0" w:space="0" w:color="auto"/>
            <w:bottom w:val="none" w:sz="0" w:space="0" w:color="auto"/>
            <w:right w:val="none" w:sz="0" w:space="0" w:color="auto"/>
          </w:divBdr>
          <w:divsChild>
            <w:div w:id="150102620">
              <w:marLeft w:val="0"/>
              <w:marRight w:val="0"/>
              <w:marTop w:val="0"/>
              <w:marBottom w:val="0"/>
              <w:divBdr>
                <w:top w:val="none" w:sz="0" w:space="0" w:color="auto"/>
                <w:left w:val="none" w:sz="0" w:space="0" w:color="auto"/>
                <w:bottom w:val="none" w:sz="0" w:space="0" w:color="auto"/>
                <w:right w:val="none" w:sz="0" w:space="0" w:color="auto"/>
              </w:divBdr>
              <w:divsChild>
                <w:div w:id="12530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2589">
      <w:bodyDiv w:val="1"/>
      <w:marLeft w:val="0"/>
      <w:marRight w:val="0"/>
      <w:marTop w:val="0"/>
      <w:marBottom w:val="0"/>
      <w:divBdr>
        <w:top w:val="none" w:sz="0" w:space="0" w:color="auto"/>
        <w:left w:val="none" w:sz="0" w:space="0" w:color="auto"/>
        <w:bottom w:val="none" w:sz="0" w:space="0" w:color="auto"/>
        <w:right w:val="none" w:sz="0" w:space="0" w:color="auto"/>
      </w:divBdr>
      <w:divsChild>
        <w:div w:id="1320961105">
          <w:marLeft w:val="0"/>
          <w:marRight w:val="0"/>
          <w:marTop w:val="0"/>
          <w:marBottom w:val="0"/>
          <w:divBdr>
            <w:top w:val="none" w:sz="0" w:space="0" w:color="auto"/>
            <w:left w:val="none" w:sz="0" w:space="0" w:color="auto"/>
            <w:bottom w:val="none" w:sz="0" w:space="0" w:color="auto"/>
            <w:right w:val="none" w:sz="0" w:space="0" w:color="auto"/>
          </w:divBdr>
          <w:divsChild>
            <w:div w:id="299657919">
              <w:marLeft w:val="0"/>
              <w:marRight w:val="0"/>
              <w:marTop w:val="0"/>
              <w:marBottom w:val="0"/>
              <w:divBdr>
                <w:top w:val="none" w:sz="0" w:space="0" w:color="auto"/>
                <w:left w:val="none" w:sz="0" w:space="0" w:color="auto"/>
                <w:bottom w:val="none" w:sz="0" w:space="0" w:color="auto"/>
                <w:right w:val="none" w:sz="0" w:space="0" w:color="auto"/>
              </w:divBdr>
              <w:divsChild>
                <w:div w:id="4051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96310">
      <w:bodyDiv w:val="1"/>
      <w:marLeft w:val="0"/>
      <w:marRight w:val="0"/>
      <w:marTop w:val="0"/>
      <w:marBottom w:val="0"/>
      <w:divBdr>
        <w:top w:val="none" w:sz="0" w:space="0" w:color="auto"/>
        <w:left w:val="none" w:sz="0" w:space="0" w:color="auto"/>
        <w:bottom w:val="none" w:sz="0" w:space="0" w:color="auto"/>
        <w:right w:val="none" w:sz="0" w:space="0" w:color="auto"/>
      </w:divBdr>
      <w:divsChild>
        <w:div w:id="1541554481">
          <w:marLeft w:val="0"/>
          <w:marRight w:val="0"/>
          <w:marTop w:val="0"/>
          <w:marBottom w:val="0"/>
          <w:divBdr>
            <w:top w:val="none" w:sz="0" w:space="0" w:color="auto"/>
            <w:left w:val="none" w:sz="0" w:space="0" w:color="auto"/>
            <w:bottom w:val="none" w:sz="0" w:space="0" w:color="auto"/>
            <w:right w:val="none" w:sz="0" w:space="0" w:color="auto"/>
          </w:divBdr>
          <w:divsChild>
            <w:div w:id="66730414">
              <w:marLeft w:val="0"/>
              <w:marRight w:val="0"/>
              <w:marTop w:val="0"/>
              <w:marBottom w:val="0"/>
              <w:divBdr>
                <w:top w:val="none" w:sz="0" w:space="0" w:color="auto"/>
                <w:left w:val="none" w:sz="0" w:space="0" w:color="auto"/>
                <w:bottom w:val="none" w:sz="0" w:space="0" w:color="auto"/>
                <w:right w:val="none" w:sz="0" w:space="0" w:color="auto"/>
              </w:divBdr>
              <w:divsChild>
                <w:div w:id="479231282">
                  <w:marLeft w:val="0"/>
                  <w:marRight w:val="0"/>
                  <w:marTop w:val="0"/>
                  <w:marBottom w:val="0"/>
                  <w:divBdr>
                    <w:top w:val="none" w:sz="0" w:space="0" w:color="auto"/>
                    <w:left w:val="none" w:sz="0" w:space="0" w:color="auto"/>
                    <w:bottom w:val="none" w:sz="0" w:space="0" w:color="auto"/>
                    <w:right w:val="none" w:sz="0" w:space="0" w:color="auto"/>
                  </w:divBdr>
                  <w:divsChild>
                    <w:div w:id="1231620831">
                      <w:marLeft w:val="0"/>
                      <w:marRight w:val="0"/>
                      <w:marTop w:val="0"/>
                      <w:marBottom w:val="0"/>
                      <w:divBdr>
                        <w:top w:val="none" w:sz="0" w:space="0" w:color="auto"/>
                        <w:left w:val="none" w:sz="0" w:space="0" w:color="auto"/>
                        <w:bottom w:val="none" w:sz="0" w:space="0" w:color="auto"/>
                        <w:right w:val="none" w:sz="0" w:space="0" w:color="auto"/>
                      </w:divBdr>
                      <w:divsChild>
                        <w:div w:id="1265696977">
                          <w:marLeft w:val="0"/>
                          <w:marRight w:val="0"/>
                          <w:marTop w:val="0"/>
                          <w:marBottom w:val="0"/>
                          <w:divBdr>
                            <w:top w:val="none" w:sz="0" w:space="0" w:color="auto"/>
                            <w:left w:val="none" w:sz="0" w:space="0" w:color="auto"/>
                            <w:bottom w:val="none" w:sz="0" w:space="0" w:color="auto"/>
                            <w:right w:val="none" w:sz="0" w:space="0" w:color="auto"/>
                          </w:divBdr>
                          <w:divsChild>
                            <w:div w:id="1421759506">
                              <w:marLeft w:val="0"/>
                              <w:marRight w:val="0"/>
                              <w:marTop w:val="0"/>
                              <w:marBottom w:val="0"/>
                              <w:divBdr>
                                <w:top w:val="none" w:sz="0" w:space="0" w:color="auto"/>
                                <w:left w:val="none" w:sz="0" w:space="0" w:color="auto"/>
                                <w:bottom w:val="none" w:sz="0" w:space="0" w:color="auto"/>
                                <w:right w:val="none" w:sz="0" w:space="0" w:color="auto"/>
                              </w:divBdr>
                              <w:divsChild>
                                <w:div w:id="1015888278">
                                  <w:marLeft w:val="0"/>
                                  <w:marRight w:val="0"/>
                                  <w:marTop w:val="0"/>
                                  <w:marBottom w:val="0"/>
                                  <w:divBdr>
                                    <w:top w:val="none" w:sz="0" w:space="0" w:color="auto"/>
                                    <w:left w:val="none" w:sz="0" w:space="0" w:color="auto"/>
                                    <w:bottom w:val="none" w:sz="0" w:space="0" w:color="auto"/>
                                    <w:right w:val="none" w:sz="0" w:space="0" w:color="auto"/>
                                  </w:divBdr>
                                  <w:divsChild>
                                    <w:div w:id="990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069048">
      <w:bodyDiv w:val="1"/>
      <w:marLeft w:val="0"/>
      <w:marRight w:val="0"/>
      <w:marTop w:val="0"/>
      <w:marBottom w:val="0"/>
      <w:divBdr>
        <w:top w:val="none" w:sz="0" w:space="0" w:color="auto"/>
        <w:left w:val="none" w:sz="0" w:space="0" w:color="auto"/>
        <w:bottom w:val="none" w:sz="0" w:space="0" w:color="auto"/>
        <w:right w:val="none" w:sz="0" w:space="0" w:color="auto"/>
      </w:divBdr>
      <w:divsChild>
        <w:div w:id="1247038125">
          <w:marLeft w:val="0"/>
          <w:marRight w:val="0"/>
          <w:marTop w:val="0"/>
          <w:marBottom w:val="0"/>
          <w:divBdr>
            <w:top w:val="none" w:sz="0" w:space="0" w:color="auto"/>
            <w:left w:val="none" w:sz="0" w:space="0" w:color="auto"/>
            <w:bottom w:val="none" w:sz="0" w:space="0" w:color="auto"/>
            <w:right w:val="none" w:sz="0" w:space="0" w:color="auto"/>
          </w:divBdr>
          <w:divsChild>
            <w:div w:id="824131503">
              <w:marLeft w:val="0"/>
              <w:marRight w:val="0"/>
              <w:marTop w:val="0"/>
              <w:marBottom w:val="0"/>
              <w:divBdr>
                <w:top w:val="none" w:sz="0" w:space="0" w:color="auto"/>
                <w:left w:val="none" w:sz="0" w:space="0" w:color="auto"/>
                <w:bottom w:val="none" w:sz="0" w:space="0" w:color="auto"/>
                <w:right w:val="none" w:sz="0" w:space="0" w:color="auto"/>
              </w:divBdr>
              <w:divsChild>
                <w:div w:id="15163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1643C-A641-C746-9D3A-D0D8CDC1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7701</Words>
  <Characters>42361</Characters>
  <Application>Microsoft Office Word</Application>
  <DocSecurity>4</DocSecurity>
  <Lines>353</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ZHOU</dc:creator>
  <cp:keywords/>
  <dc:description/>
  <cp:lastModifiedBy>JIAJUN JORGE NI ZHOU</cp:lastModifiedBy>
  <cp:revision>2</cp:revision>
  <cp:lastPrinted>2026-05-17T15:12:00Z</cp:lastPrinted>
  <dcterms:created xsi:type="dcterms:W3CDTF">2026-06-07T22:29:00Z</dcterms:created>
  <dcterms:modified xsi:type="dcterms:W3CDTF">2026-06-07T22:29:00Z</dcterms:modified>
</cp:coreProperties>
</file>