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黑体" w:cs="黑体" w:eastAsia="黑体" w:hAnsi="黑体"/>
          <w:b/>
          <w:bCs/>
          <w:sz w:val="34"/>
          <w:szCs w:val="34"/>
        </w:rPr>
        <w:t xml:space="preserve">企业供应链数智化协同平台设计与开发</w:t>
      </w:r>
    </w:p>
    <w:p>
      <w:pPr>
        <w:spacing w:after="80"/>
        <w:jc w:val="center"/>
      </w:pPr>
      <w:r>
        <w:rPr>
          <w:rFonts w:ascii="黑体" w:cs="黑体" w:eastAsia="黑体" w:hAnsi="黑体"/>
          <w:b/>
          <w:bCs/>
          <w:sz w:val="28"/>
          <w:szCs w:val="28"/>
        </w:rPr>
        <w:t xml:space="preserve">本科毕业设计（论文）开题报告（工作稿）</w:t>
      </w:r>
    </w:p>
    <w:p>
      <w:pPr>
        <w:spacing w:after="220"/>
        <w:jc w:val="center"/>
      </w:pPr>
      <w:r>
        <w:rPr>
          <w:rFonts w:ascii="宋体" w:cs="宋体" w:eastAsia="宋体" w:hAnsi="宋体"/>
          <w:b w:val="false"/>
          <w:bCs w:val="false"/>
          <w:color w:val="666666"/>
          <w:sz w:val="20"/>
          <w:szCs w:val="20"/>
        </w:rPr>
        <w:t xml:space="preserve">版本：2026年9月22日｜依据学校模板与当前项目真实状态整理</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500"/>
        <w:gridCol w:w="2850"/>
        <w:gridCol w:w="1500"/>
        <w:gridCol w:w="2656"/>
      </w:tblGrid>
      <w:tr>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学生姓名</w:t>
            </w:r>
          </w:p>
        </w:tc>
        <w:tc>
          <w:tcPr>
            <w:tcW w:type="dxa" w:w="285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严绍诚</w:t>
            </w:r>
          </w:p>
        </w:tc>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学号</w:t>
            </w:r>
          </w:p>
        </w:tc>
        <w:tc>
          <w:tcPr>
            <w:tcW w:type="dxa" w:w="2656"/>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2023030201071</w:t>
            </w:r>
          </w:p>
        </w:tc>
      </w:tr>
      <w:tr>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专业班级</w:t>
            </w:r>
          </w:p>
        </w:tc>
        <w:tc>
          <w:tcPr>
            <w:tcW w:type="dxa" w:w="285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23软件B班</w:t>
            </w:r>
          </w:p>
        </w:tc>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指导教师</w:t>
            </w:r>
          </w:p>
        </w:tc>
        <w:tc>
          <w:tcPr>
            <w:tcW w:type="dxa" w:w="2656"/>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李文生；张璐（以正式表单为准）</w:t>
            </w:r>
          </w:p>
        </w:tc>
      </w:tr>
      <w:tr>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课题类型</w:t>
            </w:r>
          </w:p>
        </w:tc>
        <w:tc>
          <w:tcPr>
            <w:tcW w:type="dxa" w:w="285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工程设计、产品开发</w:t>
            </w:r>
          </w:p>
        </w:tc>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课题来源</w:t>
            </w:r>
          </w:p>
        </w:tc>
        <w:tc>
          <w:tcPr>
            <w:tcW w:type="dxa" w:w="2656"/>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社会生产实践</w:t>
            </w:r>
          </w:p>
        </w:tc>
      </w:tr>
      <w:tr>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设计周期</w:t>
            </w:r>
          </w:p>
        </w:tc>
        <w:tc>
          <w:tcPr>
            <w:tcW w:type="dxa" w:w="285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2026年9月1日—2027年5月10日</w:t>
            </w:r>
          </w:p>
        </w:tc>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所属学院</w:t>
            </w:r>
          </w:p>
        </w:tc>
        <w:tc>
          <w:tcPr>
            <w:tcW w:type="dxa" w:w="2656"/>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计算机学院</w:t>
            </w:r>
          </w:p>
        </w:tc>
      </w:tr>
      <w:tr>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课题名称</w:t>
            </w:r>
          </w:p>
        </w:tc>
        <w:tc>
          <w:tcPr>
            <w:tcW w:type="dxa" w:w="285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企业供应链数智化协同平台设计与开发</w:t>
            </w:r>
          </w:p>
        </w:tc>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
            </w:r>
          </w:p>
        </w:tc>
        <w:tc>
          <w:tcPr>
            <w:tcW w:type="dxa" w:w="2656"/>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
            </w:r>
          </w:p>
        </w:tc>
      </w:tr>
    </w:tbl>
    <w:p>
      <w:pPr>
        <w:spacing w:after="220" w:before="180" w:line="300"/>
        <w:jc w:val="both"/>
      </w:pPr>
      <w:r>
        <w:rPr>
          <w:rFonts w:ascii="宋体" w:cs="宋体" w:eastAsia="宋体" w:hAnsi="宋体"/>
          <w:b w:val="false"/>
          <w:bCs w:val="false"/>
          <w:color w:val="666666"/>
          <w:sz w:val="21"/>
          <w:szCs w:val="21"/>
        </w:rPr>
        <w:t xml:space="preserve">说明：本文件为开题报告工作稿，不覆盖学校原始模板。当前项目已经有可运行候选版，但用户 UAT、V6 MySQL 复验、Docker Compose 复现和正式参考文献扩充仍属于后续工作。</w:t>
      </w:r>
    </w:p>
    <w:p>
      <w:pPr>
        <w:pStyle w:val="Heading1"/>
        <w:spacing w:after="120" w:before="260" w:line="300"/>
      </w:pPr>
      <w:r>
        <w:rPr>
          <w:rFonts w:ascii="黑体" w:cs="黑体" w:eastAsia="黑体" w:hAnsi="黑体"/>
          <w:b/>
          <w:bCs/>
          <w:sz w:val="28"/>
          <w:szCs w:val="28"/>
        </w:rPr>
        <w:t xml:space="preserve">一、选题背景、研究意义与问题分析</w:t>
      </w:r>
    </w:p>
    <w:p>
      <w:pPr>
        <w:pStyle w:val="Heading2"/>
        <w:spacing w:after="120" w:before="160" w:line="300"/>
      </w:pPr>
      <w:r>
        <w:rPr>
          <w:rFonts w:ascii="黑体" w:cs="黑体" w:eastAsia="黑体" w:hAnsi="黑体"/>
          <w:b/>
          <w:bCs/>
          <w:sz w:val="26"/>
          <w:szCs w:val="26"/>
        </w:rPr>
        <w:t xml:space="preserve">（一）选题背景</w:t>
      </w:r>
    </w:p>
    <w:p>
      <w:pPr>
        <w:spacing w:after="120" w:before="0" w:line="300"/>
        <w:ind w:firstLine="480"/>
        <w:jc w:val="both"/>
      </w:pPr>
      <w:r>
        <w:rPr>
          <w:rFonts w:ascii="宋体" w:cs="宋体" w:eastAsia="宋体" w:hAnsi="宋体"/>
          <w:b w:val="false"/>
          <w:bCs w:val="false"/>
          <w:sz w:val="24"/>
          <w:szCs w:val="24"/>
        </w:rPr>
        <w:t xml:space="preserve">制造业采购企业通常同时使用 ERP、供应商协同系统和库存管理系统，需求、库存、采购订单、到货和对账信息分散在不同数据源中。数据口径不一致、计划变更依赖人工传递、订单执行状态难以连续追踪，容易造成库存不足、延期到货和对账差异。</w:t>
      </w:r>
    </w:p>
    <w:p>
      <w:pPr>
        <w:spacing w:after="120" w:before="0" w:line="300"/>
        <w:ind w:firstLine="480"/>
        <w:jc w:val="both"/>
      </w:pPr>
      <w:r>
        <w:rPr>
          <w:rFonts w:ascii="宋体" w:cs="宋体" w:eastAsia="宋体" w:hAnsi="宋体"/>
          <w:b w:val="false"/>
          <w:bCs w:val="false"/>
          <w:sz w:val="24"/>
          <w:szCs w:val="24"/>
        </w:rPr>
        <w:t xml:space="preserve">近年来，供应链数智化逐渐从单一业务系统建设转向跨环节协同和数据驱动决策。需求预测可以为采购计划提供量化依据，自然语言处理可以帮助识别采购变更意图，大语言模型也可以辅助解释异常和生成协同建议。但供应链和财务数据具有敏感性，直接依赖外部云端模型会带来数据外发、权限边界和结果不可控等风险。</w:t>
      </w:r>
    </w:p>
    <w:p>
      <w:pPr>
        <w:spacing w:after="120" w:before="0" w:line="300"/>
        <w:ind w:firstLine="480"/>
        <w:jc w:val="both"/>
      </w:pPr>
      <w:r>
        <w:rPr>
          <w:rFonts w:ascii="宋体" w:cs="宋体" w:eastAsia="宋体" w:hAnsi="宋体"/>
          <w:b w:val="false"/>
          <w:bCs w:val="false"/>
          <w:sz w:val="24"/>
          <w:szCs w:val="24"/>
        </w:rPr>
        <w:t xml:space="preserve">本课题以企业采购供应链为对象，建设一个可在本地运行的 B/S 数智化协同平台，将多源数据导入、需求预测、采购协同、履约跟踪、收货入库、对账、异常预警和受控 AI 能力组织为可追溯闭环。</w:t>
      </w:r>
    </w:p>
    <w:p>
      <w:pPr>
        <w:pStyle w:val="Heading2"/>
        <w:spacing w:after="120" w:before="160" w:line="300"/>
      </w:pPr>
      <w:r>
        <w:rPr>
          <w:rFonts w:ascii="黑体" w:cs="黑体" w:eastAsia="黑体" w:hAnsi="黑体"/>
          <w:b/>
          <w:bCs/>
          <w:sz w:val="26"/>
          <w:szCs w:val="26"/>
        </w:rPr>
        <w:t xml:space="preserve">（二）研究意义</w:t>
      </w:r>
    </w:p>
    <w:p>
      <w:pPr>
        <w:spacing w:after="120" w:before="0" w:line="300"/>
        <w:ind w:firstLine="480"/>
        <w:jc w:val="both"/>
      </w:pPr>
      <w:r>
        <w:rPr>
          <w:rFonts w:ascii="宋体" w:cs="宋体" w:eastAsia="宋体" w:hAnsi="宋体"/>
          <w:b w:val="false"/>
          <w:bCs w:val="false"/>
          <w:sz w:val="24"/>
          <w:szCs w:val="24"/>
        </w:rPr>
        <w:t xml:space="preserve">实践意义：为采购企业提供从需求、计划、订单到收货和对账的统一操作入口，降低跨系统复制和人工追踪成本，并通过批次、审计和履约时间线保留业务证据。</w:t>
      </w:r>
    </w:p>
    <w:p>
      <w:pPr>
        <w:spacing w:after="120" w:before="0" w:line="300"/>
        <w:ind w:firstLine="480"/>
        <w:jc w:val="both"/>
      </w:pPr>
      <w:r>
        <w:rPr>
          <w:rFonts w:ascii="宋体" w:cs="宋体" w:eastAsia="宋体" w:hAnsi="宋体"/>
          <w:b w:val="false"/>
          <w:bCs w:val="false"/>
          <w:sz w:val="24"/>
          <w:szCs w:val="24"/>
        </w:rPr>
        <w:t xml:space="preserve">工程意义：验证 Vue 3 前端、Spring Boot 模块化单体、独立 FastAPI 智能服务和关系数据库的协同方式，在不引入不必要微服务的前提下兼顾业务事务、算法实验和本地部署。</w:t>
      </w:r>
    </w:p>
    <w:p>
      <w:pPr>
        <w:spacing w:after="120" w:before="0" w:line="300"/>
        <w:ind w:firstLine="480"/>
        <w:jc w:val="both"/>
      </w:pPr>
      <w:r>
        <w:rPr>
          <w:rFonts w:ascii="宋体" w:cs="宋体" w:eastAsia="宋体" w:hAnsi="宋体"/>
          <w:b w:val="false"/>
          <w:bCs w:val="false"/>
          <w:sz w:val="24"/>
          <w:szCs w:val="24"/>
        </w:rPr>
        <w:t xml:space="preserve">研究意义：研究确定性业务规则、时间序列预测和本地大语言模型之间的边界，将模型限制在结构化解析、风险排序和解释辅助范围，并通过人工确认、规则校验和审计记录提高系统可解释性与可复现性。</w:t>
      </w:r>
    </w:p>
    <w:p>
      <w:pPr>
        <w:pStyle w:val="Heading2"/>
        <w:spacing w:after="120" w:before="160" w:line="300"/>
      </w:pPr>
      <w:r>
        <w:rPr>
          <w:rFonts w:ascii="黑体" w:cs="黑体" w:eastAsia="黑体" w:hAnsi="黑体"/>
          <w:b/>
          <w:bCs/>
          <w:sz w:val="26"/>
          <w:szCs w:val="26"/>
        </w:rPr>
        <w:t xml:space="preserve">（三）国内外研究现状（初步）</w:t>
      </w:r>
    </w:p>
    <w:p>
      <w:pPr>
        <w:spacing w:after="120" w:before="0" w:line="300"/>
        <w:ind w:firstLine="480"/>
        <w:jc w:val="both"/>
      </w:pPr>
      <w:r>
        <w:rPr>
          <w:rFonts w:ascii="宋体" w:cs="宋体" w:eastAsia="宋体" w:hAnsi="宋体"/>
          <w:b w:val="false"/>
          <w:bCs w:val="false"/>
          <w:sz w:val="24"/>
          <w:szCs w:val="24"/>
        </w:rPr>
        <w:t xml:space="preserve">供应链管理研究强调需求、库存、采购、交付和供应商之间的协同优化；数据分析和预测方法可以改善计划制定，但实际应用仍依赖统一的数据模型和稳定的业务流程。</w:t>
      </w:r>
    </w:p>
    <w:p>
      <w:pPr>
        <w:spacing w:after="120" w:before="0" w:line="300"/>
        <w:ind w:firstLine="480"/>
        <w:jc w:val="both"/>
      </w:pPr>
      <w:r>
        <w:rPr>
          <w:rFonts w:ascii="宋体" w:cs="宋体" w:eastAsia="宋体" w:hAnsi="宋体"/>
          <w:b w:val="false"/>
          <w:bCs w:val="false"/>
          <w:sz w:val="24"/>
          <w:szCs w:val="24"/>
        </w:rPr>
        <w:t xml:space="preserve">自然语言处理和 Transformer 类模型为采购变更、到货通知等非结构化文本的意图识别和实体抽取提供了新的实现路径。对于企业系统而言，模型输出还必须经过结构校验、业务事实校验和人工确认，不能直接绕过权限和状态机修改单据。</w:t>
      </w:r>
    </w:p>
    <w:p>
      <w:pPr>
        <w:spacing w:after="120" w:before="0" w:line="300"/>
        <w:ind w:firstLine="480"/>
        <w:jc w:val="both"/>
      </w:pPr>
      <w:r>
        <w:rPr>
          <w:rFonts w:ascii="宋体" w:cs="宋体" w:eastAsia="宋体" w:hAnsi="宋体"/>
          <w:b w:val="false"/>
          <w:bCs w:val="false"/>
          <w:sz w:val="24"/>
          <w:szCs w:val="24"/>
        </w:rPr>
        <w:t xml:space="preserve">现有企业平台常见问题是业务模块能够独立 CRUD，但预测、协同、执行、对账和复盘之间缺少连续证据链。本课题的研究重点不是堆叠模型数量，而是把数据融合、预测建议、协同执行和审计复盘放在同一闭环中，并在本地部署条件下验证安全边界。</w:t>
      </w:r>
    </w:p>
    <w:p>
      <w:pPr>
        <w:spacing w:after="120" w:before="0" w:line="300"/>
        <w:ind w:firstLine="480"/>
        <w:jc w:val="both"/>
      </w:pPr>
      <w:r>
        <w:rPr>
          <w:rFonts w:ascii="宋体" w:cs="宋体" w:eastAsia="宋体" w:hAnsi="宋体"/>
          <w:b w:val="false"/>
          <w:bCs w:val="false"/>
          <w:sz w:val="24"/>
          <w:szCs w:val="24"/>
        </w:rPr>
        <w:t xml:space="preserve">目前已完成可运行候选版的主要工程基础：Vue 3 前端、Spring Boot 业务服务、FastAPI 智能服务、Flyway 迁移、H2/MySQL 适配、本地 Qwen2.5-1.5B 推理、14 日预测、采购情景推演、角色待办、经营分析和订单履约时间线均已有实现或运行证据。正式开题后的重点是完成用户 UAT、V6 数据库复验、Compose 复现、扩大实验集并按学校格式整理材料。</w:t>
      </w:r>
    </w:p>
    <w:p>
      <w:pPr>
        <w:pStyle w:val="Heading2"/>
        <w:spacing w:after="120" w:before="160" w:line="300"/>
      </w:pPr>
      <w:r>
        <w:rPr>
          <w:rFonts w:ascii="黑体" w:cs="黑体" w:eastAsia="黑体" w:hAnsi="黑体"/>
          <w:b/>
          <w:bCs/>
          <w:sz w:val="26"/>
          <w:szCs w:val="26"/>
        </w:rPr>
        <w:t xml:space="preserve">（四）拟解决的主要问题</w:t>
      </w:r>
    </w:p>
    <w:p>
      <w:pPr>
        <w:spacing w:after="120" w:before="0" w:line="300"/>
        <w:jc w:val="both"/>
      </w:pPr>
      <w:r>
        <w:rPr>
          <w:rFonts w:ascii="宋体" w:cs="宋体" w:eastAsia="宋体" w:hAnsi="宋体"/>
          <w:b w:val="false"/>
          <w:bCs w:val="false"/>
          <w:sz w:val="24"/>
          <w:szCs w:val="24"/>
        </w:rPr>
        <w:t xml:space="preserve">1. 多源供应链数据字段、编码、时间和来源不统一，难以直接支撑预测与业务联动。</w:t>
      </w:r>
    </w:p>
    <w:p>
      <w:pPr>
        <w:spacing w:after="120" w:before="0" w:line="300"/>
        <w:jc w:val="both"/>
      </w:pPr>
      <w:r>
        <w:rPr>
          <w:rFonts w:ascii="宋体" w:cs="宋体" w:eastAsia="宋体" w:hAnsi="宋体"/>
          <w:b w:val="false"/>
          <w:bCs w:val="false"/>
          <w:sz w:val="24"/>
          <w:szCs w:val="24"/>
        </w:rPr>
        <w:t xml:space="preserve">2. 采购需求、采购计划、订单、到货、入库和对账往往分散在不同页面，异常发生后缺少完整的责任和证据链。</w:t>
      </w:r>
    </w:p>
    <w:p>
      <w:pPr>
        <w:spacing w:after="120" w:before="0" w:line="300"/>
        <w:jc w:val="both"/>
      </w:pPr>
      <w:r>
        <w:rPr>
          <w:rFonts w:ascii="宋体" w:cs="宋体" w:eastAsia="宋体" w:hAnsi="宋体"/>
          <w:b w:val="false"/>
          <w:bCs w:val="false"/>
          <w:sz w:val="24"/>
          <w:szCs w:val="24"/>
        </w:rPr>
        <w:t xml:space="preserve">3. 自然语言需求和计划变更包含物料、数量、日期、供应商和原因等实体，人工录入效率低；模型直接写入业务又存在幻觉、越权和不可审计风险。</w:t>
      </w:r>
    </w:p>
    <w:p>
      <w:pPr>
        <w:spacing w:after="120" w:before="0" w:line="300"/>
        <w:jc w:val="both"/>
      </w:pPr>
      <w:r>
        <w:rPr>
          <w:rFonts w:ascii="宋体" w:cs="宋体" w:eastAsia="宋体" w:hAnsi="宋体"/>
          <w:b w:val="false"/>
          <w:bCs w:val="false"/>
          <w:sz w:val="24"/>
          <w:szCs w:val="24"/>
        </w:rPr>
        <w:t xml:space="preserve">4. 供应链和财务数据不能默认发送到外部 API，需要设计本地模型、规则降级和数据最小化传递机制。</w:t>
      </w:r>
    </w:p>
    <w:p>
      <w:pPr>
        <w:spacing w:after="120" w:before="0" w:line="300"/>
        <w:jc w:val="both"/>
      </w:pPr>
      <w:r>
        <w:rPr>
          <w:rFonts w:ascii="宋体" w:cs="宋体" w:eastAsia="宋体" w:hAnsi="宋体"/>
          <w:b w:val="false"/>
          <w:bCs w:val="false"/>
          <w:sz w:val="24"/>
          <w:szCs w:val="24"/>
        </w:rPr>
        <w:t xml:space="preserve">5. 系统不仅要展示功能，还要能通过接口测试、浏览器验证、数据库验收和操作日志说明功能确实生效。</w:t>
      </w:r>
    </w:p>
    <w:p>
      <w:pPr>
        <w:pStyle w:val="Heading1"/>
        <w:spacing w:after="120" w:before="260" w:line="300"/>
      </w:pPr>
      <w:r>
        <w:rPr>
          <w:rFonts w:ascii="黑体" w:cs="黑体" w:eastAsia="黑体" w:hAnsi="黑体"/>
          <w:b/>
          <w:bCs/>
          <w:sz w:val="28"/>
          <w:szCs w:val="28"/>
        </w:rPr>
        <w:t xml:space="preserve">二、研究内容</w:t>
      </w:r>
    </w:p>
    <w:p>
      <w:pPr>
        <w:spacing w:after="60" w:before="80" w:line="300"/>
        <w:ind w:firstLine="480"/>
      </w:pPr>
      <w:r>
        <w:rPr>
          <w:rFonts w:ascii="宋体" w:cs="宋体" w:eastAsia="宋体" w:hAnsi="宋体"/>
          <w:b/>
          <w:bCs/>
          <w:sz w:val="24"/>
          <w:szCs w:val="24"/>
        </w:rPr>
        <w:t xml:space="preserve">多源数据导入与统一模型：</w:t>
      </w:r>
      <w:r>
        <w:rPr>
          <w:rFonts w:ascii="宋体" w:cs="宋体" w:eastAsia="宋体" w:hAnsi="宋体"/>
          <w:b w:val="false"/>
          <w:bCs w:val="false"/>
          <w:sz w:val="24"/>
          <w:szCs w:val="24"/>
        </w:rPr>
        <w:t xml:space="preserve">支持供应商、物料、库存和需求历史等 CSV 数据的文件选择、预览、字段校验、提交、错误明细和批次追踪，并保留来源系统字段，模拟 ERP、SRM 与库存系统的数据接入。</w:t>
      </w:r>
    </w:p>
    <w:p>
      <w:pPr>
        <w:spacing w:after="60" w:before="80" w:line="300"/>
        <w:ind w:firstLine="480"/>
      </w:pPr>
      <w:r>
        <w:rPr>
          <w:rFonts w:ascii="宋体" w:cs="宋体" w:eastAsia="宋体" w:hAnsi="宋体"/>
          <w:b/>
          <w:bCs/>
          <w:sz w:val="24"/>
          <w:szCs w:val="24"/>
        </w:rPr>
        <w:t xml:space="preserve">需求预测与采购情景推演：</w:t>
      </w:r>
      <w:r>
        <w:rPr>
          <w:rFonts w:ascii="宋体" w:cs="宋体" w:eastAsia="宋体" w:hAnsi="宋体"/>
          <w:b w:val="false"/>
          <w:bCs w:val="false"/>
          <w:sz w:val="24"/>
          <w:szCs w:val="24"/>
        </w:rPr>
        <w:t xml:space="preserve">基于历史需求和库存事实形成 14 日预测；以移动平均作为可解释基线，在数据条件满足时选择 XGBoost；对需求波动、供应延迟、安全库存、合格率和价格变化进行情景模拟，模拟结果经确认后才生成采购需求。</w:t>
      </w:r>
    </w:p>
    <w:p>
      <w:pPr>
        <w:spacing w:after="60" w:before="80" w:line="300"/>
        <w:ind w:firstLine="480"/>
      </w:pPr>
      <w:r>
        <w:rPr>
          <w:rFonts w:ascii="宋体" w:cs="宋体" w:eastAsia="宋体" w:hAnsi="宋体"/>
          <w:b/>
          <w:bCs/>
          <w:sz w:val="24"/>
          <w:szCs w:val="24"/>
        </w:rPr>
        <w:t xml:space="preserve">采购协同业务闭环：</w:t>
      </w:r>
      <w:r>
        <w:rPr>
          <w:rFonts w:ascii="宋体" w:cs="宋体" w:eastAsia="宋体" w:hAnsi="宋体"/>
          <w:b w:val="false"/>
          <w:bCs w:val="false"/>
          <w:sz w:val="24"/>
          <w:szCs w:val="24"/>
        </w:rPr>
        <w:t xml:space="preserve">实现采购需求、采购计划、采购订单、供应商确认、发货/到货预通知、分批收货、验收、入库和对账等业务状态流转，明确角色边界、幂等约束和异常状态。</w:t>
      </w:r>
    </w:p>
    <w:p>
      <w:pPr>
        <w:spacing w:after="60" w:before="80" w:line="300"/>
        <w:ind w:firstLine="480"/>
      </w:pPr>
      <w:r>
        <w:rPr>
          <w:rFonts w:ascii="宋体" w:cs="宋体" w:eastAsia="宋体" w:hAnsi="宋体"/>
          <w:b/>
          <w:bCs/>
          <w:sz w:val="24"/>
          <w:szCs w:val="24"/>
        </w:rPr>
        <w:t xml:space="preserve">供应链监测与异常预警：</w:t>
      </w:r>
      <w:r>
        <w:rPr>
          <w:rFonts w:ascii="宋体" w:cs="宋体" w:eastAsia="宋体" w:hAnsi="宋体"/>
          <w:b w:val="false"/>
          <w:bCs w:val="false"/>
          <w:sz w:val="24"/>
          <w:szCs w:val="24"/>
        </w:rPr>
        <w:t xml:space="preserve">根据库存安全线、订单延期、供应商交期、到货数量、验收和对账差异生成预警，并通过待办中心、经营分析报告和订单履约时间线提供处置入口与复盘证据。</w:t>
      </w:r>
    </w:p>
    <w:p>
      <w:pPr>
        <w:spacing w:after="60" w:before="80" w:line="300"/>
        <w:ind w:firstLine="480"/>
      </w:pPr>
      <w:r>
        <w:rPr>
          <w:rFonts w:ascii="宋体" w:cs="宋体" w:eastAsia="宋体" w:hAnsi="宋体"/>
          <w:b/>
          <w:bCs/>
          <w:sz w:val="24"/>
          <w:szCs w:val="24"/>
        </w:rPr>
        <w:t xml:space="preserve">本地 AI 解析与辅助分析：</w:t>
      </w:r>
      <w:r>
        <w:rPr>
          <w:rFonts w:ascii="宋体" w:cs="宋体" w:eastAsia="宋体" w:hAnsi="宋体"/>
          <w:b w:val="false"/>
          <w:bCs w:val="false"/>
          <w:sz w:val="24"/>
          <w:szCs w:val="24"/>
        </w:rPr>
        <w:t xml:space="preserve">仅开放采购需求、计划变更和到货通知等白名单意图；由本地 Qwen2.5-1.5B 按固定 Schema 解析文本，系统再次执行字段、权限、状态和数据库事实校验；模型不可用时显式降级到规则结果。</w:t>
      </w:r>
    </w:p>
    <w:p>
      <w:pPr>
        <w:spacing w:after="60" w:before="80" w:line="300"/>
        <w:ind w:firstLine="480"/>
      </w:pPr>
      <w:r>
        <w:rPr>
          <w:rFonts w:ascii="宋体" w:cs="宋体" w:eastAsia="宋体" w:hAnsi="宋体"/>
          <w:b/>
          <w:bCs/>
          <w:sz w:val="24"/>
          <w:szCs w:val="24"/>
        </w:rPr>
        <w:t xml:space="preserve">权限、安全与审计：</w:t>
      </w:r>
      <w:r>
        <w:rPr>
          <w:rFonts w:ascii="宋体" w:cs="宋体" w:eastAsia="宋体" w:hAnsi="宋体"/>
          <w:b w:val="false"/>
          <w:bCs w:val="false"/>
          <w:sz w:val="24"/>
          <w:szCs w:val="24"/>
        </w:rPr>
        <w:t xml:space="preserve">采用 JWT 登录、四类角色权限、供应商数据隔离、账号停用后旧令牌失效、操作日志和 AI 分析快照，确保 FastAPI 不直接访问业务数据库，业务写入统一由 Spring Boot 完成。</w:t>
      </w:r>
    </w:p>
    <w:p>
      <w:pPr>
        <w:spacing w:after="60" w:before="80" w:line="300"/>
        <w:ind w:firstLine="480"/>
      </w:pPr>
      <w:r>
        <w:rPr>
          <w:rFonts w:ascii="宋体" w:cs="宋体" w:eastAsia="宋体" w:hAnsi="宋体"/>
          <w:b/>
          <w:bCs/>
          <w:sz w:val="24"/>
          <w:szCs w:val="24"/>
        </w:rPr>
        <w:t xml:space="preserve">测试与证据归档：</w:t>
      </w:r>
      <w:r>
        <w:rPr>
          <w:rFonts w:ascii="宋体" w:cs="宋体" w:eastAsia="宋体" w:hAnsi="宋体"/>
          <w:b w:val="false"/>
          <w:bCs w:val="false"/>
          <w:sz w:val="24"/>
          <w:szCs w:val="24"/>
        </w:rPr>
        <w:t xml:space="preserve">建立需求—接口—数据表—测试—截图—论文小节的追踪关系，执行后端、AI、前端构建、运行健康、MySQL 和浏览器验证，并保留失败、降级和待复验记录。</w:t>
      </w:r>
    </w:p>
    <w:p>
      <w:pPr>
        <w:pStyle w:val="Heading1"/>
        <w:spacing w:after="120" w:before="260" w:line="300"/>
      </w:pPr>
      <w:r>
        <w:rPr>
          <w:rFonts w:ascii="黑体" w:cs="黑体" w:eastAsia="黑体" w:hAnsi="黑体"/>
          <w:b/>
          <w:bCs/>
          <w:sz w:val="28"/>
          <w:szCs w:val="28"/>
        </w:rPr>
        <w:t xml:space="preserve">三、研究方法与技术路线</w:t>
      </w:r>
    </w:p>
    <w:p>
      <w:pPr>
        <w:spacing w:after="60" w:before="80" w:line="300"/>
        <w:ind w:firstLine="480"/>
      </w:pPr>
      <w:r>
        <w:rPr>
          <w:rFonts w:ascii="宋体" w:cs="宋体" w:eastAsia="宋体" w:hAnsi="宋体"/>
          <w:b/>
          <w:bCs/>
          <w:sz w:val="24"/>
          <w:szCs w:val="24"/>
        </w:rPr>
        <w:t xml:space="preserve">文献研究法：</w:t>
      </w:r>
      <w:r>
        <w:rPr>
          <w:rFonts w:ascii="宋体" w:cs="宋体" w:eastAsia="宋体" w:hAnsi="宋体"/>
          <w:b w:val="false"/>
          <w:bCs w:val="false"/>
          <w:sz w:val="24"/>
          <w:szCs w:val="24"/>
        </w:rPr>
        <w:t xml:space="preserve">围绕供应链协同、需求预测、自然语言处理、企业信息系统和软件工程质量开展文献检索，形成研究现状和技术选型依据。</w:t>
      </w:r>
    </w:p>
    <w:p>
      <w:pPr>
        <w:spacing w:after="60" w:before="80" w:line="300"/>
        <w:ind w:firstLine="480"/>
      </w:pPr>
      <w:r>
        <w:rPr>
          <w:rFonts w:ascii="宋体" w:cs="宋体" w:eastAsia="宋体" w:hAnsi="宋体"/>
          <w:b/>
          <w:bCs/>
          <w:sz w:val="24"/>
          <w:szCs w:val="24"/>
        </w:rPr>
        <w:t xml:space="preserve">需求分析法：</w:t>
      </w:r>
      <w:r>
        <w:rPr>
          <w:rFonts w:ascii="宋体" w:cs="宋体" w:eastAsia="宋体" w:hAnsi="宋体"/>
          <w:b w:val="false"/>
          <w:bCs w:val="false"/>
          <w:sz w:val="24"/>
          <w:szCs w:val="24"/>
        </w:rPr>
        <w:t xml:space="preserve">从采购企业、采购人员、管理者、供应商和管理员等角色出发，提炼业务用例、状态机、权限约束、非功能需求和数据安全边界。</w:t>
      </w:r>
    </w:p>
    <w:p>
      <w:pPr>
        <w:spacing w:after="60" w:before="80" w:line="300"/>
        <w:ind w:firstLine="480"/>
      </w:pPr>
      <w:r>
        <w:rPr>
          <w:rFonts w:ascii="宋体" w:cs="宋体" w:eastAsia="宋体" w:hAnsi="宋体"/>
          <w:b/>
          <w:bCs/>
          <w:sz w:val="24"/>
          <w:szCs w:val="24"/>
        </w:rPr>
        <w:t xml:space="preserve">系统设计与迭代开发法：</w:t>
      </w:r>
      <w:r>
        <w:rPr>
          <w:rFonts w:ascii="宋体" w:cs="宋体" w:eastAsia="宋体" w:hAnsi="宋体"/>
          <w:b w:val="false"/>
          <w:bCs w:val="false"/>
          <w:sz w:val="24"/>
          <w:szCs w:val="24"/>
        </w:rPr>
        <w:t xml:space="preserve">采用 B/S、前后端分离和模块化单体架构，Vue 负责交互，Spring Boot 负责业务事务和数据写入，FastAPI 负责无状态预测与智能解析，按可运行版本迭代。</w:t>
      </w:r>
    </w:p>
    <w:p>
      <w:pPr>
        <w:spacing w:after="60" w:before="80" w:line="300"/>
        <w:ind w:firstLine="480"/>
      </w:pPr>
      <w:r>
        <w:rPr>
          <w:rFonts w:ascii="宋体" w:cs="宋体" w:eastAsia="宋体" w:hAnsi="宋体"/>
          <w:b/>
          <w:bCs/>
          <w:sz w:val="24"/>
          <w:szCs w:val="24"/>
        </w:rPr>
        <w:t xml:space="preserve">混合智能方法：</w:t>
      </w:r>
      <w:r>
        <w:rPr>
          <w:rFonts w:ascii="宋体" w:cs="宋体" w:eastAsia="宋体" w:hAnsi="宋体"/>
          <w:b w:val="false"/>
          <w:bCs w:val="false"/>
          <w:sz w:val="24"/>
          <w:szCs w:val="24"/>
        </w:rPr>
        <w:t xml:space="preserve">用统计/机器学习模型完成数值预测，用规则完成安全库存、状态和风险判断，用本地大语言模型完成受限文本结构化与解释排序，输出必须经过校验和人工确认。</w:t>
      </w:r>
    </w:p>
    <w:p>
      <w:pPr>
        <w:spacing w:after="60" w:before="80" w:line="300"/>
        <w:ind w:firstLine="480"/>
      </w:pPr>
      <w:r>
        <w:rPr>
          <w:rFonts w:ascii="宋体" w:cs="宋体" w:eastAsia="宋体" w:hAnsi="宋体"/>
          <w:b/>
          <w:bCs/>
          <w:sz w:val="24"/>
          <w:szCs w:val="24"/>
        </w:rPr>
        <w:t xml:space="preserve">实验与验收法：</w:t>
      </w:r>
      <w:r>
        <w:rPr>
          <w:rFonts w:ascii="宋体" w:cs="宋体" w:eastAsia="宋体" w:hAnsi="宋体"/>
          <w:b w:val="false"/>
          <w:bCs w:val="false"/>
          <w:sz w:val="24"/>
          <w:szCs w:val="24"/>
        </w:rPr>
        <w:t xml:space="preserve">使用合成演示数据和可复现测试集，结合单元/集成测试、接口测试、浏览器场景测试、数据库一致性验收和用户 UAT，对准确性、可靠性、安全边界和可操作性进行评价。</w:t>
      </w:r>
    </w:p>
    <w:p>
      <w:pPr>
        <w:spacing w:after="120" w:before="120" w:line="300"/>
        <w:ind w:firstLine="480"/>
        <w:jc w:val="both"/>
      </w:pPr>
      <w:r>
        <w:rPr>
          <w:rFonts w:ascii="宋体" w:cs="宋体" w:eastAsia="宋体" w:hAnsi="宋体"/>
          <w:b w:val="false"/>
          <w:bCs w:val="false"/>
          <w:sz w:val="24"/>
          <w:szCs w:val="24"/>
        </w:rPr>
        <w:t xml:space="preserve">技术路线：多源数据导入与标准化 → 需求预测与情景推演 → 采购需求与计划 → 订单协同与履约 → 收货入库与对账 → 异常预警与经营分析 → 本地 AI 解析/解释 → 测试、审计和复盘。</w:t>
      </w:r>
    </w:p>
    <w:p>
      <w:pPr>
        <w:pStyle w:val="Heading1"/>
        <w:spacing w:after="120" w:before="260" w:line="300"/>
      </w:pPr>
      <w:r>
        <w:rPr>
          <w:rFonts w:ascii="黑体" w:cs="黑体" w:eastAsia="黑体" w:hAnsi="黑体"/>
          <w:b/>
          <w:bCs/>
          <w:sz w:val="28"/>
          <w:szCs w:val="28"/>
        </w:rPr>
        <w:t xml:space="preserve">四、预期结果与拟解决的关键工程问题</w:t>
      </w:r>
    </w:p>
    <w:p>
      <w:pPr>
        <w:spacing w:after="120" w:before="0" w:line="300"/>
        <w:jc w:val="both"/>
      </w:pPr>
      <w:r>
        <w:rPr>
          <w:rFonts w:ascii="宋体" w:cs="宋体" w:eastAsia="宋体" w:hAnsi="宋体"/>
          <w:b w:val="false"/>
          <w:bCs w:val="false"/>
          <w:sz w:val="24"/>
          <w:szCs w:val="24"/>
        </w:rPr>
        <w:t xml:space="preserve">1. 形成可在 D 盘本地运行的企业供应链数智化协同平台候选版本，完成前端、业务后端、智能服务、数据库迁移和运行说明。</w:t>
      </w:r>
    </w:p>
    <w:p>
      <w:pPr>
        <w:spacing w:after="120" w:before="0" w:line="300"/>
        <w:jc w:val="both"/>
      </w:pPr>
      <w:r>
        <w:rPr>
          <w:rFonts w:ascii="宋体" w:cs="宋体" w:eastAsia="宋体" w:hAnsi="宋体"/>
          <w:b w:val="false"/>
          <w:bCs w:val="false"/>
          <w:sz w:val="24"/>
          <w:szCs w:val="24"/>
        </w:rPr>
        <w:t xml:space="preserve">2. 形成“需求预测—采购需求—计划—订单—供应商确认—到货—验收—入库—对账—异常复盘”的可演示闭环，并支持角色权限和供应商数据隔离。</w:t>
      </w:r>
    </w:p>
    <w:p>
      <w:pPr>
        <w:spacing w:after="120" w:before="0" w:line="300"/>
        <w:jc w:val="both"/>
      </w:pPr>
      <w:r>
        <w:rPr>
          <w:rFonts w:ascii="宋体" w:cs="宋体" w:eastAsia="宋体" w:hAnsi="宋体"/>
          <w:b w:val="false"/>
          <w:bCs w:val="false"/>
          <w:sz w:val="24"/>
          <w:szCs w:val="24"/>
        </w:rPr>
        <w:t xml:space="preserve">3. 形成多源 CSV 导入、14 日预测、采购情景推演、异常预警、角色待办、经营分析、订单履约证据链和本地 AI 解析等功能的实现与测试记录。</w:t>
      </w:r>
    </w:p>
    <w:p>
      <w:pPr>
        <w:spacing w:after="120" w:before="0" w:line="300"/>
        <w:jc w:val="both"/>
      </w:pPr>
      <w:r>
        <w:rPr>
          <w:rFonts w:ascii="宋体" w:cs="宋体" w:eastAsia="宋体" w:hAnsi="宋体"/>
          <w:b w:val="false"/>
          <w:bCs w:val="false"/>
          <w:sz w:val="24"/>
          <w:szCs w:val="24"/>
        </w:rPr>
        <w:t xml:space="preserve">4. 形成需求规格说明书、功能列表、开发设计说明书、测试用例与测试报告、用户使用手册、实训报告、论文初稿和答辩演示所需的事实材料。</w:t>
      </w:r>
    </w:p>
    <w:p>
      <w:pPr>
        <w:spacing w:after="120" w:before="0" w:line="300"/>
        <w:jc w:val="both"/>
      </w:pPr>
      <w:r>
        <w:rPr>
          <w:rFonts w:ascii="宋体" w:cs="宋体" w:eastAsia="宋体" w:hAnsi="宋体"/>
          <w:b w:val="false"/>
          <w:bCs w:val="false"/>
          <w:sz w:val="24"/>
          <w:szCs w:val="24"/>
        </w:rPr>
        <w:t xml:space="preserve">5. 完成用户 UAT、V6 MySQL 复验、Docker Compose 复现和更大 Ground Truth 集评测后，再冻结 V1.0 结论，不把当前候选版描述为生产系统。</w:t>
      </w:r>
    </w:p>
    <w:p>
      <w:pPr>
        <w:pStyle w:val="Heading1"/>
        <w:spacing w:after="120" w:before="260" w:line="300"/>
      </w:pPr>
      <w:r>
        <w:rPr>
          <w:rFonts w:ascii="黑体" w:cs="黑体" w:eastAsia="黑体" w:hAnsi="黑体"/>
          <w:b/>
          <w:bCs/>
          <w:sz w:val="28"/>
          <w:szCs w:val="28"/>
        </w:rPr>
        <w:t xml:space="preserve">五、拟形成的工程创新点</w:t>
      </w:r>
    </w:p>
    <w:p>
      <w:pPr>
        <w:spacing w:after="60" w:before="80" w:line="300"/>
        <w:ind w:firstLine="480"/>
      </w:pPr>
      <w:r>
        <w:rPr>
          <w:rFonts w:ascii="宋体" w:cs="宋体" w:eastAsia="宋体" w:hAnsi="宋体"/>
          <w:b/>
          <w:bCs/>
          <w:sz w:val="24"/>
          <w:szCs w:val="24"/>
        </w:rPr>
        <w:t xml:space="preserve">可追溯的供应链闭环：</w:t>
      </w:r>
      <w:r>
        <w:rPr>
          <w:rFonts w:ascii="宋体" w:cs="宋体" w:eastAsia="宋体" w:hAnsi="宋体"/>
          <w:b w:val="false"/>
          <w:bCs w:val="false"/>
          <w:sz w:val="24"/>
          <w:szCs w:val="24"/>
        </w:rPr>
        <w:t xml:space="preserve">将数据导入批次、预测建议、采购单据、收货/入库、对账、预警、待办和操作日志串成同一条可核验履约证据链，减少“页面完成但无法复盘”的问题。</w:t>
      </w:r>
    </w:p>
    <w:p>
      <w:pPr>
        <w:spacing w:after="60" w:before="80" w:line="300"/>
        <w:ind w:firstLine="480"/>
      </w:pPr>
      <w:r>
        <w:rPr>
          <w:rFonts w:ascii="宋体" w:cs="宋体" w:eastAsia="宋体" w:hAnsi="宋体"/>
          <w:b/>
          <w:bCs/>
          <w:sz w:val="24"/>
          <w:szCs w:val="24"/>
        </w:rPr>
        <w:t xml:space="preserve">受控的本地 AI 边界：</w:t>
      </w:r>
      <w:r>
        <w:rPr>
          <w:rFonts w:ascii="宋体" w:cs="宋体" w:eastAsia="宋体" w:hAnsi="宋体"/>
          <w:b w:val="false"/>
          <w:bCs w:val="false"/>
          <w:sz w:val="24"/>
          <w:szCs w:val="24"/>
        </w:rPr>
        <w:t xml:space="preserve">将大语言模型限制在白名单意图解析、风险排序和解释辅助；精确金额、数量、状态和业务动作由确定性规则与事务服务负责，模型不可用时有明确规则降级。</w:t>
      </w:r>
    </w:p>
    <w:p>
      <w:pPr>
        <w:spacing w:after="60" w:before="80" w:line="300"/>
        <w:ind w:firstLine="480"/>
      </w:pPr>
      <w:r>
        <w:rPr>
          <w:rFonts w:ascii="宋体" w:cs="宋体" w:eastAsia="宋体" w:hAnsi="宋体"/>
          <w:b/>
          <w:bCs/>
          <w:sz w:val="24"/>
          <w:szCs w:val="24"/>
        </w:rPr>
        <w:t xml:space="preserve">人在回路的可审计确认：</w:t>
      </w:r>
      <w:r>
        <w:rPr>
          <w:rFonts w:ascii="宋体" w:cs="宋体" w:eastAsia="宋体" w:hAnsi="宋体"/>
          <w:b w:val="false"/>
          <w:bCs w:val="false"/>
          <w:sz w:val="24"/>
          <w:szCs w:val="24"/>
        </w:rPr>
        <w:t xml:space="preserve">AI 结果先展示原文、结构化字段、来源和校验信息，再由用户确认落库；保存 provider、model、prompt、原始输出、规范化结果、回退原因和数据指纹，便于审计和论文实验复现。</w:t>
      </w:r>
    </w:p>
    <w:p>
      <w:pPr>
        <w:spacing w:after="60" w:before="80" w:line="300"/>
        <w:ind w:firstLine="480"/>
      </w:pPr>
      <w:r>
        <w:rPr>
          <w:rFonts w:ascii="宋体" w:cs="宋体" w:eastAsia="宋体" w:hAnsi="宋体"/>
          <w:b/>
          <w:bCs/>
          <w:sz w:val="24"/>
          <w:szCs w:val="24"/>
        </w:rPr>
        <w:t xml:space="preserve">面向敏感数据的便携部署：</w:t>
      </w:r>
      <w:r>
        <w:rPr>
          <w:rFonts w:ascii="宋体" w:cs="宋体" w:eastAsia="宋体" w:hAnsi="宋体"/>
          <w:b w:val="false"/>
          <w:bCs w:val="false"/>
          <w:sz w:val="24"/>
          <w:szCs w:val="24"/>
        </w:rPr>
        <w:t xml:space="preserve">采用模块化单体加独立智能服务的轻量架构，模型、缓存和日志可全部放在本地 D 盘，默认禁止把供应链/财务文本发送到非本机地址，兼顾企业安全和毕业设计可演示性。</w:t>
      </w:r>
    </w:p>
    <w:p>
      <w:pPr>
        <w:pStyle w:val="Heading1"/>
        <w:spacing w:after="120" w:before="260" w:line="300"/>
      </w:pPr>
      <w:r>
        <w:rPr>
          <w:rFonts w:ascii="黑体" w:cs="黑体" w:eastAsia="黑体" w:hAnsi="黑体"/>
          <w:b/>
          <w:bCs/>
          <w:sz w:val="28"/>
          <w:szCs w:val="28"/>
        </w:rPr>
        <w:t xml:space="preserve">六、进度安排</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2906"/>
      </w:tblGrid>
      <w:tr>
        <w:tc>
          <w:tcPr>
            <w:tcW w:type="dxa" w:w="1500"/>
            <w:tcBorders>
              <w:top w:val="single" w:color="B7B7B7" w:sz="4"/>
              <w:left w:val="single" w:color="B7B7B7" w:sz="4"/>
              <w:bottom w:val="single" w:color="B7B7B7" w:sz="4"/>
              <w:right w:val="single" w:color="B7B7B7" w:sz="4"/>
            </w:tcBorders>
            <w:shd w:fill="EDEDED" w:val="clear"/>
            <w:tcMar>
              <w:top w:type="dxa" w:w="90"/>
              <w:left w:type="dxa" w:w="130"/>
              <w:bottom w:type="dxa" w:w="90"/>
              <w:right w:type="dxa" w:w="130"/>
            </w:tcMar>
          </w:tcPr>
          <w:p>
            <w:pPr>
              <w:spacing w:after="0" w:line="280"/>
              <w:jc w:val="left"/>
            </w:pPr>
            <w:r>
              <w:rPr>
                <w:rFonts w:ascii="宋体" w:cs="宋体" w:eastAsia="宋体" w:hAnsi="宋体"/>
                <w:b/>
                <w:bCs/>
                <w:sz w:val="22"/>
                <w:szCs w:val="22"/>
              </w:rPr>
              <w:t xml:space="preserve">时间</w:t>
            </w:r>
          </w:p>
        </w:tc>
        <w:tc>
          <w:tcPr>
            <w:tcW w:type="dxa" w:w="4100"/>
            <w:tcBorders>
              <w:top w:val="single" w:color="B7B7B7" w:sz="4"/>
              <w:left w:val="single" w:color="B7B7B7" w:sz="4"/>
              <w:bottom w:val="single" w:color="B7B7B7" w:sz="4"/>
              <w:right w:val="single" w:color="B7B7B7" w:sz="4"/>
            </w:tcBorders>
            <w:shd w:fill="EDEDED" w:val="clear"/>
            <w:tcMar>
              <w:top w:type="dxa" w:w="90"/>
              <w:left w:type="dxa" w:w="130"/>
              <w:bottom w:type="dxa" w:w="90"/>
              <w:right w:type="dxa" w:w="130"/>
            </w:tcMar>
          </w:tcPr>
          <w:p>
            <w:pPr>
              <w:spacing w:after="0" w:line="280"/>
              <w:jc w:val="left"/>
            </w:pPr>
            <w:r>
              <w:rPr>
                <w:rFonts w:ascii="宋体" w:cs="宋体" w:eastAsia="宋体" w:hAnsi="宋体"/>
                <w:b/>
                <w:bCs/>
                <w:sz w:val="22"/>
                <w:szCs w:val="22"/>
              </w:rPr>
              <w:t xml:space="preserve">主要工作</w:t>
            </w:r>
          </w:p>
        </w:tc>
        <w:tc>
          <w:tcPr>
            <w:tcW w:type="dxa" w:w="2906"/>
            <w:tcBorders>
              <w:top w:val="single" w:color="B7B7B7" w:sz="4"/>
              <w:left w:val="single" w:color="B7B7B7" w:sz="4"/>
              <w:bottom w:val="single" w:color="B7B7B7" w:sz="4"/>
              <w:right w:val="single" w:color="B7B7B7" w:sz="4"/>
            </w:tcBorders>
            <w:shd w:fill="EDEDED" w:val="clear"/>
            <w:tcMar>
              <w:top w:type="dxa" w:w="90"/>
              <w:left w:type="dxa" w:w="130"/>
              <w:bottom w:type="dxa" w:w="90"/>
              <w:right w:type="dxa" w:w="130"/>
            </w:tcMar>
          </w:tcPr>
          <w:p>
            <w:pPr>
              <w:spacing w:after="0" w:line="280"/>
              <w:jc w:val="left"/>
            </w:pPr>
            <w:r>
              <w:rPr>
                <w:rFonts w:ascii="宋体" w:cs="宋体" w:eastAsia="宋体" w:hAnsi="宋体"/>
                <w:b/>
                <w:bCs/>
                <w:sz w:val="22"/>
                <w:szCs w:val="22"/>
              </w:rPr>
              <w:t xml:space="preserve">阶段产出</w:t>
            </w:r>
          </w:p>
        </w:tc>
      </w:tr>
      <w:tr>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2026.09—2026.10</w:t>
            </w:r>
          </w:p>
        </w:tc>
        <w:tc>
          <w:tcPr>
            <w:tcW w:type="dxa" w:w="41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文献调研、需求梳理、开题报告、总体架构、数据库模型和数据导入设计</w:t>
            </w:r>
          </w:p>
        </w:tc>
        <w:tc>
          <w:tcPr>
            <w:tcW w:type="dxa" w:w="2906"/>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平台候选版已有基础；完成开题材料、研究问题确认和论文证据清单</w:t>
            </w:r>
          </w:p>
        </w:tc>
      </w:tr>
      <w:tr>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2026.10—2026.12</w:t>
            </w:r>
          </w:p>
        </w:tc>
        <w:tc>
          <w:tcPr>
            <w:tcW w:type="dxa" w:w="41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用户权限、供应商、物料、库存、采购需求、采购计划和采购订单模块完善</w:t>
            </w:r>
          </w:p>
        </w:tc>
        <w:tc>
          <w:tcPr>
            <w:tcW w:type="dxa" w:w="2906"/>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完成跨角色 UAT 第一轮，补齐状态边界和异常提示</w:t>
            </w:r>
          </w:p>
        </w:tc>
      </w:tr>
      <w:tr>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2026.12—2027.02</w:t>
            </w:r>
          </w:p>
        </w:tc>
        <w:tc>
          <w:tcPr>
            <w:tcW w:type="dxa" w:w="41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供应商协同、发货/到货预通知、收货验收、入库、对账、看板和异常预警完善</w:t>
            </w:r>
          </w:p>
        </w:tc>
        <w:tc>
          <w:tcPr>
            <w:tcW w:type="dxa" w:w="2906"/>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完成履约闭环、待办中心和时间线证据复核</w:t>
            </w:r>
          </w:p>
        </w:tc>
      </w:tr>
      <w:tr>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2027.02—2027.03</w:t>
            </w:r>
          </w:p>
        </w:tc>
        <w:tc>
          <w:tcPr>
            <w:tcW w:type="dxa" w:w="41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需求预测、计划变更解析、本地 AI、情景推演、经营分析和性能优化</w:t>
            </w:r>
          </w:p>
        </w:tc>
        <w:tc>
          <w:tcPr>
            <w:tcW w:type="dxa" w:w="2906"/>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扩大 Ground Truth，统计准确率、降级率和人工修改率</w:t>
            </w:r>
          </w:p>
        </w:tc>
      </w:tr>
      <w:tr>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2027.03—2027.04</w:t>
            </w:r>
          </w:p>
        </w:tc>
        <w:tc>
          <w:tcPr>
            <w:tcW w:type="dxa" w:w="41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系统测试、MySQL V6 复验、Compose 复现、用户 UAT、问题修复和论文初稿</w:t>
            </w:r>
          </w:p>
        </w:tc>
        <w:tc>
          <w:tcPr>
            <w:tcW w:type="dxa" w:w="2906"/>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冻结主要截图、测试报告和论文实验数据</w:t>
            </w:r>
          </w:p>
        </w:tc>
      </w:tr>
      <w:tr>
        <w:tc>
          <w:tcPr>
            <w:tcW w:type="dxa" w:w="15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2027.04—2027.05</w:t>
            </w:r>
          </w:p>
        </w:tc>
        <w:tc>
          <w:tcPr>
            <w:tcW w:type="dxa" w:w="4100"/>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论文修改、格式检查、最终材料整理、答辩 PPT 和演示彩排</w:t>
            </w:r>
          </w:p>
        </w:tc>
        <w:tc>
          <w:tcPr>
            <w:tcW w:type="dxa" w:w="2906"/>
            <w:tcBorders>
              <w:top w:val="single" w:color="B7B7B7" w:sz="4"/>
              <w:left w:val="single" w:color="B7B7B7" w:sz="4"/>
              <w:bottom w:val="single" w:color="B7B7B7" w:sz="4"/>
              <w:right w:val="single" w:color="B7B7B7" w:sz="4"/>
            </w:tcBorders>
            <w:tcMar>
              <w:top w:type="dxa" w:w="90"/>
              <w:left w:type="dxa" w:w="130"/>
              <w:bottom w:type="dxa" w:w="90"/>
              <w:right w:type="dxa" w:w="130"/>
            </w:tcMar>
          </w:tcPr>
          <w:p>
            <w:pPr>
              <w:spacing w:after="0" w:line="280"/>
              <w:jc w:val="left"/>
            </w:pPr>
            <w:r>
              <w:rPr>
                <w:rFonts w:ascii="宋体" w:cs="宋体" w:eastAsia="宋体" w:hAnsi="宋体"/>
                <w:b w:val="false"/>
                <w:bCs w:val="false"/>
                <w:sz w:val="22"/>
                <w:szCs w:val="22"/>
              </w:rPr>
              <w:t xml:space="preserve">完成导师审阅、最终验收、提交和答辩准备</w:t>
            </w:r>
          </w:p>
        </w:tc>
      </w:tr>
    </w:tbl>
    <w:p>
      <w:pPr>
        <w:pStyle w:val="Heading1"/>
        <w:spacing w:after="120" w:before="260" w:line="300"/>
      </w:pPr>
      <w:r>
        <w:rPr>
          <w:rFonts w:ascii="黑体" w:cs="黑体" w:eastAsia="黑体" w:hAnsi="黑体"/>
          <w:b/>
          <w:bCs/>
          <w:sz w:val="28"/>
          <w:szCs w:val="28"/>
        </w:rPr>
        <w:t xml:space="preserve">七、参考文献（初步）</w:t>
      </w:r>
    </w:p>
    <w:p>
      <w:pPr>
        <w:spacing w:after="120" w:before="0" w:line="300"/>
        <w:jc w:val="both"/>
      </w:pPr>
      <w:r>
        <w:rPr>
          <w:rFonts w:ascii="宋体" w:cs="宋体" w:eastAsia="宋体" w:hAnsi="宋体"/>
          <w:b w:val="false"/>
          <w:bCs w:val="false"/>
          <w:sz w:val="22"/>
          <w:szCs w:val="22"/>
        </w:rPr>
        <w:t xml:space="preserve">[1] Chopra S. Supply Chain Management: Strategy, Planning, and Operation[M]. Pearson, 2019.</w:t>
      </w:r>
    </w:p>
    <w:p>
      <w:pPr>
        <w:spacing w:after="120" w:before="0" w:line="300"/>
        <w:jc w:val="both"/>
      </w:pPr>
      <w:r>
        <w:rPr>
          <w:rFonts w:ascii="宋体" w:cs="宋体" w:eastAsia="宋体" w:hAnsi="宋体"/>
          <w:b w:val="false"/>
          <w:bCs w:val="false"/>
          <w:sz w:val="22"/>
          <w:szCs w:val="22"/>
        </w:rPr>
        <w:t xml:space="preserve">[2] Vaswani A, Shazeer N, Parmar N, et al. Attention Is All You Need[C]. NeurIPS, 2017.</w:t>
      </w:r>
    </w:p>
    <w:p>
      <w:pPr>
        <w:spacing w:after="120" w:before="0" w:line="300"/>
        <w:jc w:val="both"/>
      </w:pPr>
      <w:r>
        <w:rPr>
          <w:rFonts w:ascii="宋体" w:cs="宋体" w:eastAsia="宋体" w:hAnsi="宋体"/>
          <w:b w:val="false"/>
          <w:bCs w:val="false"/>
          <w:sz w:val="22"/>
          <w:szCs w:val="22"/>
        </w:rPr>
        <w:t xml:space="preserve">[3] 马士华, 林勇. 供应链管理（第5版）[M]. 北京: 机械工业出版社, 2016.</w:t>
      </w:r>
    </w:p>
    <w:p>
      <w:pPr>
        <w:spacing w:after="120" w:before="0" w:line="300"/>
        <w:jc w:val="both"/>
      </w:pPr>
      <w:r>
        <w:rPr>
          <w:rFonts w:ascii="宋体" w:cs="宋体" w:eastAsia="宋体" w:hAnsi="宋体"/>
          <w:b w:val="false"/>
          <w:bCs w:val="false"/>
          <w:sz w:val="22"/>
          <w:szCs w:val="22"/>
        </w:rPr>
        <w:t xml:space="preserve">[4] 李航. 统计学习方法（第2版）[M]. 北京: 清华大学出版社, 2019.</w:t>
      </w:r>
    </w:p>
    <w:p>
      <w:pPr>
        <w:spacing w:after="120" w:before="0" w:line="300"/>
        <w:jc w:val="both"/>
      </w:pPr>
      <w:r>
        <w:rPr>
          <w:rFonts w:ascii="宋体" w:cs="宋体" w:eastAsia="宋体" w:hAnsi="宋体"/>
          <w:b w:val="false"/>
          <w:bCs w:val="false"/>
          <w:sz w:val="22"/>
          <w:szCs w:val="22"/>
        </w:rPr>
        <w:t xml:space="preserve">[5] 周志华. 机器学习[M]. 北京: 清华大学出版社, 2016.</w:t>
      </w:r>
    </w:p>
    <w:p>
      <w:pPr>
        <w:spacing w:after="120" w:before="0" w:line="300"/>
        <w:jc w:val="both"/>
      </w:pPr>
      <w:r>
        <w:rPr>
          <w:rFonts w:ascii="宋体" w:cs="宋体" w:eastAsia="宋体" w:hAnsi="宋体"/>
          <w:b w:val="false"/>
          <w:bCs w:val="false"/>
          <w:sz w:val="22"/>
          <w:szCs w:val="22"/>
        </w:rPr>
        <w:t xml:space="preserve">[6] Min H. Artificial intelligence in supply chain management: theory and applications[J]. International Journal of Logistics Research and Applications, 2010, 13(1): 13-39.</w:t>
      </w:r>
    </w:p>
    <w:p>
      <w:pPr>
        <w:spacing w:after="120" w:before="0" w:line="300"/>
        <w:jc w:val="both"/>
      </w:pPr>
      <w:r>
        <w:rPr>
          <w:rFonts w:ascii="宋体" w:cs="宋体" w:eastAsia="宋体" w:hAnsi="宋体"/>
          <w:b w:val="false"/>
          <w:bCs w:val="false"/>
          <w:sz w:val="22"/>
          <w:szCs w:val="22"/>
        </w:rPr>
        <w:t xml:space="preserve">[7] Waller M A, Fawcett S E. Data science, predictive analytics, and big data: a revolution that will transform supply chain design and management[J]. Journal of Business Logistics, 2013, 34(2): 77-84.</w:t>
      </w:r>
    </w:p>
    <w:p>
      <w:pPr>
        <w:spacing w:after="120" w:before="0" w:line="300"/>
        <w:jc w:val="both"/>
      </w:pPr>
      <w:r>
        <w:rPr>
          <w:rFonts w:ascii="宋体" w:cs="宋体" w:eastAsia="宋体" w:hAnsi="宋体"/>
          <w:b w:val="false"/>
          <w:bCs w:val="false"/>
          <w:sz w:val="22"/>
          <w:szCs w:val="22"/>
        </w:rPr>
        <w:t xml:space="preserve">[8] Hevner A R, March S T, Park J, et al. Design science in information systems research[J]. MIS Quarterly, 2004, 28(1): 75-105.</w:t>
      </w:r>
    </w:p>
    <w:p>
      <w:pPr>
        <w:spacing w:after="120" w:before="0" w:line="300"/>
        <w:jc w:val="both"/>
      </w:pPr>
      <w:r>
        <w:rPr>
          <w:rFonts w:ascii="宋体" w:cs="宋体" w:eastAsia="宋体" w:hAnsi="宋体"/>
          <w:b w:val="false"/>
          <w:bCs w:val="false"/>
          <w:sz w:val="22"/>
          <w:szCs w:val="22"/>
        </w:rPr>
        <w:t xml:space="preserve">[9] Fowler M. Patterns of Enterprise Application Architecture[M]. Boston: Addison-Wesley, 2002.</w:t>
      </w:r>
    </w:p>
    <w:p>
      <w:pPr>
        <w:spacing w:after="120" w:before="0" w:line="300"/>
        <w:jc w:val="both"/>
      </w:pPr>
      <w:r>
        <w:rPr>
          <w:rFonts w:ascii="宋体" w:cs="宋体" w:eastAsia="宋体" w:hAnsi="宋体"/>
          <w:b w:val="false"/>
          <w:bCs w:val="false"/>
          <w:sz w:val="22"/>
          <w:szCs w:val="22"/>
        </w:rPr>
        <w:t xml:space="preserve">[10] 电子科技大学中山学院计算机学院. 计算机学院毕业论文范文及撰写规范[Z]. 2026.</w:t>
      </w:r>
    </w:p>
    <w:p>
      <w:pPr>
        <w:spacing w:after="120" w:before="0" w:line="300"/>
        <w:jc w:val="both"/>
      </w:pPr>
      <w:r>
        <w:rPr>
          <w:rFonts w:ascii="宋体" w:cs="宋体" w:eastAsia="宋体" w:hAnsi="宋体"/>
          <w:b w:val="false"/>
          <w:bCs w:val="false"/>
          <w:color w:val="666666"/>
          <w:sz w:val="21"/>
          <w:szCs w:val="21"/>
        </w:rPr>
        <w:t xml:space="preserve">注：以上为开题阶段初步参考文献。正式论文将按学校要求继续补充并核验参考文献数量、英文文献比例、近三年文献比例和引用顺序。</w:t>
      </w:r>
    </w:p>
    <w:p>
      <w:pPr>
        <w:pStyle w:val="Heading1"/>
        <w:spacing w:after="120" w:before="260" w:line="300"/>
      </w:pPr>
      <w:r>
        <w:rPr>
          <w:rFonts w:ascii="黑体" w:cs="黑体" w:eastAsia="黑体" w:hAnsi="黑体"/>
          <w:b/>
          <w:bCs/>
          <w:sz w:val="28"/>
          <w:szCs w:val="28"/>
        </w:rPr>
        <w:t xml:space="preserve">八、待导师确认与后续补充</w:t>
      </w:r>
    </w:p>
    <w:p>
      <w:pPr>
        <w:spacing w:after="120" w:before="0" w:line="300"/>
        <w:jc w:val="both"/>
      </w:pPr>
      <w:r>
        <w:rPr>
          <w:rFonts w:ascii="宋体" w:cs="宋体" w:eastAsia="宋体" w:hAnsi="宋体"/>
          <w:b w:val="false"/>
          <w:bCs w:val="false"/>
          <w:sz w:val="24"/>
          <w:szCs w:val="24"/>
        </w:rPr>
        <w:t xml:space="preserve">1. 正式检索并补充满足学校要求的参考文献数量、英文文献数量和近三年文献数量。</w:t>
      </w:r>
    </w:p>
    <w:p>
      <w:pPr>
        <w:spacing w:after="120" w:before="0" w:line="300"/>
        <w:jc w:val="both"/>
      </w:pPr>
      <w:r>
        <w:rPr>
          <w:rFonts w:ascii="宋体" w:cs="宋体" w:eastAsia="宋体" w:hAnsi="宋体"/>
          <w:b w:val="false"/>
          <w:bCs w:val="false"/>
          <w:sz w:val="24"/>
          <w:szCs w:val="24"/>
        </w:rPr>
        <w:t xml:space="preserve">2. 根据导师意见调整研究现状、创新点和工作量边界；不将本地候选版直接表述为生产系统。</w:t>
      </w:r>
    </w:p>
    <w:p>
      <w:pPr>
        <w:spacing w:after="120" w:before="0" w:line="300"/>
        <w:jc w:val="both"/>
      </w:pPr>
      <w:r>
        <w:rPr>
          <w:rFonts w:ascii="宋体" w:cs="宋体" w:eastAsia="宋体" w:hAnsi="宋体"/>
          <w:b w:val="false"/>
          <w:bCs w:val="false"/>
          <w:sz w:val="24"/>
          <w:szCs w:val="24"/>
        </w:rPr>
        <w:t xml:space="preserve">3. 完成用户 UAT、V6 MySQL 复验、Docker Compose 复现和扩展实验后，更新预期成果中的实际数据和论文证据。</w:t>
      </w:r>
    </w:p>
    <w:p>
      <w:pPr>
        <w:pageBreakBefore/>
        <w:spacing w:after="140"/>
      </w:pPr>
      <w:r>
        <w:rPr>
          <w:rFonts w:ascii="黑体" w:cs="黑体" w:eastAsia="黑体" w:hAnsi="黑体"/>
          <w:b/>
          <w:bCs/>
          <w:sz w:val="26"/>
          <w:szCs w:val="26"/>
        </w:rPr>
        <w:t xml:space="preserve">导师意见：</w:t>
      </w:r>
    </w:p>
    <w:p>
      <w:pPr>
        <w:spacing w:after="120" w:before="0" w:line="300"/>
        <w:jc w:val="both"/>
      </w:pPr>
      <w:r>
        <w:rPr>
          <w:rFonts w:ascii="宋体" w:cs="宋体" w:eastAsia="宋体" w:hAnsi="宋体"/>
          <w:b w:val="false"/>
          <w:bCs w:val="false"/>
          <w:color w:val="888888"/>
          <w:sz w:val="24"/>
          <w:szCs w:val="24"/>
        </w:rPr>
        <w:t xml:space="preserve">（请导师填写）</w:t>
      </w:r>
    </w:p>
    <w:p>
      <w:pPr>
        <w:spacing w:after="120" w:before="0" w:line="300"/>
        <w:jc w:val="both"/>
      </w:pPr>
      <w:r>
        <w:rPr>
          <w:rFonts w:ascii="宋体" w:cs="宋体" w:eastAsia="宋体" w:hAnsi="宋体"/>
          <w:b w:val="false"/>
          <w:bCs w:val="false"/>
          <w:color w:val="999999"/>
          <w:sz w:val="20"/>
          <w:szCs w:val="20"/>
        </w:rPr>
        <w:t xml:space="preserve">________________________________________________________________________________</w:t>
      </w:r>
    </w:p>
    <w:p>
      <w:pPr>
        <w:spacing w:after="120" w:before="0" w:line="300"/>
        <w:jc w:val="both"/>
      </w:pPr>
      <w:r>
        <w:rPr>
          <w:rFonts w:ascii="宋体" w:cs="宋体" w:eastAsia="宋体" w:hAnsi="宋体"/>
          <w:b w:val="false"/>
          <w:bCs w:val="false"/>
          <w:color w:val="999999"/>
          <w:sz w:val="20"/>
          <w:szCs w:val="20"/>
        </w:rPr>
        <w:t xml:space="preserve">________________________________________________________________________________</w:t>
      </w:r>
    </w:p>
    <w:p>
      <w:pPr>
        <w:spacing w:after="120" w:before="0" w:line="300"/>
        <w:jc w:val="both"/>
      </w:pPr>
      <w:r>
        <w:rPr>
          <w:rFonts w:ascii="宋体" w:cs="宋体" w:eastAsia="宋体" w:hAnsi="宋体"/>
          <w:b w:val="false"/>
          <w:bCs w:val="false"/>
          <w:color w:val="999999"/>
          <w:sz w:val="20"/>
          <w:szCs w:val="20"/>
        </w:rPr>
        <w:t xml:space="preserve">________________________________________________________________________________</w:t>
      </w:r>
    </w:p>
    <w:p>
      <w:pPr>
        <w:spacing w:after="120" w:before="0" w:line="300"/>
        <w:jc w:val="both"/>
      </w:pPr>
      <w:r>
        <w:rPr>
          <w:rFonts w:ascii="宋体" w:cs="宋体" w:eastAsia="宋体" w:hAnsi="宋体"/>
          <w:b w:val="false"/>
          <w:bCs w:val="false"/>
          <w:color w:val="999999"/>
          <w:sz w:val="20"/>
          <w:szCs w:val="20"/>
        </w:rPr>
        <w:t xml:space="preserve">________________________________________________________________________________</w:t>
      </w:r>
    </w:p>
    <w:p>
      <w:pPr>
        <w:spacing w:after="120" w:before="0" w:line="300"/>
        <w:jc w:val="both"/>
      </w:pPr>
      <w:r>
        <w:rPr>
          <w:rFonts w:ascii="宋体" w:cs="宋体" w:eastAsia="宋体" w:hAnsi="宋体"/>
          <w:b w:val="false"/>
          <w:bCs w:val="false"/>
          <w:color w:val="999999"/>
          <w:sz w:val="20"/>
          <w:szCs w:val="20"/>
        </w:rPr>
        <w:t xml:space="preserve">________________________________________________________________________________</w:t>
      </w:r>
    </w:p>
    <w:p>
      <w:pPr>
        <w:spacing w:after="120" w:before="0" w:line="300"/>
        <w:jc w:val="both"/>
      </w:pPr>
      <w:r>
        <w:rPr>
          <w:rFonts w:ascii="宋体" w:cs="宋体" w:eastAsia="宋体" w:hAnsi="宋体"/>
          <w:b w:val="false"/>
          <w:bCs w:val="false"/>
          <w:color w:val="999999"/>
          <w:sz w:val="20"/>
          <w:szCs w:val="20"/>
        </w:rPr>
        <w:t xml:space="preserve">________________________________________________________________________________</w:t>
      </w:r>
    </w:p>
    <w:p>
      <w:pPr>
        <w:spacing w:after="120" w:before="100" w:line="300"/>
        <w:jc w:val="both"/>
      </w:pPr>
      <w:r>
        <w:rPr>
          <w:rFonts w:ascii="宋体" w:cs="宋体" w:eastAsia="宋体" w:hAnsi="宋体"/>
          <w:b w:val="false"/>
          <w:bCs w:val="false"/>
          <w:sz w:val="24"/>
          <w:szCs w:val="24"/>
        </w:rPr>
        <w:t xml:space="preserve">导师签字：________________    日期：______年____月____日</w:t>
      </w:r>
    </w:p>
    <w:p>
      <w:pPr>
        <w:spacing w:after="140" w:before="360"/>
      </w:pPr>
      <w:r>
        <w:rPr>
          <w:rFonts w:ascii="黑体" w:cs="黑体" w:eastAsia="黑体" w:hAnsi="黑体"/>
          <w:b/>
          <w:bCs/>
          <w:sz w:val="26"/>
          <w:szCs w:val="26"/>
        </w:rPr>
        <w:t xml:space="preserve">学院审核意见：</w:t>
      </w:r>
    </w:p>
    <w:p>
      <w:pPr>
        <w:spacing w:after="120" w:before="0" w:line="300"/>
        <w:jc w:val="both"/>
      </w:pPr>
      <w:r>
        <w:rPr>
          <w:rFonts w:ascii="宋体" w:cs="宋体" w:eastAsia="宋体" w:hAnsi="宋体"/>
          <w:b w:val="false"/>
          <w:bCs w:val="false"/>
          <w:color w:val="999999"/>
          <w:sz w:val="20"/>
          <w:szCs w:val="20"/>
        </w:rPr>
        <w:t xml:space="preserve">________________________________________________________________________________</w:t>
      </w:r>
    </w:p>
    <w:p>
      <w:pPr>
        <w:spacing w:after="120" w:before="0" w:line="300"/>
        <w:jc w:val="both"/>
      </w:pPr>
      <w:r>
        <w:rPr>
          <w:rFonts w:ascii="宋体" w:cs="宋体" w:eastAsia="宋体" w:hAnsi="宋体"/>
          <w:b w:val="false"/>
          <w:bCs w:val="false"/>
          <w:color w:val="999999"/>
          <w:sz w:val="20"/>
          <w:szCs w:val="20"/>
        </w:rPr>
        <w:t xml:space="preserve">________________________________________________________________________________</w:t>
      </w:r>
    </w:p>
    <w:p>
      <w:pPr>
        <w:spacing w:after="120" w:before="0" w:line="300"/>
        <w:jc w:val="both"/>
      </w:pPr>
      <w:r>
        <w:rPr>
          <w:rFonts w:ascii="宋体" w:cs="宋体" w:eastAsia="宋体" w:hAnsi="宋体"/>
          <w:b w:val="false"/>
          <w:bCs w:val="false"/>
          <w:color w:val="999999"/>
          <w:sz w:val="20"/>
          <w:szCs w:val="20"/>
        </w:rPr>
        <w:t xml:space="preserve">________________________________________________________________________________</w:t>
      </w:r>
    </w:p>
    <w:p>
      <w:pPr>
        <w:spacing w:after="120" w:before="0" w:line="300"/>
        <w:jc w:val="both"/>
      </w:pPr>
      <w:r>
        <w:rPr>
          <w:rFonts w:ascii="宋体" w:cs="宋体" w:eastAsia="宋体" w:hAnsi="宋体"/>
          <w:b w:val="false"/>
          <w:bCs w:val="false"/>
          <w:color w:val="999999"/>
          <w:sz w:val="20"/>
          <w:szCs w:val="20"/>
        </w:rPr>
        <w:t xml:space="preserve">________________________________________________________________________________</w:t>
      </w:r>
    </w:p>
    <w:p>
      <w:pPr>
        <w:spacing w:after="120" w:before="0" w:line="300"/>
        <w:jc w:val="both"/>
      </w:pPr>
      <w:r>
        <w:rPr>
          <w:rFonts w:ascii="宋体" w:cs="宋体" w:eastAsia="宋体" w:hAnsi="宋体"/>
          <w:b w:val="false"/>
          <w:bCs w:val="false"/>
          <w:color w:val="999999"/>
          <w:sz w:val="20"/>
          <w:szCs w:val="20"/>
        </w:rPr>
        <w:t xml:space="preserve">________________________________________________________________________________</w:t>
      </w:r>
    </w:p>
    <w:p>
      <w:pPr>
        <w:spacing w:after="120" w:before="100" w:line="300"/>
        <w:jc w:val="both"/>
      </w:pPr>
      <w:r>
        <w:rPr>
          <w:rFonts w:ascii="宋体" w:cs="宋体" w:eastAsia="宋体" w:hAnsi="宋体"/>
          <w:b w:val="false"/>
          <w:bCs w:val="false"/>
          <w:sz w:val="24"/>
          <w:szCs w:val="24"/>
        </w:rPr>
        <w:t xml:space="preserve">审核人签字：________________    日期：______年____月____日</w:t>
      </w:r>
    </w:p>
    <w:sectPr>
      <w:headerReference w:type="default" r:id="rId7"/>
      <w:footerReference w:type="default" r:id="rId8"/>
      <w:pgSz w:w="11906" w:h="16838"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b w:val="false"/>
        <w:bCs w:val="false"/>
        <w:color w:val="888888"/>
        <w:sz w:val="18"/>
        <w:szCs w:val="18"/>
      </w:rPr>
      <w:t xml:space="preserve">第 </w:t>
    </w:r>
    <w:r>
      <w:rPr>
        <w:rFonts w:ascii="宋体" w:cs="宋体" w:eastAsia="宋体" w:hAnsi="宋体"/>
        <w:color w:val="888888"/>
        <w:sz w:val="18"/>
        <w:szCs w:val="18"/>
      </w:rPr>
      <w:fldChar w:fldCharType="begin"/>
      <w:instrText xml:space="preserve">PAGE</w:instrText>
      <w:fldChar w:fldCharType="separate"/>
      <w:fldChar w:fldCharType="end"/>
    </w:r>
    <w:r>
      <w:rPr>
        <w:rFonts w:ascii="宋体" w:cs="宋体" w:eastAsia="宋体" w:hAnsi="宋体"/>
        <w:b w:val="false"/>
        <w:bCs w:val="false"/>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宋体" w:cs="宋体" w:eastAsia="宋体" w:hAnsi="宋体"/>
        <w:b w:val="false"/>
        <w:bCs w:val="false"/>
        <w:color w:val="888888"/>
        <w:sz w:val="18"/>
        <w:szCs w:val="18"/>
      </w:rPr>
      <w:t xml:space="preserve">企业供应链数智化协同平台｜开题报告工作稿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line="300"/>
      <w:outlineLvl w:val="0"/>
    </w:pPr>
    <w:rPr>
      <w:rFonts w:ascii="黑体" w:cs="黑体" w:eastAsia="黑体" w:hAnsi="黑体"/>
      <w:b/>
      <w:bCs/>
      <w:sz w:val="28"/>
      <w:szCs w:val="28"/>
    </w:rPr>
  </w:style>
  <w:style w:type="paragraph" w:styleId="Heading2">
    <w:name w:val="Heading 2"/>
    <w:basedOn w:val="Normal"/>
    <w:next w:val="Normal"/>
    <w:qFormat/>
    <w:pPr>
      <w:spacing w:after="120" w:before="160" w:line="300"/>
      <w:outlineLvl w:val="1"/>
    </w:pPr>
    <w:rPr>
      <w:rFonts w:ascii="黑体" w:cs="黑体" w:eastAsia="黑体" w:hAnsi="黑体"/>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企业供应链数智化协同平台设计与开发——开题报告工作稿</dc:title>
  <dc:creator>Codex</dc:creator>
  <dc:description>基于学校模板和项目真实状态生成的开题报告工作稿</dc:description>
  <cp:lastModifiedBy>Un-named</cp:lastModifiedBy>
  <cp:revision>1</cp:revision>
  <dcterms:created xsi:type="dcterms:W3CDTF">2026-09-22T13:16:55.902Z</dcterms:created>
  <dcterms:modified xsi:type="dcterms:W3CDTF">2026-09-22T13:16:55.903Z</dcterms:modified>
</cp:coreProperties>
</file>

<file path=docProps/custom.xml><?xml version="1.0" encoding="utf-8"?>
<Properties xmlns="http://schemas.openxmlformats.org/officeDocument/2006/custom-properties" xmlns:vt="http://schemas.openxmlformats.org/officeDocument/2006/docPropsVTypes"/>
</file>