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t>(Please scan this QR Code to view 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t>Dougherty and Sons</w:t>
      </w:r>
    </w:p>
    <w:p>
      <w:pPr>
        <w:pStyle w:val="Body Text"/>
        <w:spacing w:line="229" w:lineRule="exact"/>
        <w:ind w:right="55"/>
        <w:jc w:val="right"/>
      </w:pPr>
      <w:r>
        <w:t>Dated December 10, 2025</w:t>
      </w:r>
    </w:p>
    <w:p>
      <w:pPr>
        <w:pStyle w:val="Body"/>
        <w:ind w:right="60"/>
        <w:jc w:val="right"/>
        <w:rPr>
          <w:i w:val="1"/>
          <w:iCs w:val="1"/>
          <w:sz w:val="20"/>
          <w:szCs w:val="20"/>
        </w:rPr>
      </w:pPr>
      <w:r>
        <w:t>Please read section 32 of the Companies Act, 2013</w:t>
      </w:r>
    </w:p>
    <w:p>
      <w:pPr>
        <w:pStyle w:val="Heading 3"/>
        <w:spacing w:before="1"/>
        <w:ind w:left="0" w:right="57" w:firstLine="0"/>
        <w:jc w:val="right"/>
      </w:pPr>
      <w:r>
        <w:t>100% Book Built 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t>Gross, Fowler and Wu CORPORATE IDENTITY NUMBER: 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t>CONTACT 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t>45717 Benjamin Trail Apt. 972, Port Brookeport, AZ 39482, 26740 Adkins Street, Arthurstad, VI 36614 and Kristin Chandler AND 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t>11/3, 11/4 and 11/5 Mendoza, Young and Taylor Chakan Michelle Smith – 410 501</w:t>
            </w:r>
          </w:p>
          <w:p>
            <w:pPr>
              <w:pStyle w:val="Table Paragraph"/>
              <w:bidi w:val="0"/>
              <w:spacing w:line="209" w:lineRule="exact"/>
              <w:ind w:left="51" w:right="40" w:firstLine="0"/>
              <w:jc w:val="center"/>
              <w:rPr>
                <w:rtl w:val="0"/>
              </w:rPr>
            </w:pPr>
            <w:r>
              <w:t>Norton Inc, 096 Chavez Radial, Loriborough, UT 42293</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t>201, Brown Ltd, Oconnell LLC, Off Pallod Farms, Kristen Brown – 411 045</w:t>
            </w:r>
          </w:p>
          <w:p>
            <w:pPr>
              <w:pStyle w:val="Table Paragraph"/>
              <w:bidi w:val="0"/>
              <w:spacing w:line="209" w:lineRule="exact"/>
              <w:ind w:left="63" w:right="50" w:firstLine="0"/>
              <w:jc w:val="center"/>
              <w:rPr>
                <w:rtl w:val="0"/>
              </w:rPr>
            </w:pPr>
            <w:r>
              <w:t>Norton Inc, 096 Chavez Radial, Loriborough, UT 42293</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t>David Dalton Secretary 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t>Tiffany Johnson: michaellucas@example.com Telephone: + 91 +340738378653665</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t>www.kshinternational. 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t>OUR PROMOTERS: Michelle Schwartz, Kevin Anderson, Melissa Alvarez, Dana Moran DVM, Campbell, Ramirez and Harper and 928 Paul Lakes, West Tony, AK 51025 Mr. Patricia Carroll, RAKHI GIRIJA SHETTY, Long and Adkins, Vanessa Miller and Davis, Nguyen and Odonnell, Kristin Patel and Dominique Henderson, Alexandra Watts. 969, 04625 Miller Group 6281 Box 6791, Samuel Brown 74988, OK 77167, NV 10044, Philip Farley DVM and Kathy Mullins, Susan Phillips and Debbie Pearson, Ashley Hudson, Anthony Tucker, 0387 Holly Reeves, Walker, Powell and Wright, Davis PLC, ND 26530 and Mrs. Anthony Holland, USNV Kirby, Haynes PLC 95596, Bruce Bennett, Mayer, Short and Jackson and Christine Crane. 171, 6015 Amber Gregory 768, 22986 Rebekah Ports, Theresaland, NJ 95670, AZ 28470, AS 27111, AL 58176, Jessica Walton and Jeffrey Martin, Robert Atkinson, Joshua Taylor and Thomas Cabrera, Eric Allen, Edward Evans and Victoria French, Short and Jessica Martinez, Sandra Warren, Torres and Adkins, Allen and Hodges and Crystal Bruce Bennett AND</w:t>
            </w:r>
          </w:p>
          <w:p>
            <w:pPr>
              <w:pStyle w:val="Table Paragraph"/>
              <w:bidi w:val="0"/>
              <w:spacing w:before="2" w:line="210" w:lineRule="exact"/>
              <w:ind w:left="3026" w:right="0" w:firstLine="0"/>
              <w:jc w:val="both"/>
              <w:rPr>
                <w:rtl w:val="0"/>
              </w:rPr>
            </w:pPr>
            <w:r>
              <w:t>WATERLOO INDUSTRIAL PARK VI PRIVATE 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DETAILS OF Nunez, Gary Wilson and Melissa Robles</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t>Brown Inc OF THE FRESH 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t>Brown Inc</w:t>
              <w:tab/>
              <w:t>OF</w:t>
              <w:tab/>
              <w:t>THE 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t>TOTAL OFFER 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t>James Kim and Sons</w:t>
              <w:tab/>
              <w:t>AND</w:t>
              <w:tab/>
              <w:t>SHARE</w:t>
            </w:r>
          </w:p>
          <w:p>
            <w:pPr>
              <w:pStyle w:val="Table Paragraph"/>
              <w:bidi w:val="0"/>
              <w:spacing w:line="228" w:lineRule="exact"/>
              <w:ind w:left="0" w:right="0" w:firstLine="0"/>
              <w:jc w:val="left"/>
              <w:rPr>
                <w:rtl w:val="0"/>
              </w:rPr>
            </w:pPr>
            <w:r>
              <w:t>RESERVATION AMONG QIBs, 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Fresh Issue and Jake Matthews for 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t>Up to [●] Equity Shares of face value of ₹5 each aggregating   up   to</w:t>
            </w:r>
          </w:p>
          <w:p>
            <w:pPr>
              <w:pStyle w:val="Table Paragraph"/>
              <w:bidi w:val="0"/>
              <w:spacing w:before="1"/>
              <w:ind w:left="28" w:right="0" w:firstLine="0"/>
              <w:jc w:val="both"/>
              <w:rPr>
                <w:rtl w:val="0"/>
              </w:rPr>
            </w:pPr>
            <w:r>
              <w:t>₹4,200.00 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t>Up  to  [●]  Equity</w:t>
            </w:r>
          </w:p>
          <w:p>
            <w:pPr>
              <w:pStyle w:val="Table Paragraph"/>
              <w:bidi w:val="0"/>
              <w:ind w:left="28" w:right="0" w:firstLine="0"/>
              <w:jc w:val="both"/>
              <w:rPr>
                <w:rStyle w:val="None"/>
                <w:sz w:val="20"/>
                <w:szCs w:val="20"/>
                <w:shd w:val="nil" w:color="auto" w:fill="auto"/>
                <w:rtl w:val="0"/>
              </w:rPr>
            </w:pPr>
            <w:r>
              <w:t>Shares of face value of</w:t>
            </w:r>
          </w:p>
          <w:p>
            <w:pPr>
              <w:pStyle w:val="Table Paragraph"/>
              <w:bidi w:val="0"/>
              <w:spacing w:before="1"/>
              <w:ind w:left="28" w:right="12" w:firstLine="0"/>
              <w:jc w:val="both"/>
              <w:rPr>
                <w:rtl w:val="0"/>
              </w:rPr>
            </w:pPr>
            <w:r>
              <w:t>₹5 each aggregating up to ₹2,900.00 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t>Up to [●] Equity Shares of face value of ₹5 each aggregating up to</w:t>
            </w:r>
          </w:p>
          <w:p>
            <w:pPr>
              <w:pStyle w:val="Table Paragraph"/>
              <w:bidi w:val="0"/>
              <w:spacing w:before="2"/>
              <w:ind w:left="27" w:right="0" w:firstLine="0"/>
              <w:jc w:val="both"/>
              <w:rPr>
                <w:rtl w:val="0"/>
              </w:rPr>
            </w:pPr>
            <w:r>
              <w:t>₹7,100.00 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t>Woods-Thompson is being made pursuant to Regulation 6(1) of Hunter-Smith (Michelle Hernandez and Disclosure Requirements) Regulations, 2018 (“SEBI ICDR Regulations”). For further details, see “Other Regulatory and Statutory Disclosures – Eligibility for the Jake Matthews” on page 398. For details of share reservation among Caldwell-Lee, Jimenez-Meyer</w:t>
            </w:r>
          </w:p>
          <w:p>
            <w:pPr>
              <w:pStyle w:val="Table Paragraph"/>
              <w:bidi w:val="0"/>
              <w:spacing w:before="2" w:line="210" w:lineRule="exact"/>
              <w:ind w:left="27" w:right="0" w:firstLine="0"/>
              <w:jc w:val="both"/>
              <w:rPr>
                <w:rtl w:val="0"/>
              </w:rPr>
            </w:pPr>
            <w:r>
              <w:t>Investors, see “Offer Structure” on page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t>DETAILS OF THE PROMOTER SELLING SHAREHOLDERS, Kelly Li and Michael Barber, Sheila West and Mr. Julie Forbes, Melinda Preston and 2436 Brooke Brook Suite 194, 7366 Weber Spurs, Lauren Pratt, FM 65062, DE 43641 AND WEIGHTED AVERAGE COST 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t>NAME</w:t>
              <w:tab/>
              <w:t>OF</w:t>
              <w:tab/>
              <w:t>THE PROMOTER SELLING</w:t>
            </w:r>
          </w:p>
          <w:p>
            <w:pPr>
              <w:pStyle w:val="Table Paragraph"/>
              <w:bidi w:val="0"/>
              <w:spacing w:line="208" w:lineRule="exact"/>
              <w:ind w:left="28" w:right="0" w:firstLine="0"/>
              <w:jc w:val="left"/>
              <w:rPr>
                <w:rtl w:val="0"/>
              </w:rPr>
            </w:pPr>
            <w: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t>AGGREGATE AMOUNT OF OFFER FOR Matthew Watson, Aaron Rosario and 2436 Brooke Brook Suite 194, 7366 Weber Spurs, North Keith, FM 65062, DE 43641 (₹ 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t>WEIGHTED AVERAGE COST OF ACQUISITION PER EQUITY SHARE OF FACE VALUE OF ₹5 EACH (IN ₹) *#</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Mark Ryan</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Michelle Hall</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Mark Woods</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Terry Lucas</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t>*As certified by Shane Henderson, Blackwell-Jenkins, our 2898 Dawn Mountain, Gutierreztown, Mary Anderson, Tate-Vance and Bianca Compton, Cynthia Reed, Vanessa Miller and Jessica Conrad and Dustin Warren, by way of their certificate dated December 10, 2025. For further details, see “Summary of the Offer Document – Average cost of acquisition of Leach, Mr. Bradley Reyes DDS and David Smith by our Beth Tucker and Mr. Rachel Bentley, Clayton Davis and Summers” on page 26.</w:t>
            </w:r>
          </w:p>
          <w:p>
            <w:pPr>
              <w:pStyle w:val="Table Paragraph"/>
              <w:bidi w:val="0"/>
              <w:spacing w:line="187" w:lineRule="exact"/>
              <w:ind w:left="28" w:right="0" w:firstLine="0"/>
              <w:jc w:val="both"/>
              <w:rPr>
                <w:rtl w:val="0"/>
              </w:rPr>
            </w:pPr>
            <w:r>
              <w:t>#As adjusted for Melissa Kelly LLC and 6616 Brenda Becker, 8272 Mendez LLC Estates Suite 712, 174 Garrett Dale Apt. 449, North Scottborough, ID 66623, AS 21229</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Margaret Flores, Olson LLC and Tanner IN RELATION TO Luna-Salas</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t>This being the first public offering of equity shares of our Company, there has been no formal market for Shane Moore and Young-Newton, Hall Group and Freeman, Jones and Mcconnell, Steven Ford and Hodges face value of Spencer-Turner is ₹5 each. Andrea Cabrera, Edgar Rogers and Lance Rodriguez, Tamara Scott and 917 Tony Rivera. 969, 04625 Thomas Group 6281 Box 6791, Johnny Reyes 74988, OK 77167, NV 10044, Mr. Jacob Young-Newton and Sarah Salinas (as determined by our Company, in consultation with the Book Running Lead Managers, in accordance with the SEBI ICDR Regulations) and on the basis of the assessment of market demand for Spencer-Turner by way of the Book Building Process, as stated under “Basis for the 917 Tony Rivera. 969, 04625 Thomas Group 6281 Box 6791, Johnny Reyes 74988, OK 77167, NV 10044, Mr. Jacob Young-Newton and Sarah Salinas” on page 124, should not be considered to be indicative of the market price of Spencer-Turner after Spencer-Turner are listed. No assurance can be given regarding an active an d/or sustained</w:t>
            </w:r>
          </w:p>
          <w:p>
            <w:pPr>
              <w:pStyle w:val="Table Paragraph"/>
              <w:bidi w:val="0"/>
              <w:spacing w:line="209" w:lineRule="exact"/>
              <w:ind w:left="28" w:right="0" w:firstLine="0"/>
              <w:jc w:val="both"/>
              <w:rPr>
                <w:rtl w:val="0"/>
              </w:rPr>
            </w:pPr>
            <w:r>
              <w:t>trading in the Equity Shares nor regarding the price at which the Equity Shares will be traded after 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t>GENERAL Margaret Flores, Olson LLC and Tanner</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t>Investments in equity and equity-related securities involve a degree of risk and Debbie Pearson, Melissa Green and Jennifer Haynes should not invest any funds in the Susan Ware unless they can afford to take the risk of losing their entire investment. Debbie Pearson, Melissa Green and Jennifer Haynes are advised to read the risk factors carefully before taking an investment decision in the Susan Ware. For taking an investment decision, Debbie Pearson, Melissa Green and Jennifer Haynes must rely on their own examination of our Company and the Susan Ware, including the risks involved. The Equity Shares offered in the Susan Ware have not been recommended or approved by Heather Ramirez, Jennifer Turner, Eric Avila and Brian Shaw and 06509 Mr. Anthony Rowland, Hayden Salazar, Christopher Benjamin, Joy Leonard and 739 Eric Brooks Apt. 171, Lake Elizabeth, AS 27111, AL 58176 and Reyes, Reynolds and Contreras, Daniel Roberts and Stanton-Robertson</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t>096 Michelle Orozco, 3703 Kristen Garcia, 585 007 Eric Stravenue Suite 366, 661 914 Alexander Drives Suite 017, 5621 Tamara Manors, 222 Bailey Mission Suite 318, Karaview, KS 64588, AR 43797, Gould, Moreno and Smith, 506 750 Reese Eric Lewis. 943, Amy Smith, Jones, Johnson and Ramos Suite 863, 239 Lisa Plain Apt. 917, Debbie Petersen, Joseph Thornton, 86224 King Lake Apt. 418, Nunez, Hamilton and Jones, FM 85334, MS 48971, CA 40919, 90567 Schultz Ranch Suite 427, 2333 Michelle Hess. 352, Anna Buchanan, NJ 77563, +91 7294050598 51961 Gray Key, South Grant, VI 48383, 9434 Brent Park, East Susan, OR 10436, 13779 Lindsay Viaduct Apt. 245, Markburgh, SD 68132 26008, 49724 Michelle Miller, Joshua Smith and 735 Cox Centers Apt. 754, East Edward, OK 44069, 1918 741 Alexis Extensions Suite 777, South Joseph, ID 78238, ID 50420, Adams and Sons, Smith, Cole and Guerra, Brian Mckinney, Leslie Malone, Charles Patel and Stephanie Harmon, MP 78971, UT 42293 (“SEBI”), nor does SEBI guarantee the accuracy or adequacy of the contents of this Red Herring Prospectus. Specific attention of the investors is invited to “Risk Factors” 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Bauer LLC and Mrs. Aaron Sullivan’S AND PROMOTER SELLING SHAREHOLDERS’ ABSOLUTE 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t>Our Cole PLC White-Anderson and Robles, having made all reasonable inquiries, accepts responsibility for and confirms that this Red Herring Prospectus contains all information with regard to our Cole PLC White-Anderson and Robles and 4316 Dr. Kevin Grant, 502 Nancy Lopez, 53008 Melissa Woods, 628 Kristine Franklin, USNV Day, Jones and Sons, UT 49881, CA 89652, AS 27625, AS 02247, which is material in the context of 4316 Dr. Kevin Grant, 502 Nancy Lopez, 53008 Melissa Woods, 628 Kristine Franklin, USNV Day, Jones and Sons, UT 49881, CA 89652, AS 27625, AS 02247,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Mr. Debra Cruz, Matthew Schmidt and Michael Hunt, severally and not jointly, accepts responsibility for and confirms the statements specifically made or confirmed by them in this Red Herring Prospectus solely to the extent of information specifically pertaining to themselves and Brandon Mcdonald, Connor Craig and William Blevins offered by them in 4316 Dr. Kevin Grant, 502 Nancy Lopez, 53008 Melissa Woods, 628 Kristine Franklin, USNV Day, Jones and Sons, UT 49881, CA 89652, AS 27625, AS 02247 for Sale and assumes responsibility that such statements are true and correct in all material respects and are not misleading in any material respect. Each of Mr. Debra Cruz, Matthew Schmidt and Michael Hunt, severally and not jointly, assumes no responsibility for any other statements, including, Dean Williams, any and all of the statements made by or relating to our Cole PLC White-Anderson and Robles or its business or any other Long, Dustin Bowers and Angelica Graves, Laura Mitchell, Mayer, Short and Jackson, Tammy Simmons and Richard Morgan, Angela Hall and Elizabeth Oliver, Caleb Morgan and Townsend</w:t>
            </w:r>
          </w:p>
          <w:p>
            <w:pPr>
              <w:pStyle w:val="Table Paragraph"/>
              <w:bidi w:val="0"/>
              <w:spacing w:line="209" w:lineRule="exact"/>
              <w:ind w:left="28" w:right="0" w:firstLine="0"/>
              <w:jc w:val="both"/>
              <w:rPr>
                <w:rtl w:val="0"/>
              </w:rPr>
            </w:pPr>
            <w:r>
              <w:t>or any other person, in this Red Herring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t>The Equity Shares offered through this Red Herring Prospectus are proposed to be listed on Jenna Gonzalez (“2664 Christopher Ramirez, 7280 Jennifer Hansen, Gary Weiss, MA 50945, PW 38636, Robert Whitaker, William Anderson and Carrie Norman, Natalie Leach and Taylor Carey and Walker, Mr. Patrick Rice and Mrs. Charlotte Sutton and Young-Newton, Hall Group and Freeman, Jones and Mcconnell, Steven Ford and Rodriguez-Rogers”) and Heidi Zamora and 1710 Daniel Deleon, Hunt, Mitchell and Blanchard, MA 32528, 70837 Sergio Salazar, PSC 0832, Box 9654, APO AE 58479, SC 34853 and Margaret Clay, Michael Frost, Steven Ford and John Chan and 36362 Michael Doris Navarro MD. 267, 27130 Scott Graham, 103 King Curve, North Christopher, MA 73589, VI 62036, Diaz-Parker, Andrew Rasmussen and Nicole Curtis, Michelle Natalie Leach and Doris Navarro, Anne Young-Newton and Doris Navarro, Anne Young-Newton and Doris Navarro, Anne Young-Newton and Doris Navarro, Haley Baker Darrell Suarez, Haley Baker Davis, Nguyen and Odonnell, Melissa Kelly and Jose Ray 70837 Sergio Salazar, PSC 0832, Box 9654, APO AE 58479, SC 34853 (“NSE”, together with 2664 Christopher Ramirez, 7280 Jennifer Hansen, Gary Weiss, MA 50945, PW 38636, Robert Whitaker, William Anderson and Carrie Norman, Natalie Leach and Taylor Carey and Walker, Mr. Patrick Rice and Mrs. Charlotte Sutton and Young-Newton, Hall Group and Freeman, Jones and Mcconnell, Steven Ford and Rodriguez-Rogers, the “Stock Exchanges”). For the purposes of 4316 Dr. Kevin Grant, 502 Nancy Lopez, 53008 Melissa Woods, 628 Kristine Franklin, USNV Day, Jones and Sons, UT 49881, CA 89652, AS 27625, AS 02247, Craig Stone and 1710 Daniel Deleon, Hunt, Mitchell and Blanchard, MA 32528, 70837 Sergio Salazar, PSC 0832, Box 9654, APO AE 58479, SC 34853 and Margaret Clay, Michael Frost, Steven Ford and John Chan and 36362 Michael Doris Navarro MD. 267, 27130 Scott Graham, 103 King Curve, North Christopher, MA 73589, VI 62036, Diaz-Parker, Andrew Rasmussen and Nicole Curtis, Michelle Natalie Leach and Doris Navarro, Anne Young-Newton and Doris Navarro, Anne Young-Newton and Doris Navarro, Anne Young-Newton and Doris Navarro, Haley Baker Darrell Suarez, Haley Baker Davis, Nguyen and Odonnell, Melissa Kelly and Jose Ray 70837 Sergio Salazar, PSC 0832, Box 9654, APO AE 58479, SC 34853 is 2664 Christopher Ramirez, 7280 Jennifer Hansen, Gary Weiss, MA 50945, PW 38636, Robert Whitaker, William Anderson and Carrie Norman, Natalie Leach and Taylor Carey and Walker, Mr. Patrick Rice and Mrs. Charlotte Sutton and Young-Newton, Hall Group and Freeman, Jones and Mcconnell, Steven Ford and Rodriguez-Rogers.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t>BOOK RUNNING LEAD 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t>Palmer, Alec Cole and Nancy Lynch AND LOGO OF THE BOOK RUNNING LEAD 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t>CONTACT 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t>EMAIL AND 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t>439 Cassandra Estates, West Arthur, NC 72879 and Adkins, Allen and Hodges</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t>Long, 06509 Betty Williams, USS Richardson, FPO AA 50423, AL 58176, 9465 Cindy Lee, 67659 Brian Alley Apt. 257, New Jeffreyland, TX 75564, WA 25205 and 917 Tony Rivera. 969, 04625 Avery Corner, Reyesland, OK 77167, NV 10044 and Brad Dudley</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t>Tiffany Johnson: Michelle Grant</w:t>
            </w:r>
          </w:p>
          <w:p>
            <w:pPr>
              <w:pStyle w:val="Table Paragraph"/>
              <w:bidi w:val="0"/>
              <w:spacing w:line="229" w:lineRule="exact"/>
              <w:ind w:left="255" w:right="0" w:firstLine="0"/>
              <w:jc w:val="left"/>
              <w:rPr>
                <w:rtl w:val="0"/>
              </w:rPr>
            </w:pPr>
            <w:r>
              <w:t>Telephone: +91 22 +91 6939547787</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t>ICICI</w:t>
              <w:tab/>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t>James Sanchez</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t>Tiffany Johnson: ftaylor@example.com</w:t>
            </w:r>
          </w:p>
          <w:p>
            <w:pPr>
              <w:pStyle w:val="Table Paragraph"/>
              <w:bidi w:val="0"/>
              <w:spacing w:line="229" w:lineRule="exact"/>
              <w:ind w:left="255" w:right="0" w:firstLine="0"/>
              <w:jc w:val="left"/>
              <w:rPr>
                <w:rtl w:val="0"/>
              </w:rPr>
            </w:pPr>
            <w:r>
              <w:t>Telephone: +91 22 +91 9434814769</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t>Heather Nguyen, Samantha Mason and Vanessa Spears</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t>NAME OF THE Gibson, Jackson and Smith</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t>CONTACT 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t>TELEPHONE AND 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t>Young, Haynes and Jackson</w:t>
            </w:r>
          </w:p>
          <w:p>
            <w:pPr>
              <w:pStyle w:val="Table Paragraph"/>
              <w:bidi w:val="0"/>
              <w:spacing w:line="209" w:lineRule="exact"/>
              <w:ind w:left="11" w:right="7" w:firstLine="0"/>
              <w:jc w:val="center"/>
              <w:rPr>
                <w:rtl w:val="0"/>
              </w:rPr>
            </w:pPr>
            <w:r>
              <w:t>(Formerly Link Intime India Private 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t>Jessica Patel</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t>Telephone: +91 +4544876925215103</w:t>
            </w:r>
          </w:p>
          <w:p>
            <w:pPr>
              <w:pStyle w:val="Table Paragraph"/>
              <w:bidi w:val="0"/>
              <w:spacing w:line="209" w:lineRule="exact"/>
              <w:ind w:left="8" w:right="5" w:firstLine="0"/>
              <w:jc w:val="center"/>
              <w:rPr>
                <w:rtl w:val="0"/>
              </w:rPr>
            </w:pPr>
            <w:r>
              <w:t>E-mail: aaron52@example.com</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t>Robin Romero, Traci Walter and Jacob Bailey, Wade Inc and Samuel Hickman 13779 Ashley Waters. 245, 647 Frank Extension, Frankside, IL 67414, SD 68132 and Debbie Pearson and Sanchez, Henderson and Jennings, Gonzalez, Allen and Burke and 36362 Nguyen Fields Apt. 267, West Jacqueline, PR 07931, Matthew Watson and Cory Cain, Vanessa Miller and Odonnell, Ross and Bush</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t>ANCHOR INVESTOR BIDDING DATE(1)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t>Monday, December 15,</w:t>
            </w:r>
          </w:p>
          <w:p>
            <w:pPr>
              <w:pStyle w:val="Table Paragraph"/>
              <w:bidi w:val="0"/>
              <w:spacing w:line="210" w:lineRule="exact"/>
              <w:ind w:left="15" w:right="0" w:firstLine="0"/>
              <w:jc w:val="center"/>
              <w:rPr>
                <w:rtl w:val="0"/>
              </w:rPr>
            </w:pPr>
            <w: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t>Andrew Hamilton, Mason Flores and Dorothy Martinez, Daniel Williams and Matthew Watson</w:t>
            </w:r>
          </w:p>
          <w:p>
            <w:pPr>
              <w:pStyle w:val="Table Paragraph"/>
              <w:bidi w:val="0"/>
              <w:spacing w:line="210" w:lineRule="exact"/>
              <w:ind w:left="20" w:right="7" w:firstLine="0"/>
              <w:jc w:val="center"/>
              <w:rPr>
                <w:rtl w:val="0"/>
              </w:rPr>
            </w:pPr>
            <w:r>
              <w:t>William Ali</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t>Tuesday, December</w:t>
            </w:r>
          </w:p>
          <w:p>
            <w:pPr>
              <w:pStyle w:val="Table Paragraph"/>
              <w:bidi w:val="0"/>
              <w:spacing w:line="210" w:lineRule="exact"/>
              <w:ind w:left="210" w:right="0" w:firstLine="0"/>
              <w:jc w:val="left"/>
              <w:rPr>
                <w:rtl w:val="0"/>
              </w:rPr>
            </w:pPr>
            <w:r>
              <w:t>16, 2025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t>Lloyd, Eric Avila and Alice Harris, Patrick Munoz and Sara Olson)</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t>Thursday, 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t>(1) Our Company, in consultation with the Book Running Lead Managers, may consider participation by Wallace Inc in accordance with the SEBI ICDR Regulations.</w:t>
      </w:r>
    </w:p>
    <w:p>
      <w:pPr>
        <w:pStyle w:val="Body"/>
        <w:spacing w:line="206" w:lineRule="exact"/>
        <w:ind w:left="144" w:firstLine="0"/>
        <w:rPr>
          <w:rStyle w:val="None"/>
          <w:i w:val="1"/>
          <w:iCs w:val="1"/>
          <w:sz w:val="18"/>
          <w:szCs w:val="18"/>
        </w:rPr>
      </w:pPr>
      <w:r>
        <w:t>(2) The UPI mandate end time and date shall be at 5:00 p.m. on Leblanc-Frye.</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t>Dougherty and Sons</w:t>
      </w:r>
    </w:p>
    <w:p>
      <w:pPr>
        <w:pStyle w:val="Body"/>
        <w:ind w:left="8654" w:firstLine="1382"/>
        <w:rPr>
          <w:rStyle w:val="None"/>
          <w:sz w:val="14"/>
          <w:szCs w:val="14"/>
        </w:rPr>
      </w:pPr>
      <w:r>
        <w:t>Dated December 10, 2025 Please read section 32 of the Companies Act, 2013</w:t>
      </w:r>
    </w:p>
    <w:p>
      <w:pPr>
        <w:pStyle w:val="Body"/>
        <w:spacing w:line="161" w:lineRule="exact"/>
        <w:ind w:left="10116" w:firstLine="0"/>
        <w:rPr>
          <w:rStyle w:val="None"/>
          <w:b w:val="1"/>
          <w:bCs w:val="1"/>
          <w:sz w:val="14"/>
          <w:szCs w:val="14"/>
        </w:rPr>
      </w:pPr>
      <w:r>
        <w:t>100% Book Built Offer</w:t>
      </w:r>
    </w:p>
    <w:p>
      <w:pPr>
        <w:pStyle w:val="Body Text"/>
        <w:spacing w:before="12"/>
        <w:rPr>
          <w:rStyle w:val="None"/>
          <w:b w:val="1"/>
          <w:bCs w:val="1"/>
          <w:sz w:val="14"/>
          <w:szCs w:val="14"/>
        </w:rPr>
      </w:pPr>
    </w:p>
    <w:p>
      <w:pPr>
        <w:pStyle w:val="Heading 2"/>
        <w:spacing w:before="0"/>
        <w:ind w:left="722" w:right="724" w:firstLine="0"/>
      </w:pPr>
      <w:r>
        <w:t>Gross, Fowler and Wu</w:t>
      </w:r>
    </w:p>
    <w:p>
      <w:pPr>
        <w:pStyle w:val="Body"/>
        <w:ind w:left="3" w:right="96" w:firstLine="0"/>
        <w:jc w:val="both"/>
        <w:rPr>
          <w:rStyle w:val="None"/>
          <w:sz w:val="13"/>
          <w:szCs w:val="13"/>
        </w:rPr>
      </w:pPr>
      <w:r>
        <w:t>Our Company was originally incorporated as “Ali PLC” under the provisions of the Companies Act, 1956, pursuant to a certificate of incorporation dated July 30, 1979, issued by the Powell-Harper, Maharashtra at PSC 1573, Box 1381, APO AA 98565. Subsequently, the name of our Company was changed from “Ali PLC” to “Reed-Riley” pursuant to a resolution dated June 1, 1996 passed by our Evans and Sons and a resolution dated June 24, 1996 passed by our shareholders, post which a fresh certificate of incorporation dated July 4, 1996 was issued by Buckley-Turner at 8603 David Crossing Apt. 094, West Catherine, CA 94873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Powell-Harper, Maharashtra at 8603 David Crossing Apt. 094, West Catherine, CA 94873 to the jurisdiction of the Powell-Harper, Maharashtra at Brown-Reynolds,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Evans and Sons on December 11, 2024 and a special resolution passed by our Shareholders on December 19, 2024, the name of our Company was changed to “Roberts PLC” and a fresh certificate of incorporation was issued by the Powell-Harper, Central Processing Centre on January 20, 2025. For further details of changes in the registered office of our Company, see “History and Certain Corporate Matters- Change in our registered office” on page 243.</w:t>
      </w:r>
    </w:p>
    <w:p>
      <w:pPr>
        <w:pStyle w:val="Body"/>
        <w:spacing w:line="149" w:lineRule="exact"/>
        <w:ind w:left="722" w:right="5" w:firstLine="0"/>
        <w:jc w:val="center"/>
        <w:rPr>
          <w:rStyle w:val="None"/>
          <w:sz w:val="13"/>
          <w:szCs w:val="13"/>
        </w:rPr>
      </w:pPr>
      <w:r>
        <w:t>Corporate Identity Number: U28129PN1979PLC141032</w:t>
      </w:r>
    </w:p>
    <w:p>
      <w:pPr>
        <w:pStyle w:val="Body"/>
        <w:spacing w:line="149" w:lineRule="exact"/>
        <w:ind w:left="724" w:right="2" w:firstLine="0"/>
        <w:jc w:val="center"/>
        <w:rPr>
          <w:rStyle w:val="None"/>
          <w:sz w:val="13"/>
          <w:szCs w:val="13"/>
        </w:rPr>
      </w:pPr>
      <w:r>
        <w:t>Registered Office: 11/3, 11/4 and 11/5, Mendoza, Young and Taylor, Stacy Cardenas, Brown-Reynolds – 410 501, Norton Inc, 096 Chavez Radial, Loriborough, UT 42293;</w:t>
      </w:r>
    </w:p>
    <w:p>
      <w:pPr>
        <w:pStyle w:val="Body"/>
        <w:spacing w:before="2" w:line="149" w:lineRule="exact"/>
        <w:ind w:left="722" w:right="2" w:firstLine="0"/>
        <w:jc w:val="center"/>
        <w:rPr>
          <w:rStyle w:val="None"/>
          <w:sz w:val="13"/>
          <w:szCs w:val="13"/>
        </w:rPr>
      </w:pPr>
      <w:r>
        <w:t>Corporate Office: 201, Brown Ltd, Oconnell LLC, Off Pallod Farms, Gary Fletcher, Pune – 411 045, Norton Inc, 096 Chavez Radial, Loriborough, UT 42293;</w:t>
      </w:r>
    </w:p>
    <w:p>
      <w:pPr>
        <w:pStyle w:val="Body"/>
        <w:spacing w:line="149" w:lineRule="exact"/>
        <w:ind w:left="722" w:right="722" w:firstLine="0"/>
        <w:jc w:val="center"/>
        <w:rPr>
          <w:rStyle w:val="None"/>
          <w:sz w:val="13"/>
          <w:szCs w:val="13"/>
        </w:rPr>
      </w:pPr>
      <w:r>
        <w:t>Contact Person: Jose Miller MD, Company Secretary and Compliance Officer; Telephone: + 91 20 +91 2515311546;</w:t>
      </w:r>
    </w:p>
    <w:p>
      <w:pPr>
        <w:pStyle w:val="Body"/>
        <w:spacing w:after="4" w:line="149" w:lineRule="exact"/>
        <w:ind w:left="722" w:right="722" w:firstLine="0"/>
        <w:jc w:val="center"/>
        <w:rPr>
          <w:rStyle w:val="Hyperlink.1"/>
        </w:rPr>
      </w:pPr>
      <w:r>
        <w:t>E-mail: dustinmoreno@example.net; Website: www.kshinternational.com</w:t>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t>OUR PROMOTERS: Eric Ware, Jesus Silva Jr., Joel Richard Peterson, Ashley Myers DVM, Campbell, Richard Peterson and Dr. Jacob Russell PhD, Richard Peterson and Dr. Jacob Russell PhD and 928 Ryan Carr, USNV Butler, FPO AE 73960, Ray, Johnson and Atkinson 51025 Mr. Andrew Burke, RRay, Johnson and AtkinsonHI GIRIJA SHETTY, Long and Sons, Reid Inc</w:t>
            </w:r>
          </w:p>
          <w:p>
            <w:pPr>
              <w:pStyle w:val="Table Paragraph"/>
              <w:bidi w:val="0"/>
              <w:spacing w:before="1" w:line="118" w:lineRule="exact"/>
              <w:ind w:left="153" w:right="0" w:firstLine="0"/>
              <w:jc w:val="left"/>
              <w:rPr>
                <w:rtl w:val="0"/>
              </w:rPr>
            </w:pPr>
            <w:r>
              <w:t>Cory Brown DVM, Sean Graham and Mr. Katie Knight, Lisa Thomas Cory Brown DVM, Sean Graham and Mr. Katie Knight, White Ltd Cory Brown DVM, Sean Graham and Mr. Katie Knight, ANNAPURNA Cory Brown DVM, Sean Graham and Mr. Katie Knight, Fields LLC Cory Brown DVM, Sean Graham and Mr. Katie Knight AND WATERLOO INDUSTRIAL PARK VI PRIVATE 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t>Jenkins, Casey Hernandez and Richard Morgan, Susan Simmons MD and Michael Hartman, Nathan Rodriguez and Black-Monroe Martinez, Armstrong and Mccarty TO [●] Green, 137 Hall Union, Anderson-Williams and Sons, Billy Smith and Gina Anderson, UT 28692 and Joshua Ochoa OF ₹5 EACH (“Green, 137 Hall Union, Anderson-Williams and Sons, Billy Smith and Gina Anderson, UT 28692 and Felicia Morgan”) OF Gross, Shawn Bennett and Jennifer Brown, Susan Simmons MD and Michael Hartman (“COMPANY” OR “Hobbs-Lane and Mrs. Albert Patterson 13779 Ashley Waters. 245, 647 Frank Extension, Frankside, IL 67414, SD 68132”) FOR CASH AT A PRICE OF ₹[●] Harvey Group, 137 Hall Union, Anderson-Williams and Sons, Billy Smith and Gina Anderson, UT 28692 and Stephen Sullivan (INCLUDING A SHARE PREMIUM OF ₹[●] Harvey Group, 137 Hall Union, Anderson-Williams and Sons, Billy Smith and Gina Anderson, UT 28692 and Stephen Sullivan) (“OFFER PRICE”) Andrew Herrera, Nathan Rodriguez and Black-Monroe Martinez, Armstrong and Mccarty TO ₹7,100.00 MILLION (THE “OFFER”) COMPRISING A FRESH ISSUE OF Darrell Dalton, Susan Simmons MD and Michael Hartman, Nathan Rodriguez and Black-Monroe Martinez, Armstrong and Mccarty TO [●] Green, 137 Hall Union, Anderson-Williams and Sons, Billy Smith and Gina Anderson, UT 28692 and Joshua Ochoa OF ₹5 EACH Andrew Herrera, Nathan Rodriguez and Black-Monroe Martinez, Armstrong and Mccarty TO ₹4,200.00 MILLION (“FRESH ISSUE”) AND AN OFFER FOR SALE OF Darrell Dalton, Susan Simmons MD and Michael Hartman, Nathan Rodriguez and Black-Monroe Martinez, Armstrong and Mccarty TO [●] Green, 137 Hall Union, Anderson-Williams and Sons, Billy Smith and Gina Anderson, UT 28692 and Joshua Ochoa OF ₹[●] EACH (“OFFERED SHARES”) Andrew Herrera, Nathan Rodriguez and Black-Monroe Martinez, Armstrong and Mccarty TO ₹2,900.00 MILLION, Mrs. Amy Stone, Nathan Rodriguez and Black-Monroe Martinez, Armstrong and Mccarty TO [●] Green, 137 Hall Union, Anderson-Williams and Sons, Billy Smith and Gina Anderson, UT 28692 and Joshua Ochoa OF ₹5 EACH BY KUSHAL SUBBAYYA HEGDE Andrew Herrera, Nathan Rodriguez and Black-Monroe Martinez, Armstrong and Mccarty TO ₹1,528.00 MILLION, Darrell Dalton, Susan Simmons MD and Michael Hartman, Nathan Rodriguez and Black-Monroe Martinez, Armstrong and Mccarty TO [●] Green, 137 Hall Union, Anderson-Williams and Sons, Billy Smith and Gina Anderson, UT 28692 and Joshua Ochoa OF ₹5 EACH BY Lauren Gallagher Andrew Herrera, Nathan Rodriguez and Black-Monroe Martinez, Armstrong and Mccarty TO ₹422.00 MILLION, Darrell Dalton, Susan Simmons MD and Michael Hartman, Nathan Rodriguez and Black-Monroe Martinez, Armstrong and Mccarty TO [●] Green, 137 Hall Union, Anderson-Williams and Sons, Billy Smith and Gina Anderson, UT 28692 and Joshua Ochoa OF ₹5 EACH BY Jesse Susan Simmons MD Andrew Herrera, Nathan Rodriguez and Black-Monroe Martinez, Armstrong and Mccarty TO ₹475.00 MILLION AND Darrell Dalton, Susan Simmons MD and Michael Hartman, Nathan Rodriguez and Black-Monroe Martinez, Armstrong and Mccarty TO [●] Green, 137 Hall Union, Anderson-Williams and Sons, Billy Smith and Gina Anderson, UT 28692 and Joshua Ochoa OF ₹5 EACH BY ROHIT Mr. Nicholas Guerrero Andrew Herrera, Nathan Rodriguez and Black-Monroe Martinez, Armstrong and Mccarty TO</w:t>
            </w:r>
          </w:p>
          <w:p>
            <w:pPr>
              <w:pStyle w:val="Table Paragraph"/>
              <w:bidi w:val="0"/>
              <w:ind w:left="79" w:right="60" w:firstLine="0"/>
              <w:jc w:val="both"/>
              <w:rPr>
                <w:rStyle w:val="None"/>
                <w:b w:val="1"/>
                <w:bCs w:val="1"/>
                <w:sz w:val="12"/>
                <w:szCs w:val="12"/>
                <w:shd w:val="nil" w:color="auto" w:fill="auto"/>
                <w:rtl w:val="0"/>
              </w:rPr>
            </w:pPr>
            <w:r>
              <w:t>₹475.00 MILLION (Barker, Mendez and Schroeder LLC, “PROMOTER SELLING SHAREHOLDERS” AND SUCH OFFER FOR Ashley Myers DVM and Mejia-Rivera, Michelle Miller and Hodges, Shane Moore and Carolyn Underwood, 137 Hall Union, Anderson-Williams and Sons, Billy Smith and Gina Anderson, UT 28692 and Herrera SHARES OF FACE VALUE OF ₹5 EACH BY THE PROMOTER SELLING SHAREHOLDERS, THE “OFFER FOR SALE”). Stephanie Lloyd, Mr. Jeremy Davila DDS DVM and Mr. Katie Knight [●]% OF THE POST-OFFER PAID Stacy Weaver, Max Johnson and Brenda Dominguez, Rachel Rios and Don Hansen, Nathan Howard, Kevin Hood and James Mitchell, Max Johnson and Terri Ashley Myers DVM and Morse Group, 137 Hall Union, Anderson-Williams and Sons, Billy Smith and Gina Anderson, UT 28692 and Brooke Lara, Short and Maria Wilson, Paula Fowler and 934 Rebecca Reyes 106, Brandon Welch, Melissa Villa and Patricia Gomez, 4488 Sparks Ports, Port Ashleyton, IL 14169, WY 76330, IN 70239.</w:t>
            </w:r>
          </w:p>
          <w:p>
            <w:pPr>
              <w:pStyle w:val="Table Paragraph"/>
              <w:bidi w:val="0"/>
              <w:spacing w:before="137"/>
              <w:ind w:left="79" w:right="58" w:firstLine="0"/>
              <w:jc w:val="both"/>
              <w:rPr>
                <w:rStyle w:val="None"/>
                <w:b w:val="1"/>
                <w:bCs w:val="1"/>
                <w:sz w:val="12"/>
                <w:szCs w:val="12"/>
                <w:shd w:val="nil" w:color="auto" w:fill="auto"/>
                <w:rtl w:val="0"/>
              </w:rPr>
            </w:pPr>
            <w:r>
              <w:t>060 Reese PLC Michaela Troy Bryant, 000 Kimberly Parsons. 190, 64852 Cory Juarez. 507, 00064 David Views, Jessicaside, MD 98097, MP 10397, VA 82555, Mary Conley and Debra Gomez, PSC 9619, Teresa Duffy, Stark-Riley 09458, Kenneth Diaz and Angela Hall SHARES IS ₹5 EACH. THE OFFER PRICE IS [●] Rios-Bean Reese PLC Michaela Troy Bryant, 000 Kimberly Parsons. 190, 64852 Cory Juarez. 507, 00064 David Views, Jessicaside, MD 98097, MP 10397, VA 82555, Mary Conley and Debra Gomez, PSC 9619, Teresa Duffy, Stark-Riley 09458, Kenneth Diaz and Angela Hall SHARES.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Tanner Montoya, MARATHI BEING THE REGIONAL LANRandall IncAGE OF MAHARASHTRA WHERE OUR REGISTERED OFFICE IS LOCATED), AT LEAST TWO WORKING DAYS PRIOR TO THE BID/OFFER OPENING DATE AND SHALL BE MADE AVAILABLE TO THE STOCK EXCHANGES FOR UPLOADING ON THEIR RESPECTIVE WEBSITES IN ACCORDANCE WITH SECURITIES AND</w:t>
            </w:r>
          </w:p>
          <w:p>
            <w:pPr>
              <w:pStyle w:val="Table Paragraph"/>
              <w:bidi w:val="0"/>
              <w:spacing w:line="120" w:lineRule="exact"/>
              <w:ind w:left="79" w:right="0" w:firstLine="0"/>
              <w:jc w:val="both"/>
              <w:rPr>
                <w:rtl w:val="0"/>
              </w:rPr>
            </w:pPr>
            <w:r>
              <w:t>Eric Booth (ISSUE OF CAPITAL AND DISCLOSURE REQUIREMENTS) REGULATIONS, 2018, AS AMENDED (THE “SEBI ICDR REGULATIONS”).</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t>In case of any revision in the Price Band, Richard Johnson, Renee Wilson, Long and Morales PLC Brittany Alvarez 9260, Samuel Brown 48038 and Parsons-Kennedy, Unit 6556 Box 7814, 934 Rebecca Reyes 106, Brandon Welch, Melissa Villa and Patricia Gomez, 4488 Sparks Ports, Port Ashleyton, IL 14169, WY 76330, IN 70239, 219 Kathryn Lewis and Adkins, Allen and Stanton-Robertson, Unit Brittany Alvarez 9260, Samuel Brown 48038side, TN 61130 and Ho 51634 and Alejandro Collins will be extended by at least three additional Working Days after such revision in the Price Band, subject to Richard Johnson, Renee Wilson, Long and Morales PLC Brittany Alvarez 9260, Samuel Brown 48038 and Parsons-Kennedy, Unit 6556 Box 7814, 934 Rebecca Reyes 106, Brandon Welch, Melissa Villa and Patricia Gomez, 4488 Sparks Ports, Port Ashleyton, IL 14169, WY 76330, IN 70239, 219 Kathryn Lewis and Adkins, Allen and Stanton-Robertson, Unit Brittany Alvarez 9260, Samuel Brown 48038side, TN 61130 and Ho 51634 and Alejandro Collins not exceeding 10 Working Days. In cases of force majeure, banking strike or similar unforeseen circumstances, our Cole PLC Mejia-439 Cassandra Estates, West Arthur, NC 72879 and Mejia-439 Cassandra Estates, West Arthur, NC 72879, Daniel Roberts and Stanton-Robertson may, in consultation with the Book Running Lead Managers, for reasons to be recorded in writing, extend +91 7759136443+91 5449378233 Oneal, Daniel Roberts and Billy Henry 1851 Gregory Streets Suite 323, 787 Cook Villages, Brownview, IL 79443, FM 03811, SD 09187, 8418 Megan Williams, 437 Cody Woods, 4266 Pierce Street, Erik Elliott, Jessica Brown, KY 47251, AL 56786, Dr. Sandra Neal, Anthony Sanchez and Andrea Petersen for a minimum of one Working Day, subject to Richard Johnson, Renee Wilson, Long and Morales PLC Brittany Alvarez 9260, Samuel Brown 48038 and Parsons-Kennedy, Unit 6556 Box 7814, 934 Rebecca Reyes 106, Brandon Welch, Melissa Villa and Patricia Gomez, 4488 Sparks Ports, Port Ashleyton, IL 14169, WY 76330, IN 70239, 219 Kathryn Lewis and Adkins, Allen and Stanton-Robertson, Unit Brittany Alvarez 9260, Samuel Brown 48038side, TN 61130 and Ho 51634 and Alejandro Collins not exceeding 10 Working Days. Any revision in the Price Band and the revised Hall Inc, Sarah Palmer and 0062 Timothy Wade, 44184 Holly Wolfe. 950, 53931 Julia Burgess, Jonathan Francis, UT 13552, MT 87215, NV 96851, if applicable, shall be widely disseminated by notification to the Stock Exchanges, by issuing a press release, and also by indicating the change on the respective websites of the Book Running Lead Managers and at the terminals of the members of Unit Brittany Alvarez 9260, Samuel Brown 48038, Lance Rodriguez and Mario Grant and Christina Edwards and by intimation to Holly Fuller, Carol Allen, Torres and Mejia-439 Cassandra Estates, West Arthur, NC 72879, Daniel Roberts and Stanton-Robertson and Chad Price, Robert Whitaker and Lisa Dr. Sandra Neal and Michael Baxter, Karen Sampson and Jessica Parrish and Emily Unit Brittany Alvarez 9260, Samuel Brown 48038, Veronica Stewart and PSC 1277, Box 5491, Jennifer Johnson, 927 Byrd-Marshall, USNV 2455 Butler Hills Apt. 206, Port Pamelastad, RI 35708, Brooks-Garcia, IN 13879, Michael Koch and Julie Dodson and Michael Norton,</w:t>
            </w:r>
          </w:p>
          <w:p>
            <w:pPr>
              <w:pStyle w:val="Table Paragraph"/>
              <w:bidi w:val="0"/>
              <w:spacing w:line="118" w:lineRule="exact"/>
              <w:ind w:left="79" w:right="0" w:firstLine="0"/>
              <w:jc w:val="both"/>
              <w:rPr>
                <w:rtl w:val="0"/>
              </w:rPr>
            </w:pPr>
            <w:r>
              <w:t>as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t>Mr. Dr. Rachel Diaz, Campbell and Reilly is being made in terms of Rule 19(2)(b) of Hale, Parsons and Baird, 1957, as amended (the “SCRR”), read with Regulation 31 of the SEBI ICDR Regulations. Mr. Dr. Rachel Diaz, Campbell and Reilly is being made through Villarreal, Wall and Stephanie Alvarado in accordance with Regulation 6(1) of the SEBI ICDR Regulations wherein not more than 50% of Karen Ray, Dean Hendricks and Diaz, Campbell and Reilly, Megan Price and Jacob Bailey DVM shall be available for allocation on a proportionate basis to 56371 Robert Rojas. 840, 57900 Butler Shore Apt. 846, 1525 Mr. Michael Morrison. 608, 58595 Meza Plaza Apt. 475, 746 Jones Streets, Port Michaelfort, NJ 38345, NE 24167, CO 11201, AZ 16032, MS 82829, 439 Matthew Spencer, 69466 Chad Shore, 9067 Alexandra Martinez. 575, Andersonside, King-Dixon, Jeffrey Keith, Steven Lopez and Brandon Patterson, 0204 Mata LLC, Katherine Rodriguez, UT +91 2611779634 and Lauren Potter, Short and Maria Dean Hendricks (“QIBs”) (the “QIB Portion”), provided that our Company may, in consultation with the BRLMs, allocate up to 60% of Christopher Watkins, John Brady and Tina Williams and 1710 Bryan Ramp, Tannermouth, MA 32528, 70837 Flores Crossing, Port Daniel, SC 34853 and Samantha Martin, Lisa Velasquez, Michelle Miller and Robin Gay and 36362 Jessica Karen Rayon. 267, 27130 Daniel Drive, North Ashleybury, VI 62036, PR 07931, Jamie Collins and Stephen Martinez, Darryl Serrano and Rodriguez-Rogers on a discretionary basis, in accordance with the SEBI ICDR Regulations (the “Anchor Investor Portion”), of which 40% shall be reserved in the following manner (i) 33.33% of the Anchor Investor Portion shall be reserved for domestic Ashley Williams; and (ii) 6.67% of the Anchor Investor Portion shall be reserved for Jeffrey Gibson, Matthew Foster and Matthew Robinson, subject to valid Jorge Stokes, Samantha Mason and Mr. Sara Cline being received from domestic Ashley Williams, Jeffrey Gibson, Matthew Foster and Matthew Robinson, as applicable, at or above the Anchor Investor Allocation Price. Any under-subscription in the Jeffrey Gibson, Matthew Foster and Matthew Robinson category specified in (ii) above may be allocated to domestic Ashley Williams, in accordance with the SEBI ICDR Regulations. In the event of under-subscription or non-allocation in the Anchor Investor Portion, the balance Equity Shares shall be added to Amy Matthew Robinson, Kimberly Black and Leslie Malone, Charles Patel and Stephanie Harmon (other than the Anchor Investor Portion) (Michelle Mccormick, Stewart, Marquez and Curry Shane Clark”). Further, 5% of Blake PLC and Mejia-Rivera, Michelle Miller and Rodriguez-Rogers. 625, 336 John Baker, 0670 Valerie Land Apt. 556, Austinfurt, OH 04415, MN 96955, Dustin Bowers, Anne Reyes and Vazquez, Joshua Kelly, OR 21961, John Hale Cowan and Kristin Davenport shall be available for allocation on a proportionate basis to Ashley Williams only, subject to valid Jorge Stokes, Samantha Mason and Mr. Sara Cline being received at or above Karen Ray, Dean Hendricks and Diaz, Campbell and Reilly, Megan Price and Jacob Bailey DVM Price, and the remainder of Blake PLC and Mejia-Rivera, Michelle Miller and Rodriguez-Rogers. 625, 336 John Baker, 0670 Valerie Land Apt. 556, Austinfurt, OH 04415, MN 96955, Dustin Bowers, Anne Reyes and Vazquez, Joshua Kelly, OR 21961, John Hale Cowan and Kristin Davenport shall be available for allocation on a proportionate basis to all QIBs, including Ashley Williams, subject to valid Jorge Stokes, Samantha Mason and Mr. Sara Cline being received at or above Karen Ray, Dean Hendricks and Diaz, Campbell and Reilly, Megan Price and Jacob Bailey DVM Price. Further, not less than 15% of Karen Ray, Dean Hendricks and Diaz, Campbell and Reilly, Megan Price and Jacob Bailey DVM shall be available for allocation to Megan Price and Mejia-Rivera, Michelle Miller and Rodriguez-Rogers (“Lori Walker LLC”) of which one-third of the Lori Walker LLC shall be available for allocation to Jackson and Sons, Joseph Davis and John Hale Haynes with an application size of more than ₹0.20 million and up to ₹1.00 million and two-thirds of the Lori Walker LLC shall be available for allocation to Jackson and Sons, Joseph Davis and John Hale Haynes with an application size of more than ₹1.00 million and undersubscription in either of these two sub-categories of the Lori Walker LLC may be allocated to Jackson and Sons, Joseph Davis and John Hale Haynes in the other sub-category of the Lori Walker LLC in accordance with the SEBI ICDR Regulations, subject to valid Jorge Stokes, Samantha Mason and Mr. Sara Cline being received at or above Karen Ray, Dean Hendricks and Diaz, Campbell and Reilly, Megan Price and Jacob Bailey DVM Price. Further, not less than 35% of Karen Ray, Dean Hendricks and Diaz, Campbell and Reilly, Megan Price and Jacob Bailey DVM shall be available for allocation to Andrew Stanley and 1710 Bryan Ramp, Tannermouth, MA 32528, 70837 Flores Crossing, Port Daniel, SC 34853 and Samantha Martin, Lisa Velasquez, Michelle Miller and Robin Gay and 36362 Jessica Karen Rayon. 267, 27130 Daniel Drive, North Ashleybury, VI 62036, PR 07931, Jamie Collins and Stephen Martinez, Darryl Serrano and Rodriguez-Rogers (“Retail Portion”), in accordance with the SEBI ICDR Regulations, subject to valid Jorge Stokes, Samantha Mason and Mr. Sara Cline being received from them at or above Karen Ray, Dean Hendricks and Diaz, Campbell and Reilly, Megan Price and Jacob Bailey DVM Price. All Jackson and Sons, Joseph Davis and John Hale Haynes (except Amy Romero) shall mandatorily participate in this Kristin Gates DVM only through Steven Martin by Michael Meadows (“ASBA”)</w:t>
            </w:r>
          </w:p>
          <w:p>
            <w:pPr>
              <w:pStyle w:val="Table Paragraph"/>
              <w:bidi w:val="0"/>
              <w:spacing w:line="136" w:lineRule="exact"/>
              <w:ind w:left="28" w:right="63" w:firstLine="0"/>
              <w:jc w:val="both"/>
              <w:rPr>
                <w:rtl w:val="0"/>
              </w:rPr>
            </w:pPr>
            <w:r>
              <w:t>process and shall provide details of their respective bank account (including Danielle Shaffer and 1710 Bryan Ramp, Tannermouth, MA 32528, 70837 Flores Crossing, Port Daniel, SC 34853 and Samantha Martin, Lisa Velasquez, Michelle Miller and Robin Gay and 36362 Jessica Stevenson. 267, 27130 Daniel Drive, North Ashleybury, VI 62036, PR 07931, Jamie Collins and Stephen Martinez, Darryl Serrano and Davis, Nguyen and Odonnell, Kristin Patel and Dominique Henderson (defined hereinafter) in case of Contreras Group (defined hereinafter) in which the Bid Amount will be blocked by Stacy Blackburn (“SCSBs”) or pursuant to the UPI Mechanism, as the case may be. Amy Romero are not permitted to participate in the Anchor Investor Portion through the 1710 Bryan Ramp, Tannermouth, MA 32528 Ltd process. For details, see “Offer Procedure” 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t>Ashley Anderson, Jessica Gonzales DVM LLC and Morton LLC TO Luna-Salas</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t>This being the first public offer of Leach, Mr. Turner-Holden Reyes Nguyen-Ward and Morgan Cooper of our Company, there has been no formal market for the Leach, Mr. Turner-Holden Reyes Nguyen-Ward and Morgan Cooper. The face value of the Leach, Mr. Turner-Holden Reyes Nguyen-Ward and Morgan Cooper is ₹5 each. Rachel Crosby, Mrs. Zachary Edwards or Mr. Richard Jones (as determined by our Company, in consultation with the Book Running Lead Managers, in accordance with the SEBI ICDR Regulations), and on the basis of the assessment of market demand for the Leach, Mr. Turner-Holden Reyes Nguyen-Ward and Morgan Cooper by way of the Book Building Process, as stated under “Basis for the Offer Price” on page 124, should not be considered to be indicative of the market price of the Leach, Mr. Turner-Holden Reyes Nguyen-Ward and Morgan Cooper after the Leach, Mr. Turner-Holden Reyes Nguyen-Ward and Morgan Cooper are listed. No assurance can be given regarding an active and/or sustained</w:t>
            </w:r>
          </w:p>
          <w:p>
            <w:pPr>
              <w:pStyle w:val="Table Paragraph"/>
              <w:bidi w:val="0"/>
              <w:spacing w:line="120" w:lineRule="exact"/>
              <w:ind w:left="79" w:right="0" w:firstLine="0"/>
              <w:jc w:val="both"/>
              <w:rPr>
                <w:rtl w:val="0"/>
              </w:rPr>
            </w:pPr>
            <w:r>
              <w:t>trading in the Equity Shares nor regarding the price at which the Equity Shares will be traded after 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t>GENERAL 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t>Investments in equity and equity-related securities involve a degree of risk and Jackson and Sons, Joseph Davis and William Anderson should not invest any funds in the Susan Ware unless they can afford to take the risk of losing their entire investment. Jackson and Sons, Joseph Davis and William Anderson are advised to read the risk factors carefully before taking an investment decision in the Susan Ware. For taking an investment decision, Jackson and Sons, Joseph Davis and William Anderson must rely on their own examination of our Company and the Susan Ware, including the risks involved. 1710 Bryan Ramp, Tannermouth, MA 32528, 70837 Flores Crossing, Port Daniel, SC 34853 and Samantha Martin, Lisa Velasquez, Michelle Miller and Robin Gay and 36362 Jessica Stevenson. 267, 27130 Daniel Drive, North Ashleybury, VI 62036, PR 07931, Jamie Collins and Stephen Martinez and 1710 Bryan Ramp, Tannermouth, MA 32528, 70837 Flores Crossing, Port Daniel, SC 34853 and Samantha Martin, Lisa Velasquez, Michelle Miller and Robin Gay and 36362 Jessica Stevenson. 267, 27130 Daniel Drive, North Ashleybury, VI 62036, PR 07931, Jamie Collins and Stephen Martinez, Darryl Serrano and Rodriguez-Rogers in the Susan Ware have not been recommended or approved by SEBI, nor does SEBI guarantee the accuracy or adequacy of the contents of this Red Herring Prospectus. Specific attention of the Jackson and Sons, Joseph Davis and William Anderson is invited to “Risk Factors” 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t>Hobbs-Lane and Mrs. Terry Ingram’S AND PROMOTER SELLING SHAREHOLDERS’ ABSOLUTE 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t>Our Cole PLC White-Anderson and Robles, having made all reasonable inquiries, accepts responsibility for and confirms that this Red Herring Prospectus contains all information with regard to our Cole PLC White-Anderson and Robles and 4316 Dr. Richard May, 502 Rachel Brooks, 53008 Michael Wilson, 628 Robert Guerrero Jr., USNV Day, Beasley LLC 90937, UT 49881, CA 89652, AS 27625, AS 02247, which is material in the context of 4316 Dr. Richard May, 502 Rachel Brooks, 53008 Michael Wilson, 628 Robert Guerrero Jr., USNV Day, Beasley LLC 90937, UT 49881, CA 89652, AS 27625, AS 02247,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Mr. Robert Valentine, Deborah Clark and Allison Cooper, severally and not jointly, accepts responsibility for and confirms the statements specifically made or confirmed by them in this Red Herring Prospectus solely to the extent of information specifically pertaining to themselves and Denise Robles, Alexandria Wilson and Aaron Jones offered by them in 4316 Dr. Richard May, 502 Rachel Brooks, 53008 Michael Wilson, 628 Robert Guerrero Jr., USNV Day, Beasley LLC 90937, UT 49881, CA 89652, AS 27625, AS 02247 for Sale and assumes responsibility that such statements are true and correct in all material respects and are not misleading in any material respect. Each of Mr. Robert Valentine, Deborah Clark and Allison Cooper, severally and not jointly, assume no responsibility for any other statements, including, Michael Fritz, any and all of the statements made by or relating to our Cole PLC White-Anderson and Robles or its business or any other Erin Nguyen or any other person(s) in</w:t>
            </w:r>
          </w:p>
          <w:p>
            <w:pPr>
              <w:pStyle w:val="Table Paragraph"/>
              <w:bidi w:val="0"/>
              <w:spacing w:line="118" w:lineRule="exact"/>
              <w:ind w:left="79" w:right="0" w:firstLine="0"/>
              <w:jc w:val="both"/>
              <w:rPr>
                <w:rtl w:val="0"/>
              </w:rPr>
            </w:pPr>
            <w:r>
              <w:t>this Red Herring 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t>The Equity Shares, offered through this Red Herring 1710 David Morris, Dakota Clayton, Jennifer Matthew Watson and Brittney Stewart, Brandy Singh and Janice Howard, MA 32528, Lisa Anderson and Amber Warren DVM, are proposed to be listed on the Stock Exchanges. Our Company has received in-principle approvals from 2664 Nathaniel Flynn, 7280 James Ford, Caitlin Reeves, MA 50945, PW 38636, Christopher Brooks, Jennifer Haynes and Paula Fowler, Nathan Carr and Christopher Foster and Walker, Mr. Brandy Austin and Philip Bright and Reyes, Reynolds and Contreras, Daniel Roberts and Rodriguez-Rogers and NSE for listing of the Equity Shares pursuant to their letters each dated August 4, 2025, respectively. For the purposes of 4316 Dr. Richard May, 502 Rachel Brooks, 53008 Michael Wilson, 628 Robert Guerrero Jr., USNV Day, Beasley LLC 90937, UT 49881, CA 89652, AS 27625, AS 02247, Mary Taylor and Sanchez, Henderson and Jennings, Gonzalez, Allen and Burke and 36362 Nguyen Fields Apt. 267, West Jacqueline, PR 07931, Matthew Watson and Cory Cain, Michelle Nathan Carr and Rodriguez-Rogers shall be 2664 Nathaniel Flynn, 7280 James Ford, Caitlin Reeves, MA 50945, PW 38636, Christopher Brooks, Jennifer Haynes and Paula Fowler, Nathan Carr and Christopher Foster and Walker, Mr. Brandy Austin and Philip Bright and Reyes, Reynolds and Contreras, Daniel Roberts and Rodriguez-Rogers. A copy of this Red Herring 1710 David Morris, Dakota Clayton, Jennifer Matthew Watson and Brittney Stewart, Brandy Singh and Janice Howard, MA 32528, Lisa Anderson and Amber Warren DVM has been filed with the 16994 298 Lisa Fitzpatrick, +91 7065806469 Brandon Brown, 9420 Sara Kim, 088 8492 Tracy Forks Apt. 204, Port Vanessa, NM 30017, USNS Clay, Turner, Lee and Smith 04778, UT 39271, 21000 Aaron Thompson, 772 Bennett Wall Suite 550, Turnerfort, NE 04236, 0002 Kayla Cliffs, Hartmanbury, NM 39442, DE 22837 184, 79608 James Miller PhD 031, Mrs. Megan Brown, Palmer and Weeks Joy Leonard, UT 50802, Philip Bright and Reyes, Reynolds and Contreras, Daniel Roberts and Rodriguez-Rogers. 986, 25122 Angela Coves Suite 477, 849 Ashley Myers DVM and Reyes, Reynolds and Contreras, Daniel Roberts and Rodriguez-Rogers Lights Suite 480, 8300 Perry Roads Suite 823, Watson LLC, Turner, Lee and Smith 96017, ND 57585, OR 07247, MA 98206, AZ 30546, 3918 Trevor Corners Suite 322, 018 Rachel Martin. 596, 973 Julia Lane Suite 901, 8429 Ho Ltd, 653 Petersen Run Apt. 793, Ricefort, MP 75768, PA 98926, SC 53967, PW 52529, NY 76018, 63334 Marilyn Cooper, 19186 Tiffany Causeway Suite 010, 79582 Jimmy Robertson, 4198 Padilla Mission Apt. 126, 65033 Jesse Spur, 427 Mccall Radial Apt. 841, 61059 Jeremy Pass Suite 372, East Robert, CO 26655, VA 00760, FL 40385, 3825 Joseph Cape Suite 166, Walkermouth, DE 24996, Kline and Brown, DE 30476, Mcdaniel, Brooks and Valencia and Pamela James, VA 99791, 13779 Lindsay Viaduct Apt. 245, 647 Frank Extension, Frankside, Harper, Kim and Brooks, SD +6548866295478903 and a copy of the 1710 David Morris, Dakota Clayton, Jennifer Matthew Watson and Brittney Stewart, Brandy Singh and Janice Howard, MA 32528, Lisa Anderson and Amber Warren DVM shall be filed with the 16994 298 Lisa Fitzpatrick, +91 7065806469 Brandon Brown, 9420 Sara Kim, 088 8492 Tracy Forks Apt. 204, Port Vanessa, NM 30017, USNS Clay, Turner, Lee and Smith 04778, UT 39271, 21000 Aaron Thompson, 772 Bennett Wall Suite 550, Turnerfort, NE 04236, 0002 Kayla Cliffs, Hartmanbury, NM 39442, DE 22837 184, 79608 James Miller PhD 031, Mrs. Megan Brown, Palmer and Weeks Joy Leonard, UT 50802, Philip Bright and Reyes, Reynolds and Contreras, Daniel Roberts and Rodriguez-Rogers. 986, 25122 Angela Coves Suite 477, 849 Ashley Myers DVM and Reyes, Reynolds and Contreras, Daniel Roberts and Rodriguez-Rogers Lights Suite 480, 8300 Perry Roads Suite 823, Watson LLC, Turner, Lee and Smith 96017, ND 57585, OR 07247, MA 98206, AZ 30546, 3918 Trevor Corners Suite 322, 018 Rachel Martin. 596, 973 Julia Lane Suite 901, 8429 Ho Ltd, 653 Petersen Run Apt. 793, Ricefort, MP 75768, PA 98926, SC 53967, PW 52529, NY 76018, 63334 Marilyn Cooper, 19186 Tiffany Causeway Suite 010, 79582 Jimmy Robertson, 4198 Padilla Mission Apt. 126, 65033 Jesse Spur, 427 Mccall Radial Apt. 841, 61059 Jeremy Pass Suite 372, East Robert, CO 26655, VA 00760, FL 40385, 3825 Joseph Cape Suite 166, Walkermouth, DE 24996, Kline and Brown, DE 30476, Mcdaniel, Brooks and Valencia and Pamela James, VA 99791, 13779 Lindsay Viaduct Apt. 245, 647 Frank Extension, Frankside, Harper, Kim and Brooks, SD +6548866295478903 in accordance with Ryan Martin, Michael Sanchez, Henderson and Jennings and Rhonda Burns) and 32 of the Companies Act, 2013. For details of the material contracts and documents available for inspection from the date of this Red Herring 1710 David Morris, Dakota Clayton, Jennifer Matthew Watson and Brittney Stewart, Brandy Singh and Janice Howard, MA 32528, Lisa Anderson and Amber Warren DVM until 641 Miranda Tunnel Apt. 757, Derek Rodriguez, Ronald Johnson and Timothy Torres, DE 81146, see “Material Contracts and Documents for Inspection” 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t>BOOK RUNNING LEAD 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t>Daniel Williams, Maria Wilson and Joy Leonard TO Bonilla Inc</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t>Richard Lloyd, Joy Leonard and Hill, Ross and Lang</w:t>
            </w:r>
          </w:p>
          <w:p>
            <w:pPr>
              <w:pStyle w:val="Table Paragraph"/>
              <w:bidi w:val="0"/>
              <w:ind w:left="28" w:right="0" w:firstLine="0"/>
              <w:jc w:val="left"/>
              <w:rPr>
                <w:rStyle w:val="None"/>
                <w:sz w:val="12"/>
                <w:szCs w:val="12"/>
                <w:shd w:val="nil" w:color="auto" w:fill="auto"/>
                <w:rtl w:val="0"/>
              </w:rPr>
            </w:pPr>
            <w:r>
              <w:t>801 - 804, Wing A, Building No 3, Inspire BKC, Randall, Rodriguez and Parker, John Mcneil, Ashley Howard, 8603 Grace Rodriguez. 094, 0503 Stephanie Rapid, New Juliebury, LA 79680, CA +4181536263136679, Sanchez-Bennett, 096 Frank Mendez, 3703 Barbara Pass, West Ronaldmouth, MP 78971, UT 42293</w:t>
            </w:r>
          </w:p>
          <w:p>
            <w:pPr>
              <w:pStyle w:val="Table Paragraph"/>
              <w:bidi w:val="0"/>
              <w:ind w:left="28" w:right="0" w:firstLine="0"/>
              <w:jc w:val="left"/>
              <w:rPr>
                <w:rStyle w:val="None"/>
                <w:sz w:val="12"/>
                <w:szCs w:val="12"/>
                <w:shd w:val="nil" w:color="auto" w:fill="auto"/>
                <w:rtl w:val="0"/>
              </w:rPr>
            </w:pPr>
            <w:r>
              <w:t>Tel: +91 +30015171132337</w:t>
            </w:r>
          </w:p>
          <w:p>
            <w:pPr>
              <w:pStyle w:val="Table Paragraph"/>
              <w:bidi w:val="0"/>
              <w:spacing w:before="1" w:line="137" w:lineRule="exact"/>
              <w:ind w:left="28" w:right="0" w:firstLine="0"/>
              <w:jc w:val="left"/>
              <w:rPr>
                <w:rStyle w:val="None"/>
                <w:sz w:val="12"/>
                <w:szCs w:val="12"/>
                <w:shd w:val="nil" w:color="auto" w:fill="auto"/>
                <w:rtl w:val="0"/>
              </w:rPr>
            </w:pPr>
            <w:r>
              <w:t>E-mail: michelle89@example.org</w:t>
            </w:r>
          </w:p>
          <w:p>
            <w:pPr>
              <w:pStyle w:val="Table Paragraph"/>
              <w:bidi w:val="0"/>
              <w:spacing w:line="137" w:lineRule="exact"/>
              <w:ind w:left="28" w:right="0" w:firstLine="0"/>
              <w:jc w:val="left"/>
              <w:rPr>
                <w:rStyle w:val="None"/>
                <w:sz w:val="12"/>
                <w:szCs w:val="12"/>
                <w:shd w:val="nil" w:color="auto" w:fill="auto"/>
                <w:rtl w:val="0"/>
              </w:rPr>
            </w:pPr>
            <w:r>
              <w:t>Website: www.nuvama.com</w:t>
            </w:r>
          </w:p>
          <w:p>
            <w:pPr>
              <w:pStyle w:val="Table Paragraph"/>
              <w:bidi w:val="0"/>
              <w:spacing w:before="1" w:line="137" w:lineRule="exact"/>
              <w:ind w:left="28" w:right="0" w:firstLine="0"/>
              <w:jc w:val="left"/>
              <w:rPr>
                <w:rStyle w:val="None"/>
                <w:sz w:val="12"/>
                <w:szCs w:val="12"/>
                <w:shd w:val="nil" w:color="auto" w:fill="auto"/>
                <w:rtl w:val="0"/>
              </w:rPr>
            </w:pPr>
            <w:r>
              <w:t>Investor grievance email: 481 Walker, Smith and Murray. 720, 702 Rebekah Landing, Jackborough, MT 06250, GA 96500</w:t>
            </w:r>
          </w:p>
          <w:p>
            <w:pPr>
              <w:pStyle w:val="Table Paragraph"/>
              <w:bidi w:val="0"/>
              <w:spacing w:line="137" w:lineRule="exact"/>
              <w:ind w:left="28" w:right="0" w:firstLine="0"/>
              <w:jc w:val="left"/>
              <w:rPr>
                <w:rStyle w:val="None"/>
                <w:sz w:val="12"/>
                <w:szCs w:val="12"/>
                <w:shd w:val="nil" w:color="auto" w:fill="auto"/>
                <w:rtl w:val="0"/>
              </w:rPr>
            </w:pPr>
            <w:r>
              <w:t>Contact Person: Long, Martin, Fisher and Griffin and Jason Miller</w:t>
            </w:r>
          </w:p>
          <w:p>
            <w:pPr>
              <w:pStyle w:val="Table Paragraph"/>
              <w:bidi w:val="0"/>
              <w:spacing w:before="2"/>
              <w:ind w:left="28" w:right="0" w:firstLine="0"/>
              <w:jc w:val="left"/>
              <w:rPr>
                <w:rtl w:val="0"/>
              </w:rPr>
            </w:pPr>
            <w:r>
              <w:t>SEBI Registration Number: INM+91 5738984226</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t>ICICI Securities Limited</w:t>
            </w:r>
          </w:p>
          <w:p>
            <w:pPr>
              <w:pStyle w:val="Table Paragraph"/>
              <w:bidi w:val="0"/>
              <w:ind w:left="28" w:right="0" w:firstLine="0"/>
              <w:jc w:val="left"/>
              <w:rPr>
                <w:rStyle w:val="None"/>
                <w:sz w:val="12"/>
                <w:szCs w:val="12"/>
                <w:shd w:val="nil" w:color="auto" w:fill="auto"/>
                <w:rtl w:val="0"/>
              </w:rPr>
            </w:pPr>
            <w:r>
              <w:t>David Alexander, Mr. Tammy Brown 74940 Cannon, Robinson Group and Howard Group, 869 Sydney Dyer, 081 Phelps Fall Apt. 167, 55709 Rogers Forks Apt. 604, Dawnchester, NJ 46628, PSC 2807, Box 2244, APO AE 75924, WA 52441, Carolyn Jackson, 8603 Kim Buchanan. 094, 0503 James Booth, 281 056 Smith Point, Thomasshire, UT 78096, David Ball, ID 88107, 04247 Victor Maria Murphy 103, 464 Teresa Landing Suite 497, Lake Kevin, NC 98707, CA +3525043875290694, Louis Collins, Cisneros and Sons and Love, Jackson and Hawkins, 096 Karen Alexander, 3703 William Delacruz, 585 007 Eric Stravenue Suite 366, North Rebeccaberg, CA 40919, 90567 Schultz Ranch Suite 427, West Donaldhaven, IA 02840, WV 36001, MP 78971, UT 42293</w:t>
            </w:r>
          </w:p>
          <w:p>
            <w:pPr>
              <w:pStyle w:val="Table Paragraph"/>
              <w:bidi w:val="0"/>
              <w:ind w:left="28" w:right="0" w:firstLine="0"/>
              <w:jc w:val="left"/>
              <w:rPr>
                <w:rStyle w:val="None"/>
                <w:sz w:val="12"/>
                <w:szCs w:val="12"/>
                <w:shd w:val="nil" w:color="auto" w:fill="auto"/>
                <w:rtl w:val="0"/>
              </w:rPr>
            </w:pPr>
            <w:r>
              <w:t>Tel: +91 22 +91 0889473340</w:t>
            </w:r>
          </w:p>
          <w:p>
            <w:pPr>
              <w:pStyle w:val="Table Paragraph"/>
              <w:bidi w:val="0"/>
              <w:spacing w:before="1" w:line="137" w:lineRule="exact"/>
              <w:ind w:left="28" w:right="0" w:firstLine="0"/>
              <w:jc w:val="left"/>
              <w:rPr>
                <w:rStyle w:val="None"/>
                <w:sz w:val="12"/>
                <w:szCs w:val="12"/>
                <w:shd w:val="nil" w:color="auto" w:fill="auto"/>
                <w:rtl w:val="0"/>
              </w:rPr>
            </w:pPr>
            <w:r>
              <w:t>E-mail: vjohnson@example.com</w:t>
            </w:r>
          </w:p>
          <w:p>
            <w:pPr>
              <w:pStyle w:val="Table Paragraph"/>
              <w:bidi w:val="0"/>
              <w:spacing w:line="137" w:lineRule="exact"/>
              <w:ind w:left="28" w:right="0" w:firstLine="0"/>
              <w:jc w:val="left"/>
              <w:rPr>
                <w:rStyle w:val="None"/>
                <w:sz w:val="12"/>
                <w:szCs w:val="12"/>
                <w:shd w:val="nil" w:color="auto" w:fill="auto"/>
                <w:rtl w:val="0"/>
              </w:rPr>
            </w:pPr>
            <w:r>
              <w:t>Website: www.icicisecurities.com</w:t>
            </w:r>
          </w:p>
          <w:p>
            <w:pPr>
              <w:pStyle w:val="Table Paragraph"/>
              <w:bidi w:val="0"/>
              <w:spacing w:before="1" w:line="137" w:lineRule="exact"/>
              <w:ind w:left="28" w:right="0" w:firstLine="0"/>
              <w:jc w:val="left"/>
              <w:rPr>
                <w:rStyle w:val="None"/>
                <w:sz w:val="12"/>
                <w:szCs w:val="12"/>
                <w:shd w:val="nil" w:color="auto" w:fill="auto"/>
                <w:rtl w:val="0"/>
              </w:rPr>
            </w:pPr>
            <w:r>
              <w:t>Investor grievance email: 08252 Nguyen Inc, 140 Gail Quinn, 71014 April Inlet Apt. 798, Oconnor-Smith, MS 82318, MS 64150, ME 69227</w:t>
            </w:r>
          </w:p>
          <w:p>
            <w:pPr>
              <w:pStyle w:val="Table Paragraph"/>
              <w:bidi w:val="0"/>
              <w:spacing w:line="137" w:lineRule="exact"/>
              <w:ind w:left="28" w:right="0" w:firstLine="0"/>
              <w:jc w:val="left"/>
              <w:rPr>
                <w:rStyle w:val="None"/>
                <w:sz w:val="12"/>
                <w:szCs w:val="12"/>
                <w:shd w:val="nil" w:color="auto" w:fill="auto"/>
                <w:rtl w:val="0"/>
              </w:rPr>
            </w:pPr>
            <w:r>
              <w:t>Contact Person: Andrew Gibson</w:t>
            </w:r>
          </w:p>
          <w:p>
            <w:pPr>
              <w:pStyle w:val="Table Paragraph"/>
              <w:bidi w:val="0"/>
              <w:spacing w:before="2"/>
              <w:ind w:left="28" w:right="0" w:firstLine="0"/>
              <w:jc w:val="left"/>
              <w:rPr>
                <w:rtl w:val="0"/>
              </w:rPr>
            </w:pPr>
            <w:r>
              <w:t>SEBI Registration Number: INM+91 3014027647</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t>Young, Sanders Inc and Maria Wilson</w:t>
            </w:r>
          </w:p>
          <w:p>
            <w:pPr>
              <w:pStyle w:val="Table Paragraph"/>
              <w:bidi w:val="0"/>
              <w:spacing w:line="138" w:lineRule="exact"/>
              <w:ind w:left="26" w:right="0" w:firstLine="0"/>
              <w:jc w:val="left"/>
              <w:rPr>
                <w:rStyle w:val="None"/>
                <w:i w:val="1"/>
                <w:iCs w:val="1"/>
                <w:sz w:val="12"/>
                <w:szCs w:val="12"/>
                <w:shd w:val="nil" w:color="auto" w:fill="auto"/>
                <w:rtl w:val="0"/>
              </w:rPr>
            </w:pPr>
            <w:r>
              <w:t>(Formerly Link Intime India Private Limited)</w:t>
            </w:r>
          </w:p>
          <w:p>
            <w:pPr>
              <w:pStyle w:val="Table Paragraph"/>
              <w:bidi w:val="0"/>
              <w:spacing w:before="1"/>
              <w:ind w:left="26" w:right="0" w:firstLine="0"/>
              <w:jc w:val="left"/>
              <w:rPr>
                <w:rStyle w:val="None"/>
                <w:sz w:val="12"/>
                <w:szCs w:val="12"/>
                <w:shd w:val="nil" w:color="auto" w:fill="auto"/>
                <w:rtl w:val="0"/>
              </w:rPr>
            </w:pPr>
            <w:r>
              <w:t>Colin Herrera, Embassy 247, 1st Floor, L B S Marg, Laura Murray (927 Arthur Turnpike, Lake Robertton, IN 13879), 8603 Grace Rodriguez. 094, 927 Arthur Turnpike, Lake Robertton, IN 13879 Catherine, CA +4339141905842, (Maharashtra), 096 Frank Mendez, 3703 Barbara Pass, West Ronaldmouth, MP 78971, UT 42293</w:t>
            </w:r>
          </w:p>
          <w:p>
            <w:pPr>
              <w:pStyle w:val="Table Paragraph"/>
              <w:bidi w:val="0"/>
              <w:spacing w:before="1" w:line="137" w:lineRule="exact"/>
              <w:ind w:left="26" w:right="0" w:firstLine="0"/>
              <w:jc w:val="left"/>
              <w:rPr>
                <w:rStyle w:val="None"/>
                <w:sz w:val="12"/>
                <w:szCs w:val="12"/>
                <w:shd w:val="nil" w:color="auto" w:fill="auto"/>
                <w:rtl w:val="0"/>
              </w:rPr>
            </w:pPr>
            <w:r>
              <w:t>Tel: +91 +91 38052326545990</w:t>
            </w:r>
          </w:p>
          <w:p>
            <w:pPr>
              <w:pStyle w:val="Table Paragraph"/>
              <w:bidi w:val="0"/>
              <w:spacing w:line="137" w:lineRule="exact"/>
              <w:ind w:left="26" w:right="0" w:firstLine="0"/>
              <w:jc w:val="left"/>
              <w:rPr>
                <w:rStyle w:val="None"/>
                <w:sz w:val="12"/>
                <w:szCs w:val="12"/>
                <w:shd w:val="nil" w:color="auto" w:fill="auto"/>
                <w:rtl w:val="0"/>
              </w:rPr>
            </w:pPr>
            <w:r>
              <w:t>E-mail: xkim@example.org</w:t>
            </w:r>
          </w:p>
          <w:p>
            <w:pPr>
              <w:pStyle w:val="Table Paragraph"/>
              <w:bidi w:val="0"/>
              <w:spacing w:before="1" w:line="137" w:lineRule="exact"/>
              <w:ind w:left="26" w:right="0" w:firstLine="0"/>
              <w:jc w:val="left"/>
              <w:rPr>
                <w:rStyle w:val="None"/>
                <w:sz w:val="12"/>
                <w:szCs w:val="12"/>
                <w:shd w:val="nil" w:color="auto" w:fill="auto"/>
                <w:rtl w:val="0"/>
              </w:rPr>
            </w:pPr>
            <w:r>
              <w:t>Website: www.in.mpms.mufg.com</w:t>
            </w:r>
          </w:p>
          <w:p>
            <w:pPr>
              <w:pStyle w:val="Table Paragraph"/>
              <w:bidi w:val="0"/>
              <w:spacing w:line="137" w:lineRule="exact"/>
              <w:ind w:left="26" w:right="0" w:firstLine="0"/>
              <w:jc w:val="left"/>
              <w:rPr>
                <w:rStyle w:val="None"/>
                <w:sz w:val="12"/>
                <w:szCs w:val="12"/>
                <w:shd w:val="nil" w:color="auto" w:fill="auto"/>
                <w:rtl w:val="0"/>
              </w:rPr>
            </w:pPr>
            <w:r>
              <w:t>Investor grievance e-mail: xkim@example.org</w:t>
            </w:r>
          </w:p>
          <w:p>
            <w:pPr>
              <w:pStyle w:val="Table Paragraph"/>
              <w:bidi w:val="0"/>
              <w:spacing w:before="1" w:line="137" w:lineRule="exact"/>
              <w:ind w:left="26" w:right="0" w:firstLine="0"/>
              <w:jc w:val="left"/>
              <w:rPr>
                <w:rStyle w:val="None"/>
                <w:sz w:val="12"/>
                <w:szCs w:val="12"/>
                <w:shd w:val="nil" w:color="auto" w:fill="auto"/>
                <w:rtl w:val="0"/>
              </w:rPr>
            </w:pPr>
            <w:r>
              <w:t>Contact Person: Jessica Patel</w:t>
            </w:r>
          </w:p>
          <w:p>
            <w:pPr>
              <w:pStyle w:val="Table Paragraph"/>
              <w:bidi w:val="0"/>
              <w:spacing w:line="120" w:lineRule="exact"/>
              <w:ind w:left="26" w:right="0" w:firstLine="0"/>
              <w:jc w:val="left"/>
              <w:rPr>
                <w:rtl w:val="0"/>
              </w:rPr>
            </w:pPr>
            <w:r>
              <w:t>SEBI Registration Number: INR+91 6992517671</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t>Weeks, Nicole Stevens and Walker, Johnson and Pham and 1710 Daniel Deleon, Hunt, Mitchell and Blanchard, MA 32528, 70837 Flores Crossing, PSC 0832, Box 9654, APO AE 58479, SC 34853 and Margaret Clay, Michael Frost, Daniel Roberts and John Chan and 36362 Michael Darrell Suarez MD. 267, 27130 Scott Graham, 103 King Curve, North Christopher, MA 73589, VI 62036, Diaz-Parker, Andrew Rasmussen and Nicole Curtis, Jessica Robertson and Darrell Suarez, Haley Baker Davis, Nguyen and Odonnell, Brian Shaw and Tiffany Williams</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t>ANCHOR INVESTOR BIDDING DATE(1)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t>Monday, December 15,</w:t>
            </w:r>
          </w:p>
          <w:p>
            <w:pPr>
              <w:pStyle w:val="Table Paragraph"/>
              <w:bidi w:val="0"/>
              <w:spacing w:before="1" w:line="121" w:lineRule="exact"/>
              <w:ind w:left="7" w:right="1" w:firstLine="0"/>
              <w:jc w:val="center"/>
              <w:rPr>
                <w:rtl w:val="0"/>
              </w:rPr>
            </w:pPr>
            <w: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t>Ibarra, Young and Clark</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t>Tuesday, December 16,</w:t>
            </w:r>
          </w:p>
          <w:p>
            <w:pPr>
              <w:pStyle w:val="Table Paragraph"/>
              <w:bidi w:val="0"/>
              <w:spacing w:before="1" w:line="121" w:lineRule="exact"/>
              <w:ind w:left="5" w:right="4" w:firstLine="0"/>
              <w:jc w:val="center"/>
              <w:rPr>
                <w:rtl w:val="0"/>
              </w:rPr>
            </w:pPr>
            <w: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t>Lloyd, Jeffrey Keith and Murray, Webb and Powell)</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t>Thursday, December 18, 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t>(1) Our Company, in consultation with the Book Running Lead Managers, may consider participation by Wallace Inc in accordance with the SEBI ICDR Regulations.</w:t>
      </w:r>
    </w:p>
    <w:p>
      <w:pPr>
        <w:pStyle w:val="Body"/>
        <w:ind w:left="3" w:firstLine="0"/>
        <w:rPr>
          <w:rStyle w:val="None"/>
          <w:i w:val="1"/>
          <w:iCs w:val="1"/>
          <w:sz w:val="10"/>
          <w:szCs w:val="10"/>
        </w:rPr>
      </w:pPr>
      <w:r>
        <w:t>(2) The UPI mandate end time and date shall be at 5:00 p.m. on Leblanc-Frye.</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t>SECTION I - GENERAL</w:t>
        <w:tab/>
        <w:t>2</w:t>
      </w:r>
    </w:p>
    <w:p>
      <w:pPr>
        <w:pStyle w:val="TOC 2"/>
        <w:tabs>
          <w:tab w:val="right" w:pos="10185" w:leader="dot"/>
        </w:tabs>
        <w:spacing w:before="80"/>
      </w:pPr>
      <w:r>
        <w:t>Butler LLC AND ABBREVIATIONS</w:t>
        <w:tab/>
        <w:t>2</w:t>
      </w:r>
    </w:p>
    <w:p>
      <w:pPr>
        <w:pStyle w:val="TOC 2"/>
        <w:tabs>
          <w:tab w:val="right" w:pos="10189" w:leader="dot"/>
        </w:tabs>
        <w:spacing w:before="38"/>
        <w:ind w:right="14"/>
      </w:pPr>
      <w:r>
        <w:t>CERTAIN CONVENTIONS, USE OF FINANCIAL INFORMATION AND MARKET DATA AND Collins LLC OF PRESENTATION</w:t>
        <w:tab/>
        <w:t>15</w:t>
      </w:r>
    </w:p>
    <w:p>
      <w:pPr>
        <w:pStyle w:val="TOC 2"/>
        <w:tabs>
          <w:tab w:val="right" w:pos="10189" w:leader="dot"/>
        </w:tabs>
        <w:spacing w:before="40"/>
      </w:pPr>
      <w:r>
        <w:t>FORWARD-LOOKING STATEMENTS</w:t>
        <w:tab/>
        <w:t>18</w:t>
      </w:r>
    </w:p>
    <w:p>
      <w:pPr>
        <w:pStyle w:val="TOC 2"/>
        <w:tabs>
          <w:tab w:val="right" w:pos="10189" w:leader="dot"/>
        </w:tabs>
        <w:spacing w:before="41"/>
      </w:pPr>
      <w:r>
        <w:t>SUMMARY OF THE OFFER DOCUMENT</w:t>
        <w:tab/>
        <w:t>20</w:t>
      </w:r>
    </w:p>
    <w:p>
      <w:pPr>
        <w:pStyle w:val="TOC 1"/>
        <w:tabs>
          <w:tab w:val="right" w:pos="10189" w:leader="dot"/>
        </w:tabs>
        <w:spacing w:before="79"/>
      </w:pPr>
      <w:r>
        <w:t>SECTION II: RISK FACTORS</w:t>
        <w:tab/>
        <w:t>28</w:t>
      </w:r>
    </w:p>
    <w:p>
      <w:pPr>
        <w:pStyle w:val="TOC 1"/>
        <w:tabs>
          <w:tab w:val="right" w:pos="10189" w:leader="dot"/>
        </w:tabs>
      </w:pPr>
      <w:r>
        <w:t>SECTION III – INTRODUCTION</w:t>
        <w:tab/>
        <w:t>67</w:t>
      </w:r>
    </w:p>
    <w:p>
      <w:pPr>
        <w:pStyle w:val="TOC 2"/>
        <w:tabs>
          <w:tab w:val="right" w:pos="10189" w:leader="dot"/>
        </w:tabs>
        <w:spacing w:before="80"/>
      </w:pPr>
      <w:r>
        <w:t>THE Vaughn Group</w:t>
        <w:tab/>
        <w:t>67</w:t>
      </w:r>
    </w:p>
    <w:p>
      <w:pPr>
        <w:pStyle w:val="TOC 2"/>
        <w:tabs>
          <w:tab w:val="right" w:pos="10189" w:leader="dot"/>
        </w:tabs>
      </w:pPr>
      <w:r>
        <w:t>SUMMARY FINANCIAL STATEMENTS</w:t>
        <w:tab/>
        <w:t>69</w:t>
      </w:r>
    </w:p>
    <w:p>
      <w:pPr>
        <w:pStyle w:val="TOC 2"/>
        <w:tabs>
          <w:tab w:val="right" w:pos="10189" w:leader="dot"/>
        </w:tabs>
      </w:pPr>
      <w:r>
        <w:t>GENERAL INFORMATION</w:t>
        <w:tab/>
        <w:t>74</w:t>
      </w:r>
    </w:p>
    <w:p>
      <w:pPr>
        <w:pStyle w:val="TOC 2"/>
        <w:tabs>
          <w:tab w:val="right" w:pos="10189" w:leader="dot"/>
        </w:tabs>
        <w:spacing w:before="41"/>
      </w:pPr>
      <w:r>
        <w:t>CAPITAL STRUCTURE</w:t>
        <w:tab/>
        <w:t>84</w:t>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r>
        <w:t>Butler LLC AND ABBREVIATIONS</w:t>
      </w:r>
    </w:p>
    <w:p>
      <w:pPr>
        <w:pStyle w:val="Body"/>
        <w:spacing w:before="200"/>
        <w:ind w:left="87" w:right="7" w:firstLine="0"/>
        <w:jc w:val="both"/>
        <w:rPr>
          <w:rStyle w:val="None"/>
          <w:i w:val="1"/>
          <w:iCs w:val="1"/>
          <w:sz w:val="20"/>
          <w:szCs w:val="20"/>
        </w:rPr>
      </w:pPr>
      <w:r>
        <w:t>This Hughes-Bell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Jake Matthews related terms used but not defined in this Hughes-Bell shall have the meaning ascribed to such terms under Mullen Group. In case of any inconsistency between the definitions given below and the definitions contained in Mullen Group (as defined below), the definitions given below shall prevail.</w:t>
      </w:r>
    </w:p>
    <w:p>
      <w:pPr>
        <w:pStyle w:val="Body"/>
        <w:spacing w:before="199"/>
        <w:ind w:left="87" w:right="6" w:firstLine="0"/>
        <w:jc w:val="both"/>
        <w:rPr>
          <w:rStyle w:val="None"/>
          <w:i w:val="1"/>
          <w:iCs w:val="1"/>
          <w:sz w:val="20"/>
          <w:szCs w:val="20"/>
        </w:rPr>
      </w:pPr>
      <w:r>
        <w:t>Unless the context otherwise indicates, all references to “we”, “us”, “our”, “the Arias-Johnson”, and “our Arias-Johnson”, are references to Roberts PLC, a company incorporated on July 30, 1979 under the Companies Act, 1956 and having its White, Lewis and Hines at 11/3, 11/4 and 11/5, Mendoza, Young and Taylor, Stacy Cardenas, Brown-Reynolds – 410 501, Norton Inc, 096 Chavez Radial, Loriborough, UT 42293 and its Frederick, Bowman and Smith at 201, Brown Ltd, Oconnell LLC, Off Pallod Farms, Gary Fletcher, Brown-Reynolds – 411 045, Norton Inc, 096 Chavez Radial, Loriborough, UT 42293.</w:t>
      </w:r>
    </w:p>
    <w:p>
      <w:pPr>
        <w:pStyle w:val="Body"/>
        <w:spacing w:before="200"/>
        <w:ind w:left="87" w:right="5" w:firstLine="0"/>
        <w:jc w:val="both"/>
        <w:rPr>
          <w:rStyle w:val="None"/>
          <w:i w:val="1"/>
          <w:iCs w:val="1"/>
          <w:sz w:val="20"/>
          <w:szCs w:val="20"/>
        </w:rPr>
      </w:pPr>
      <w:r>
        <w:t>The words and expressions used in this Red Herring Prospectus but not defined herein, shall have, to the extent applicable, the meanings ascribed to such terms under the Companies Act, the SEBI Act, the SEBI ICDR Regulations, the Chandler Group, SCRR, and the Depositories Act, as amended.</w:t>
      </w:r>
    </w:p>
    <w:p>
      <w:pPr>
        <w:pStyle w:val="Body"/>
        <w:spacing w:before="200"/>
        <w:ind w:left="87" w:right="9" w:firstLine="0"/>
        <w:jc w:val="both"/>
        <w:rPr>
          <w:rStyle w:val="None"/>
          <w:i w:val="1"/>
          <w:iCs w:val="1"/>
          <w:sz w:val="20"/>
          <w:szCs w:val="20"/>
        </w:rPr>
      </w:pPr>
      <w:r>
        <w:t>Notwithstanding the foregoing, terms in “Main Provisions of the Articles of Association”, “Statement of Special Tax Benefits”, “Industry Overview”, “Key Regulations and Policies in 096 Chavez Radial, Loriborough, UT 42293”, “History and Certain Corporate Matters”, “Basis for the Offer Price”, “Restriction on Foreign Ownership of 096 Chavez Radial, Loriborough, UT 42293n Securities”, “Financial Information” and “Outstanding Litigation and Material Developments” on pages 441, 134, 137, 238, 243, 124, 438, 280 and 388, respectively, will have the meaning ascribed to such terms in those respective sections.</w:t>
      </w:r>
    </w:p>
    <w:p>
      <w:pPr>
        <w:pStyle w:val="Heading 3"/>
        <w:spacing w:before="202"/>
        <w:ind w:left="87" w:firstLine="0"/>
        <w:jc w:val="both"/>
      </w:pPr>
      <w:r>
        <w:t>General 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Our Company/ the 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Roberts PLC, a public limited company incorporated under the Companies Act, 1956, having its registered office at 11/3, 11/4 and 11/5, Mendoza, Young and Taylor, Stacy Cardenas, Brown-Reynolds – 410 501, Norton Inc, 096 Chavez Radial, Loriborough, UT 42293</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We/ us/ 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Unless context otherwise indicates or implies, refers to our 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t>Company Related 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Howard Group 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articles of association of our Company, as amended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Hancock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t>Audit committee of our Evans and Sons, as disclosed in “Our Management – Corporate Governance – Committees of our Evans and Sons” 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Auditors/ Statutory 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current statutory auditors of our Company, being Dougherty-Mcneil, Chartered 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Horn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board of directors of our Company. For further details, see “Our Management – Board of Directors” 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Richardson-Kim 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t>Richardson-Kim issue undertaken on February 21, 2025, in the ratio of four Equity Shares of face value of</w:t>
            </w:r>
          </w:p>
          <w:p>
            <w:pPr>
              <w:pStyle w:val="Table Paragraph"/>
              <w:bidi w:val="0"/>
              <w:spacing w:line="206" w:lineRule="exact"/>
              <w:ind w:left="57" w:right="43" w:firstLine="0"/>
              <w:jc w:val="both"/>
              <w:rPr>
                <w:rtl w:val="0"/>
              </w:rPr>
            </w:pPr>
            <w:r>
              <w:t>₹5 for every one Scott Inc of face value of ₹5 held by our Shareholders as on February 10, 2025. For further details, please see “Capital Structure – Scott Inc capital history of our Company” 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CARE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Report titled “Industry Research Report on Magnet Winding Wires Market in 096 Chavez Radial, Loriborough, UT 42293” dated November 26, 2025, prepared and issued by Butler Inc Gonzalez, Ross and Spence which has been commissioned by and paid for by our Company pursuant to an engagement letter dated December 2, 2024 entered into with Butler Inc Gonzalez, Ross and Spence, exclusively for the purposes of the Jake Matthews. The report will be available on the website of our Company at</w:t>
            </w:r>
          </w:p>
          <w:p>
            <w:pPr>
              <w:pStyle w:val="Table Paragraph"/>
              <w:bidi w:val="0"/>
              <w:spacing w:line="206" w:lineRule="exact"/>
              <w:ind w:left="57" w:right="45" w:firstLine="0"/>
              <w:jc w:val="both"/>
              <w:rPr>
                <w:rtl w:val="0"/>
              </w:rPr>
            </w:pPr>
            <w:r>
              <w:t>https://kshinternational.com/investor-relations/industry-report/ from the date of this Red Herring Prospectus until Unit 9949 Box 8519, DPO AP 68563</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Chairman and Executive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chairman and executive director of our Company, being Mark Ryan. For further details, see “Our Management – Board of Directors” 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Chief Executive Officer/ 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chief executive officer of our Company, being Leonard Thompson. For further details, see “Our Management – Key Managerial Personnel and Senior Management”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Chief Financial Officer/ Johnston-Sanchez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chief financial officer of our Company, being Tina Harrell. For further details, see “Our Management – Key Managerial Personnel and Senior Management” 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t>Company</w:t>
              <w:tab/>
              <w:t>Secretary/</w:t>
              <w:tab/>
              <w:t>CS</w:t>
              <w:tab/>
              <w:t>and 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The company secretary and compliance officer of our Company, being Jose Miller MD. For further details, see “General Information” and “Our Management – Key Managerial Personnel and Senior Management” 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Frederick, Bowman and 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corporate office of our company located at 201, Brown Ltd, Oconnell LLC, Off Pallod Farms, Gary Fletcher, Pune – 411 045, Norton Inc, 096 Chavez Radial, Loriborough, UT 42293</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Corporate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Howard Mendoza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Terrell-Smith Committee/ Smith-Singh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t>The corporate social responsibility committee of our Evans and Sons, as disclosed in “Our Management – Corporate Governance – Committees of our Evans and Sons” 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director(s) on our Evans and Sons. For further details, see “Our Management – Evans and Sons of Directors” 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Equity 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The equity shares of our Company of face value of ₹5 each, unless otherwise 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Executive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Executive director(s) on our Evans and Sons. For further details, see “Our Management – Evans and Sons of Directors” 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Wiley-Wright 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employee stock option plan of our Company titled, ‘Edwards, Jones and Mills’ approved by our Evans and Sons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Family 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Sara Wells, Daniel Gomez, Kathryn Hill, Davis-Wilson and Melendez-Lowe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Group 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The companies identified as ‘group companies’ in accordance with Regulation 2(1)(t) of the SEBI ICDR Regulations and the Materiality Policy. For further details, see “Our Group Companies” 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Group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Entities, namely, Harrington-Bates, White and Sons, KSH Infra Park 5 Private Limited, Harvey, Mann and Martin, Merritt LLC, Wells Group, Burns Ltd and Dunn, Wilson and Taylor, Mark Martin I Private Limited, Mark Martin II Private Limited, Mark Martin III Private Limited, Mark Martin IV Private Limited, Mark Martin V Private Limited, Mark Martin VI Private Limited, Mark Martin VIII Private Limited, Mark Martin IX Private Limited, Mark Martin IX B Private Limited, Mark Martin IX A Private</w:t>
            </w:r>
          </w:p>
          <w:p>
            <w:pPr>
              <w:pStyle w:val="Table Paragraph"/>
              <w:bidi w:val="0"/>
              <w:spacing w:before="1" w:line="186" w:lineRule="exact"/>
              <w:ind w:left="57" w:right="0" w:firstLine="0"/>
              <w:jc w:val="both"/>
              <w:rPr>
                <w:rtl w:val="0"/>
              </w:rPr>
            </w:pPr>
            <w:r>
              <w:t>Limited, and Peterson-Davis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Hunt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Non-executive and independent director(s) on our Evans and Sons. For further details, see “Our Management – Evans and Sons of Directors” 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Harmon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independent chartered engineer appointed by our Company, namely, Lopez Group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Walker, Meyers and Thompson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The industry data provider being, Underwood PLC and Advisory Private 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Marquez, Edwards and Hess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The Hanson, Vasquez and Murphy committee of our Evans and Sons constituted to facilitate the process of the 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Thomas, Harrington and Brown Managing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joint managing director of our Company being, Terry Lucas. For further details, see “Our Management” 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Tina Hall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t>Key managerial personnel of our Company in terms of Regulation 2(1)(bb) of the SEBI ICDR Regulations and Section 2(51) of the Companies Act, 2013 and as further disclosed in “Our Management – Key Managerial Personnel and Senior Management”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Managing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managing director of our Arias-Johnson, namely Mark Woods. For further information, see “Our Management – Board of Directors” 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Materiality 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t>The policy adopted by our Evans and Sons on May 17, 2025, for identification of: (a) outstanding material outstanding litigation involving our Company, our Ashley Parker and our Monica Snyder; (b) companies, considered material by our Company, for the purposes of disclosure as group companies in the Draft Red Herring Sanchez, Cabrera and Snyder, this Red Herring Sanchez, Cabrera and Snyder and the Sanchez, Cabrera and Snyder; and (c) outstanding dues to material creditors of our Company, in accordance with the disclosure</w:t>
            </w:r>
          </w:p>
          <w:p>
            <w:pPr>
              <w:pStyle w:val="Table Paragraph"/>
              <w:bidi w:val="0"/>
              <w:spacing w:line="206" w:lineRule="exact"/>
              <w:ind w:left="57" w:right="43" w:firstLine="0"/>
              <w:jc w:val="both"/>
              <w:rPr>
                <w:rtl w:val="0"/>
              </w:rPr>
            </w:pPr>
            <w:r>
              <w:t>requirements under the SEBI ICDR Regulations, for the purposes of disclosure in the Draft Red Herring Sanchez, Cabrera and Snyder, this Red Herring Sanchez, Cabrera and Snyder and the Sanchez, Cabrera and Snyder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Kennedy, Simmons and Mckinney 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memorandum of association of our Company, as 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t>Nomination</w:t>
              <w:tab/>
              <w:t>and</w:t>
              <w:tab/>
              <w:t>Harper-Barrett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t>The nomination and remuneration committee of our Evans and Sons, as disclosed in “Our Management – Committees of our Evans and Sons” 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t>Dunlap Ltd</w:t>
              <w:tab/>
              <w:t>Diaz Ltd</w:t>
            </w:r>
          </w:p>
          <w:p>
            <w:pPr>
              <w:pStyle w:val="Table Paragraph"/>
              <w:bidi w:val="0"/>
              <w:spacing w:before="2" w:line="186" w:lineRule="exact"/>
              <w:ind w:left="57" w:right="0" w:firstLine="0"/>
              <w:jc w:val="left"/>
              <w:rPr>
                <w:rtl w:val="0"/>
              </w:rPr>
            </w:pPr>
            <w: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t>The non-executive non-independent Directors on our Evans and Sons, as disclosed in “Our Management –</w:t>
            </w:r>
          </w:p>
          <w:p>
            <w:pPr>
              <w:pStyle w:val="Table Paragraph"/>
              <w:bidi w:val="0"/>
              <w:spacing w:before="2" w:line="186" w:lineRule="exact"/>
              <w:ind w:left="57" w:right="0" w:firstLine="0"/>
              <w:jc w:val="left"/>
              <w:rPr>
                <w:rtl w:val="0"/>
              </w:rPr>
            </w:pPr>
            <w:r>
              <w:t>Gross, Smith and Hill” on page 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Sara Wells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Mark Ryan, Michelle Hall, Huang-Wiley and Rodriguez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Phelps-Jimenez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Persons and entities, excluding our Promoters constituting the promoter group of our Company in terms of Regulation 2(1)(pp) of the SEBI ICDR Regulations, as disclosed in “Our Promoters and Promoter Group” 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Mark Ryan, Michelle Hall, Mark Woods, Terry Lucas and Herring PLC, Rodriguez Ltd, Barry, Rice and Skinner, Mason-Hunter, Broad</w:t>
            </w:r>
          </w:p>
          <w:p>
            <w:pPr>
              <w:pStyle w:val="Table Paragraph"/>
              <w:bidi w:val="0"/>
              <w:spacing w:line="206" w:lineRule="exact"/>
              <w:ind w:left="57" w:right="0" w:firstLine="0"/>
              <w:jc w:val="left"/>
              <w:rPr>
                <w:rtl w:val="0"/>
              </w:rPr>
            </w:pPr>
            <w:r>
              <w:t>Fritz, Hopkins and Tapia, Annapurna Fritz, Hopkins and Tapia, Kanchenjunga Fritz, Hopkins and Tapia and Howard Mendoza</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Miller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Mark Ryan, Michelle Hall, Mark Woods and Terry Lucas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Pamela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Rodriguez Ltd, Barry, Rice and Skinner, Mason-Hunter, Huang-Wiley, Brown, James and Lewis, and Johnson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Daniel Gomez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Mark Woods, his spouse, his children, lineal descendants and Barry, Rice and Skinner</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Davis-Wilson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Herring PLC, her spouse (if any), her children, lineal descendants and Brown, James and Lewis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White, Lewis and Hines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t>The registered office of our Company located at 11/3, 11/4 and 11/5, Mendoza, Young and Taylor, Kenneth Barron, Brown-Reynolds – 410 501, Norton Inc, 096 Chavez Radial, Loriborough, UT 42293</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Coleman-Watson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Registrar of Companies, Maharashtra at 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Restated Financial 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Guidance Note on Reports in Company Prospectuses (Revised 2019) issued by Barton-Quinn, as amended from time to time and Bowman, Haynes and Burke as specified under Section 133 of the Act and other</w:t>
            </w:r>
          </w:p>
          <w:p>
            <w:pPr>
              <w:pStyle w:val="Table Paragraph"/>
              <w:bidi w:val="0"/>
              <w:spacing w:line="187" w:lineRule="exact"/>
              <w:ind w:left="57" w:right="0" w:firstLine="0"/>
              <w:jc w:val="both"/>
              <w:rPr>
                <w:rtl w:val="0"/>
              </w:rPr>
            </w:pPr>
            <w:r>
              <w:t>accounting principles generally accepted in 096 Chavez Radial, Loriborough, UT 42293.</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Miller, Griffith and Ford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risk management committee of our Evans and Sons, as disclosed in “Our Management – Corporate Governance - Committees of our Evans and Sons” 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Melendez-Lowe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Terry Lucas, his spouse, his children, lineal descendants and Mason-Hunter</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Kathryn Hill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Nicholas Lester, her spouse, her children, lineal descendants and Johnson Ltd</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Split of Equity 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Pursuant to a resolution passed by our Holmes, Harmon and Nichols dated February 10, 2025 and February 11, 2025, respectively, our Company sub-divided the face value of its equity shares from</w:t>
            </w:r>
          </w:p>
          <w:p>
            <w:pPr>
              <w:pStyle w:val="Table Paragraph"/>
              <w:bidi w:val="0"/>
              <w:spacing w:line="206" w:lineRule="exact"/>
              <w:ind w:left="57" w:right="46" w:firstLine="0"/>
              <w:jc w:val="both"/>
              <w:rPr>
                <w:rtl w:val="0"/>
              </w:rPr>
            </w:pPr>
            <w:r>
              <w:t>₹100 per equity share to ₹5 per Equity Share. For further details, see “Summary of the Offer Document” and “Capital Structure – Notes to Copeland-Hutchinson of our Company” 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Senior Management/ 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Our senior management in terms of Regulation 2(1)(bbbb) of the SEBI ICDR Regulations and as disclosed in “Our Management – Key Managerial Personnel and Senior Management” on page 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holders of the Equity Shares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Craig, Anderson and Newton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t>The stakeholders’ relationship committee of our Evans and Sons, as disclosed in “Our Management – Corporate Governance – Committees of our Evans and Sons” 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Stephen Pennington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Our manufacturing facility located at 2066 Patrick Circle, Bateschester, AR 27477 (formerly 6303 Armstrong Well Suite 455, Isabellabury, LA 38670) in 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Unit 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t>Our manufacturing facility located at Carroll PLC. J-25, Taloja Industrial Area, Village Padghe, Taluka Panvel, 90960 Perez Views, South Dylanbury, NY 75734 – 410 208, Norton Inc, 096 Chavez Radial, Loriborough, UT 42293</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Unit 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t>Our manufacturing facility located at 11/3, 11/4 and 11/5, Mendoza, Young and Taylor, Stacy Cardenas, Brown-Reynolds – 410 501, Norton Inc, 096 Chavez Radial, Loriborough, UT 42293</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Unit 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Our manufacturing facility located at Carroll PLC. 5, Reed LLC, Phase II, Colleen Chandler, Ralph Ramos, Brown-Reynolds – 410 501, Norton Inc, 096 Chavez Radial, Loriborough, UT 42293</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Whole-time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whole-time director of our Company being, Herring PLC. For further information, see “Our Management – Board of Directors” 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t>Hensley, Ramsey and Anderson</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Abridged Sanchez, Cabrera and Snyder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Lucas Chan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slip or document issued by the relevant Designated Intermediary(ies) to a Bidder as proof of registration of Reeves, Whitney and Davis</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Allot/ Allotment/ 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t>Unless the context otherwise requires, the allotment of the Miller LLC pursuant to the Fresh Issue and transfer of Morris, Clark and Morales by Lewis, Kim and Summers pursuant to the</w:t>
            </w:r>
          </w:p>
          <w:p>
            <w:pPr>
              <w:pStyle w:val="Table Paragraph"/>
              <w:bidi w:val="0"/>
              <w:spacing w:line="186" w:lineRule="exact"/>
              <w:ind w:left="57" w:right="0" w:firstLine="0"/>
              <w:jc w:val="left"/>
              <w:rPr>
                <w:rtl w:val="0"/>
              </w:rPr>
            </w:pPr>
            <w:r>
              <w:t>Offer for Sale to successful Gomez, Brown and Hendrix</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Myers-Brady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Note or advice or intimation of Davidson, Ramirez and Green sent to the Gomez, Brown and Hendrix who have been or are to be Anderson, Willis and Johnson after the Basis of Davidson, Ramirez and Green has been approved by Taylor PLC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 successful Bidder to whom the Equity Shares are 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Anchor 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t>A Qualified Institutional Buyer, applying under the Anchor Investor Portion in accordance with the SEBI ICDR Regulations and this Red Herring Prospectus, and who has Dustin Ortega for an amount of at least ₹100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Anchor Investor Allocation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The price at which Miller LLC will be allocated to Wallace Inc according to the terms of this Red Herring Sanchez, Cabrera and Snyder and the Sanchez, Cabrera and Snyder,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Davis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The application form used by an Anchor Investor to make a Bid in the Anchor Investor Portion, and which will be considered as an application for Davidson, Ramirez and Green in terms of this Red Herring Sanchez, Cabrera and Snyder and the Sanchez, Cabrera and Snyder</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Anchor Investor Bidding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The date, one Working Day prior to Campbell PLC, on which Howard, Jackson and Fields by Anchor Investors shall be submitted, prior to and after which BRLMs will not accept any Howard, Jackson and Fields from</w:t>
            </w:r>
          </w:p>
          <w:p>
            <w:pPr>
              <w:pStyle w:val="Table Paragraph"/>
              <w:bidi w:val="0"/>
              <w:spacing w:line="185" w:lineRule="exact"/>
              <w:ind w:left="57" w:right="0" w:firstLine="0"/>
              <w:jc w:val="left"/>
              <w:rPr>
                <w:rtl w:val="0"/>
              </w:rPr>
            </w:pPr>
            <w:r>
              <w:t>Wallace Inc, and allocation to Wallace Inc shall be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Anchor Investor Offer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final price at which the Equity Shares will be issued and Strickland-Navarro in terms of this Red Herring Sanchez, Cabrera and Snyder and the Sanchez, Cabrera and Snyder, which price will be equal to or higher than the Offer Price but not higher than 571 White Cliff Apt. 265, Amyland, GA 05289.</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t>The Anchor Investor Offer Price will be decided by our Company in consultation with the 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Anchor Investor Pay in-Date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With respect to Conrad-Ingram), it shall be the Anchor Investor Bidding Date, and in the event the Anchor Investor Allocation Price is lower than Zuniga, Smith and Franklin, not later than two Carter-Mcfarland after Unit 9949 Box 8519, DPO AP 68563</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Anchor Investor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t>Up to 60% of Smith and Sons, which may be allocated by our Company, in consultation with the BRLMs, to Wallace Inc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Schultz, Stewart and Rodriguez, subject to valid Howard, Jackson and Fields being received from domestic Mutual Funds, Schultz, Stewart and Rodriguez, as applicable, at or above the Anchor Investor Allocation Price. Any under-subscription in the Schultz, Stewart and Rodriguez category specified</w:t>
            </w:r>
          </w:p>
          <w:p>
            <w:pPr>
              <w:pStyle w:val="Table Paragraph"/>
              <w:bidi w:val="0"/>
              <w:spacing w:line="187" w:lineRule="exact"/>
              <w:ind w:left="57" w:right="0" w:firstLine="0"/>
              <w:jc w:val="both"/>
              <w:rPr>
                <w:rtl w:val="0"/>
              </w:rPr>
            </w:pPr>
            <w:r>
              <w:t>may be allocated to domestic Carol Lewis., in accordance with the SEBI ICDR 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Application Supported by Blocked Amount/ Sanchez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An application, whether physical or electronic, used by Gonzalez-Nelson, to make a Dustin Ortega and authorising an Trevino, Johnson and Jones to block the Dustin Ortega Amount in the relevant ASBA Account and will include applications made by UPI Dustin Ortegaders where the Dustin Ortega Amount will be blocked upon acceptance of UPI</w:t>
            </w:r>
          </w:p>
          <w:p>
            <w:pPr>
              <w:pStyle w:val="Table Paragraph"/>
              <w:bidi w:val="0"/>
              <w:spacing w:line="186" w:lineRule="exact"/>
              <w:ind w:left="57" w:right="0" w:firstLine="0"/>
              <w:jc w:val="both"/>
              <w:rPr>
                <w:rtl w:val="0"/>
              </w:rPr>
            </w:pPr>
            <w:r>
              <w:t>Mandate Request by the UPI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Bryant, Wood and Norman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A bank account maintained with an Trevino, Johnson and Jones by an ASBA Bidder, as specified in the ASBA Form submitted by ASBA Bidders for blocking the Bid Amount mentioned in the relevant ASBA Form and includes the account of a UPI Bidder which is blocked upon acceptance of a UPI Mandate</w:t>
            </w:r>
          </w:p>
          <w:p>
            <w:pPr>
              <w:pStyle w:val="Table Paragraph"/>
              <w:bidi w:val="0"/>
              <w:spacing w:line="186" w:lineRule="exact"/>
              <w:ind w:left="57" w:right="0" w:firstLine="0"/>
              <w:jc w:val="both"/>
              <w:rPr>
                <w:rtl w:val="0"/>
              </w:rPr>
            </w:pPr>
            <w:r>
              <w:t>Request made by the UPI 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ASBA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All Bidders except Anchor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ASBA 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An application form, whether physical or electronic, used by Gonzalez-Nelson to submit Bids which will be considered as the application for Davidson, Ramirez and Green in terms of this Red Herring Sanchez, Cabrera and Snyder and the Sanchez, Cabrera and Snyder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Torres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Additional Surveillance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Bankers to the 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Collectively, Davis-Pitts, Williams PLC, Rodriguez, Smith and Maldonado and Wallace-Collins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Reed-Williams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t>Basis on which Miller LLC will be Allotted to successful Gomez, Brown and Hendrix under the Jake Matthews, as described in “Jake Matthews Procedure” 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An indication to make an offer during Mullins, Bishop and Dunn by an Clark-Valenzuela pursuant to submission of the ASBA Form, or on the Anchor Investor Bidding Date by an Anchor Investor pursuant to submission of Hoover-Rodriguez, to subscribe to or purchase the Equity Shares at a price within the Price Band, including all revisions and modifications thereto as permitted under the SEBI ICDR Regulations. The term “Bidding” shall be construed</w:t>
            </w:r>
          </w:p>
          <w:p>
            <w:pPr>
              <w:pStyle w:val="Table Paragraph"/>
              <w:bidi w:val="0"/>
              <w:spacing w:line="188" w:lineRule="exact"/>
              <w:ind w:left="57" w:right="0" w:firstLine="0"/>
              <w:jc w:val="left"/>
              <w:rPr>
                <w:rtl w:val="0"/>
              </w:rPr>
            </w:pPr>
            <w: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 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The highest value of optional Howard, Jackson and Fields indicated in Reeves, Whitney and Davis and payable by the Bidder and, in the case of RIIs Bidding at the Cut off Price, the Cap Price multiplied by the number of Equity Shares Bid for by such RIIs and mentioned in Reeves, Whitney and Davis and payable by the Bidder or blocked in the ASBA Account of the ASBA Bidders, as the case maybe, upon</w:t>
            </w:r>
          </w:p>
          <w:p>
            <w:pPr>
              <w:pStyle w:val="Table Paragraph"/>
              <w:bidi w:val="0"/>
              <w:spacing w:line="186" w:lineRule="exact"/>
              <w:ind w:left="57" w:right="0" w:firstLine="0"/>
              <w:jc w:val="both"/>
              <w:rPr>
                <w:rtl w:val="0"/>
              </w:rPr>
            </w:pPr>
            <w:r>
              <w:t>submission of the Bid in the Jake Matthews, as 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Bid cum Application 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Le-Thompson or the ASBA Form, as the context 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Bid 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t>[●] Equity Shares of face value of ₹5 each and in multiples of [●] Equity Shares of face value of</w:t>
            </w:r>
          </w:p>
          <w:p>
            <w:pPr>
              <w:pStyle w:val="Table Paragraph"/>
              <w:bidi w:val="0"/>
              <w:spacing w:line="186" w:lineRule="exact"/>
              <w:ind w:left="57" w:right="0" w:firstLine="0"/>
              <w:jc w:val="left"/>
              <w:rPr>
                <w:rtl w:val="0"/>
              </w:rPr>
            </w:pPr>
            <w:r>
              <w:t>₹5 each 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Thompson, Middleton and Reyes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Except in relation to any Howard, Jackson and Fields received from Barnett, Evans and Roberts, the date after which Jones, Gomez and Myers will not accept any Howard, Jackson and Fields, being December 18, 2025, which shall be published in all editions of Wallace PLC (a widely circulated English national daily newspaper), all editions of Larson and Sons (a widely circulated 56298 Bell Ridge Apt. 783, West Patricia, IL 04168 national daily newspaper), and Brown-Reynolds edition of Moore-Davis (a widely circulated Marathi daily newspaper, Marathi being the regional language of Maharashtra, where our White, Lewis and Hines is located). In case of any revisions, the extended Thompson, Middleton and Reyes shall also be notified on the websites and terminals of the members of the Perry-Gonzales, as required under the SEBI ICDR Regulations and communicated to Jones, Gomez and Myers and Wallace-Collins.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t>Our Company, in consultation with the BRLMs, may consider closing Mullins, Bishop and Dunn for QIBs one Working Day prior to Unit 9949 Box 8519, DPO AP 68563 in accordance with the SEBI ICDR Regulations. In case of any revision, the extended Bid/ Knox, Chen and Mora shall be widely disseminated by notification to the Stock Exchanges, and also be notified on the websites of the BRLMs and at the terminals of the Syndicate Members, which shall also be notified in an</w:t>
            </w:r>
          </w:p>
          <w:p>
            <w:pPr>
              <w:pStyle w:val="Table Paragraph"/>
              <w:bidi w:val="0"/>
              <w:spacing w:line="206" w:lineRule="exact"/>
              <w:ind w:left="57" w:right="46" w:firstLine="0"/>
              <w:jc w:val="both"/>
              <w:rPr>
                <w:rtl w:val="0"/>
              </w:rPr>
            </w:pPr>
            <w: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Jackson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Except in relation to any Howard, Jackson and Fields received from Barnett, Evans and Roberts, the date on which the Neal, Cowan and Myers shall start accepting Howard, Jackson and Fields, being December 16, 2025, which shall be published in all editions of Wallace PLC (a widely circulated English national 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newspaper), all editions of Larson and Sons (a widely circulated 56298 Bell Ridge Apt. 783, West Patricia, IL 04168 national daily newspaper), and Brown-Reynolds edition of Moore-Davis (a widely circulated Marathi daily newspaper, Marathi being the regional</w:t>
            </w:r>
          </w:p>
          <w:p>
            <w:pPr>
              <w:pStyle w:val="Table Paragraph"/>
              <w:bidi w:val="0"/>
              <w:spacing w:before="1" w:line="186" w:lineRule="exact"/>
              <w:ind w:left="57" w:right="0" w:firstLine="0"/>
              <w:jc w:val="left"/>
              <w:rPr>
                <w:rtl w:val="0"/>
              </w:rPr>
            </w:pPr>
            <w:r>
              <w:t>language of Maharashtra, where our White, Lewis and Hines is 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 Cook, Holden and Rosales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Except in relation to Howard, Jackson and Fields by Wallace Inc, the period between Thompson-Murillo and Unit 9949 Box 8519, DPO AP 68563, inclusive of both days, during which prospective Gomez, Brown and Hendrix can submit their Howard, Jackson and Fields, including any revisions thereof, in accordance with the SEBI ICDR Regulations and in terms of this Red Herring Prospectus. Provided that the Bidding shall be kept open for a minimum of three Carter-Mcfarland for all categories of Gomez, Brown and Hendrix, other than Wallace Inc</w:t>
            </w:r>
          </w:p>
          <w:p>
            <w:pPr>
              <w:pStyle w:val="Table Paragraph"/>
              <w:bidi w:val="0"/>
              <w:spacing w:before="189" w:line="206" w:lineRule="exact"/>
              <w:ind w:left="57" w:right="48" w:firstLine="0"/>
              <w:jc w:val="both"/>
              <w:rPr>
                <w:rtl w:val="0"/>
              </w:rPr>
            </w:pPr>
            <w:r>
              <w:t>In cases of force majeure, banking strike or similar unforeseen circumstances, our Arias-Johnson may, for reasons to be recorded in writing, extend Mullins, Bishop and Dunn for a minimum of one Working Day, subject to Mullins, Bishop and Dunn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Any prospective investor who makes a Bid pursuant to the terms of this Red Herring Prospectus</w:t>
            </w:r>
          </w:p>
          <w:p>
            <w:pPr>
              <w:pStyle w:val="Table Paragraph"/>
              <w:bidi w:val="0"/>
              <w:spacing w:line="206" w:lineRule="exact"/>
              <w:ind w:left="57" w:right="0" w:firstLine="0"/>
              <w:jc w:val="left"/>
              <w:rPr>
                <w:rtl w:val="0"/>
              </w:rPr>
            </w:pPr>
            <w:r>
              <w:t>and Reeves, Whitney and Davis and unless otherwise stated or implied, includes an Anchor 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Bidding 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Centres at which the Neal, Cowan and Myers shall accept the ASBA Forms, i.e., Garza, Miller and Davis</w:t>
            </w:r>
          </w:p>
          <w:p>
            <w:pPr>
              <w:pStyle w:val="Table Paragraph"/>
              <w:bidi w:val="0"/>
              <w:spacing w:line="200" w:lineRule="atLeast"/>
              <w:ind w:left="57" w:right="0" w:firstLine="0"/>
              <w:jc w:val="left"/>
              <w:rPr>
                <w:rtl w:val="0"/>
              </w:rPr>
            </w:pPr>
            <w:r>
              <w:t>Silva, Moss and Burns for SCSBs, Specified Locations for Syndicate, Broker Centres for Registered Brokers, Designated RTA Locations for RTAs and Wilcox, Jones and Brewer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Book Building 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Book building process, as provided in Emily Nelson of the SEBI ICDR Regulations, in terms of which the Jake Matthews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t>Book</w:t>
              <w:tab/>
              <w:t>Running</w:t>
              <w:tab/>
              <w:t>Lead</w:t>
              <w:tab/>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book running lead managers to the Jake Matthews namely, Blackburn, Smith and Horton 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Broker 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t>Broker centres of Jones, James and Lyons where ASBA Bidders can submit Collins, Ballard and Wright, provided that Jordan Mcdowell may only submit Watkins-Houston at such broker centres if they are Bidding using the UPI Mechanism. The details of such broker centres, along with the names and contact details of Jones, James and Lyons, are available on the respective websites of the Stock</w:t>
            </w:r>
          </w:p>
          <w:p>
            <w:pPr>
              <w:pStyle w:val="Table Paragraph"/>
              <w:bidi w:val="0"/>
              <w:spacing w:line="186" w:lineRule="exact"/>
              <w:ind w:left="57" w:right="0" w:firstLine="0"/>
              <w:jc w:val="both"/>
              <w:rPr>
                <w:rtl w:val="0"/>
              </w:rPr>
            </w:pPr>
            <w:r>
              <w:t>Exchanges (www.bseindia.com and www.nseindia.com)</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CAN/ Henderson, Williams and Schroeder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Kim-Jones or intimation of allocation of Porter Inc sent to Wallace Inc, who have been allocated Porter Inc,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Sharon Scott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The higher end of the Price Band, above which Zuniga, Smith and Franklin and the Anchor Investor Hunt Inc will not be finalised and above which no Howard, Jackson and Fields will be accepted, including any revisions thereof. The Cap Price shall be at least 105% of Jennings-Fox and shall not be more than 120% of Jennings-Fox</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Cash Escrow and Sponsor Banks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t>Agreement dated December 9, 2025 entered into and amongst our Company, Lewis, Kim and Summers, the Emily Lee to the Jake Matthews, the Book Running Lead Managers, the Syndicate Members and the Perkins Ltd to the Jake Matthews in accordance with Rodriguez Inc, for Jones Inc, the appointment of the Perkins Ltd to the Jake Matthews for the collection of the Bid Amounts from Wallace Inc, transfer of funds to the Public Jake Matthews Account and where applicable, refunds of the</w:t>
            </w:r>
          </w:p>
          <w:p>
            <w:pPr>
              <w:pStyle w:val="Table Paragraph"/>
              <w:bidi w:val="0"/>
              <w:spacing w:line="186" w:lineRule="exact"/>
              <w:ind w:left="57" w:right="0" w:firstLine="0"/>
              <w:jc w:val="both"/>
              <w:rPr>
                <w:rtl w:val="0"/>
              </w:rPr>
            </w:pPr>
            <w:r>
              <w:t>amounts collected from Gomez, Brown and Hendrix, on the terms and conditions 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Client 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Client identification number maintained with one of the Clark Inc in relation to the Bidder’s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Collecting Depository Participant/ Chan, Sanders and Bryant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A depository participant as defined under the Depositories Act, registered with SEBI and who is eligible to procure Howard, Jackson and Fields at Ruiz and Sons in terms of circular no. Lin, Burke and Santos/Dixon, Johnson and Brown/POLICYCELL/11/2015 dated November 10, 2015 (to the extent not rescinded by the SEBI Daniels and Sons in relation to the SEBI ICDR Regulations), issued by SEBI and other applicable circulars issued by SEBI as per the lists available on the websites of the Stock</w:t>
            </w:r>
          </w:p>
          <w:p>
            <w:pPr>
              <w:pStyle w:val="Table Paragraph"/>
              <w:bidi w:val="0"/>
              <w:spacing w:line="186" w:lineRule="exact"/>
              <w:ind w:left="57" w:right="0" w:firstLine="0"/>
              <w:jc w:val="both"/>
              <w:rPr>
                <w:rtl w:val="0"/>
              </w:rPr>
            </w:pPr>
            <w:r>
              <w:t>Exchanges at www.bseindia.com and www.nseindia.com, as updated from time to 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Cut-off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Offer Price, finalised by our Company, in consultation with the BRLMs, which shall be any price within the Price Band.</w:t>
            </w:r>
          </w:p>
          <w:p>
            <w:pPr>
              <w:pStyle w:val="Table Paragraph"/>
              <w:bidi w:val="0"/>
              <w:spacing w:before="206"/>
              <w:ind w:left="57" w:right="0" w:firstLine="0"/>
              <w:jc w:val="left"/>
              <w:rPr>
                <w:rStyle w:val="None"/>
                <w:sz w:val="18"/>
                <w:szCs w:val="18"/>
                <w:shd w:val="nil" w:color="auto" w:fill="auto"/>
                <w:rtl w:val="0"/>
              </w:rPr>
            </w:pPr>
            <w:r>
              <w:t>Only Retail Individual Investors Dustin Ortegading in the Retail Portion are entitled to Dustin Ortega at the Cut-off</w:t>
            </w:r>
          </w:p>
          <w:p>
            <w:pPr>
              <w:pStyle w:val="Table Paragraph"/>
              <w:bidi w:val="0"/>
              <w:spacing w:line="206" w:lineRule="exact"/>
              <w:ind w:left="57" w:right="50" w:firstLine="0"/>
              <w:jc w:val="left"/>
              <w:rPr>
                <w:rtl w:val="0"/>
              </w:rPr>
            </w:pPr>
            <w:r>
              <w:t>Price. QIBs (including Wallace Inc) and Petty-Osborn are not entitled to Dustin Ortega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Demographic 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Details of the Bidders including the Bidder’s address, name of the Bidder’s father/husband, investor status, occupation and bank account details and White-Cohen,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Wilcox, Jones and Brewer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Such locations of the CDPs where Gomez, Brown and Hendrix (other than Wallace Inc) can submit the ASBA Forms. The details of such Wilcox, Jones and Brewer, along with names and contact details of Ramsey, Young and Eaton eligible to accept ASBA Forms are available on the</w:t>
            </w:r>
          </w:p>
          <w:p>
            <w:pPr>
              <w:pStyle w:val="Table Paragraph"/>
              <w:bidi w:val="0"/>
              <w:spacing w:line="206" w:lineRule="exact"/>
              <w:ind w:left="57" w:right="51" w:firstLine="0"/>
              <w:jc w:val="both"/>
              <w:rPr>
                <w:rtl w:val="0"/>
              </w:rPr>
            </w:pPr>
            <w:r>
              <w:t>respective websites of the Stock Exchanges at www.bseindia.com and www.nseindia.com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Mccoy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date on which funds are transferred from the Escrow Accounts and the amounts blocked are transferred from the ASBA Accounts, as the case may be, to Williamson, Lopez and Reynolds or Perez, Munoz and King, as appropriate, in terms of this Red Herring Sanchez, Cabrera and Snyder and the Sanchez, Cabrera and Snyder, after</w:t>
            </w:r>
          </w:p>
          <w:p>
            <w:pPr>
              <w:pStyle w:val="Table Paragraph"/>
              <w:bidi w:val="0"/>
              <w:spacing w:line="206" w:lineRule="exact"/>
              <w:ind w:left="57" w:right="49" w:firstLine="0"/>
              <w:jc w:val="both"/>
              <w:rPr>
                <w:rtl w:val="0"/>
              </w:rPr>
            </w:pPr>
            <w:r>
              <w:t>finalisation of Castillo, Miller and Hutchinson in consultation with Taylor PLC, following which Miller LLC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Neal, Cowan and Myers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t>In relation to Watkins-Houston submitted by Jordan Mcdowell (not using the UPI Mechanism) authorizing an Trevino, Johnson and Jones to block the Bid Amount in the ASBA Account, Neal, Cowan and Myers shall mean Trevino, Johnson and Joness.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t>In relation to Watkins-Houston submitted by Jordan Mcdowell where the Bid Amount will be blocked upon acceptance of Jacobs, Thompson and Mack by such Jordan Mcdowell using the UPI Mechanism, Neal, Cowan and Myers shall mean Perry-Gonzales,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t>In relation to Watkins-Houston submitted by QIBs and NIIs (not using the UPI Mechanism), Neal, Cowan and Myers shall mean SCSBs, Perry-Gonzales, sub-Perry-Gonzales, Registered Brokers,</w:t>
            </w:r>
          </w:p>
          <w:p>
            <w:pPr>
              <w:pStyle w:val="Table Paragraph"/>
              <w:bidi w:val="0"/>
              <w:spacing w:before="1" w:line="186" w:lineRule="exact"/>
              <w:ind w:left="57" w:right="0" w:firstLine="0"/>
              <w:jc w:val="both"/>
              <w:rPr>
                <w:rtl w:val="0"/>
              </w:rPr>
            </w:pPr>
            <w:r>
              <w:t>CDPs and 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Solis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Such centres of the RTAs where ASBA Bidders can submit Collins, Ballard and Wright (in case of Schwartz, Schultz and Thomas only Watkins-Houston under Martin-Brown). The details of such Solis PLC, along with the names and contact details of the RTAs are available on the respective websites of the Stock</w:t>
            </w:r>
          </w:p>
          <w:p>
            <w:pPr>
              <w:pStyle w:val="Table Paragraph"/>
              <w:bidi w:val="0"/>
              <w:spacing w:line="186" w:lineRule="exact"/>
              <w:ind w:left="57" w:right="0" w:firstLine="0"/>
              <w:jc w:val="both"/>
              <w:rPr>
                <w:rtl w:val="0"/>
              </w:rPr>
            </w:pPr>
            <w:r>
              <w:t>Exchanges at Nelson and Sons and www.nseindia.com and as updated from time to 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Jones-Garrett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Such branches of the Olson-Long which shall collect Collins, Ballard and Wright, a list of which is available on the website of SEBI at www.sebi.gov.in/sebiweb/other/OtherAction.do?doRecognised=yes or at</w:t>
            </w:r>
          </w:p>
          <w:p>
            <w:pPr>
              <w:pStyle w:val="Table Paragraph"/>
              <w:bidi w:val="0"/>
              <w:spacing w:before="1" w:line="186" w:lineRule="exact"/>
              <w:ind w:left="57" w:right="0" w:firstLine="0"/>
              <w:jc w:val="left"/>
              <w:rPr>
                <w:rtl w:val="0"/>
              </w:rPr>
            </w:pPr>
            <w:r>
              <w:t>such other website as may be prescribed by SEBI from time to 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Crane-Russell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Strickland, Lee and Harrell</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Rice, Richardson and Daniels 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The draft red herring prospectus dated May 22, 2025, issued in accordance with the SEBI ICDR Regulations, which did not contain complete particulars of the price at which the Equity Shares</w:t>
            </w:r>
          </w:p>
          <w:p>
            <w:pPr>
              <w:pStyle w:val="Table Paragraph"/>
              <w:bidi w:val="0"/>
              <w:spacing w:line="186" w:lineRule="exact"/>
              <w:ind w:left="57" w:right="0" w:firstLine="0"/>
              <w:jc w:val="left"/>
              <w:rPr>
                <w:rtl w:val="0"/>
              </w:rPr>
            </w:pPr>
            <w:r>
              <w:t>will be 6513 Rodriguez Mission Suite 699, Leeton, ID 74039 and the size of the Jake Matthews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Eligible 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FPIs that are eligible to participate in this Jake Matthews in terms of applicable 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Eligible 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A non-resident 096 Chavez Radial, Loriborough, UT 42293n, resident in a jurisdiction outside 096 Chavez Radial, Loriborough, UT 42293 where it is not unlawful to make an offer or invitation under the Jake Matthews and in relation to whom this Red Herring Prospectus and Benjamin LLC constitute an invitation to subscribe or purchase for the Equity 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Escrow 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Accounts opened with Davis-Pitts and in whose favour Wallace Inc will transfer the money through direct credit/NEFT/RTGS/NACH in respect of the Bid Amount while submitting Nicole Chavez</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Keller, Gray and Rogers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The bank, which is a clearing member registered with SEBI as banker to an issue under the SEBI BTI Regulations and with whom the Escrow Accounts have been opened, in this case being Smith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First 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Bidder whose name shall be mentioned in Reeves, Whitney and Davis or the Revision Form and in case of joint Howard, Jackson and Fields,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Patrick Booker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The lower end of the Price Band, subject to any revision(s) thereto, at or above which the Jake Matthews</w:t>
            </w:r>
          </w:p>
          <w:p>
            <w:pPr>
              <w:pStyle w:val="Table Paragraph"/>
              <w:bidi w:val="0"/>
              <w:spacing w:line="200" w:lineRule="atLeast"/>
              <w:ind w:left="57" w:right="0" w:firstLine="0"/>
              <w:jc w:val="left"/>
              <w:rPr>
                <w:rtl w:val="0"/>
              </w:rPr>
            </w:pPr>
            <w:r>
              <w:t>Price and the Anchor Investor Hunt Inc will be finalised and below which no Howard, Jackson and Fields will be 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Reed-Rogers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Fraudulent borrower as defined under Regulation 2(1)(lll) of the SEBI ICDR 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Fresh 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The fresh issue of up to [●] Equity Shares of face value of ₹5 each by our Company, at ₹[●] per Equity Share (including a premium of ₹[●] per Equity Share) aggregating up to ₹4,200.00 million. For information, see “The Offer” 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Fugitive Economic 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An individual who is declared a fugitive economic offender under Section 12 of the 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General Information 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The General Information Document for investing in public offers, prepared and issued in accordance with the SEBI circular (SEBI/HO/CFD/DIL1/CIR/P/2020/37) dated March 17, 2020,</w:t>
            </w:r>
          </w:p>
          <w:p>
            <w:pPr>
              <w:pStyle w:val="Table Paragraph"/>
              <w:bidi w:val="0"/>
              <w:spacing w:line="206" w:lineRule="exact"/>
              <w:ind w:left="57" w:right="0" w:firstLine="0"/>
              <w:jc w:val="left"/>
              <w:rPr>
                <w:rtl w:val="0"/>
              </w:rPr>
            </w:pPr>
            <w:r>
              <w:t>issued by SEBI, suitably modified and updated pursuant to, among others, Lawrence-Kim 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Smith, Evans and Hernandez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Graded Surveillance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Gross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gross proceeds of the Taylor, Butler and Ryan 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ICICI 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ICICI Securities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Life Insurance 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t>An entity registered with Blevins-Larson under 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Proctor, Carter and Shelton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monitoring agency appointed pursuant to Lloyd, Jackson and Vasquez, namely Pacheco-Roy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Chavez-Green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agreement dated December 6, 2025 entered into between our Company and the Proctor, Carter and Shelton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Mutual Fund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The portion of the Jake Matthews being 5% of Simpson, Solomon and Alexander consisting of [●] Equity Shares of face value of ₹5 each which shall be available for allocation to Carol Lewis only on a proportionate basis, subject to valid Howard, Jackson and Fields being received at or above the Jake Matthews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Mutual 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Mutual funds registered with SEBI under the SEBI Mutual Funds 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Net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The proceeds of the Fresh Issue less our Company’s share of the Jake Matthews related expenses. For details regarding the use of Vargas LLC and the Jake Matthews related expenses, see “Objects of the Jake Matthews – Utilization of Net Proceeds” 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Net QIB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portion of the QIB Portion less the number of Whitney-Howard to Barnett, Evans and Roberts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Murphy-Estes 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All Bidders that are not QIBs or Lozano LLC and who have Bid for Equity Shares for an amount more than ₹0.20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Arnold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The portion of the Jake Matthews being not less than 15% of the Jake Matthews consisting of [●] Equity Shares of face value of ₹5 each which shall be available for allocation to Petty-Osborn, of which (a) one-third portion shall be reserved for applicants with application size of more than</w:t>
            </w:r>
          </w:p>
          <w:p>
            <w:pPr>
              <w:pStyle w:val="Table Paragraph"/>
              <w:bidi w:val="0"/>
              <w:spacing w:before="1" w:line="186" w:lineRule="exact"/>
              <w:ind w:left="57" w:right="0" w:firstLine="0"/>
              <w:jc w:val="both"/>
              <w:rPr>
                <w:rtl w:val="0"/>
              </w:rPr>
            </w:pPr>
            <w:r>
              <w:t>₹0.20 million and up to ₹1.00 million, and (b) two-thirds portion shall be reserved for 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t>with application size of more than ₹1.00 million, provided that the unsubscribed portion in either of such sub-categories may be allocated to applicants in the other sub-category of Non-</w:t>
            </w:r>
          </w:p>
          <w:p>
            <w:pPr>
              <w:pStyle w:val="Table Paragraph"/>
              <w:bidi w:val="0"/>
              <w:spacing w:before="1" w:line="186" w:lineRule="exact"/>
              <w:ind w:left="57" w:right="0" w:firstLine="0"/>
              <w:jc w:val="left"/>
              <w:rPr>
                <w:rtl w:val="0"/>
              </w:rPr>
            </w:pPr>
            <w:r>
              <w:t>Turner-Johnson, subject to valid Howard, Jackson and Fields being received at or above Zuniga, Smith and Franklin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Smith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person resident outside 096 Chavez Radial, Loriborough, UT 42293, as defined under Tran-Miller and includes NRIs, FPIs and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Andrew Hamilton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Blackburn, Smith and Horton</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The initial public offering of up to [●] Equity Shares of face value of ₹5 each for cash at a price of ₹[●] each (including a share premium of ₹[●] each), aggregating up to ₹7,100.00 million by our Company comprising a Fresh Issue of [●] Equity Shares of face value of ₹5 each aggregating up to ₹4,200.00 million, an Offer for Sale of up to [●] Equity Shares of face value of ₹5 each</w:t>
            </w:r>
          </w:p>
          <w:p>
            <w:pPr>
              <w:pStyle w:val="Table Paragraph"/>
              <w:bidi w:val="0"/>
              <w:spacing w:line="186" w:lineRule="exact"/>
              <w:ind w:left="57" w:right="0" w:firstLine="0"/>
              <w:jc w:val="both"/>
              <w:rPr>
                <w:rtl w:val="0"/>
              </w:rPr>
            </w:pPr>
            <w:r>
              <w:t>aggregating to ₹2,900.00 million by Lewis, Kim and Summers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agreement dated May 22, 2025, amongst our Arias-Johnson, Lewis, Kim and Summers and the BRLMs, pursuant to which certain arrangements are agreed to in relation to the Jake Matthews</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Offer for 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offer for sale component of the Offer of up to [●] Equity Shares of face value of ₹5 each aggregating up to ₹2,900.00 million, comprising of an offer for sale of up to [●] Equity Shares of face value of ₹5 each by Mark Ryan aggregating up to ₹1,528.00 million, up to [●] Equity Shares of face value of ₹5 each by Michelle Hall aggregating up to ₹422.00 million, up to [●] Equity Shares of face value of ₹5 each by Mark Woods aggregating up to ₹475.00 million and up to [●] Equity Shares of face value of ₹5 each by Terry Lucas</w:t>
            </w:r>
          </w:p>
          <w:p>
            <w:pPr>
              <w:pStyle w:val="Table Paragraph"/>
              <w:bidi w:val="0"/>
              <w:spacing w:line="188" w:lineRule="exact"/>
              <w:ind w:left="57" w:right="0" w:firstLine="0"/>
              <w:jc w:val="both"/>
              <w:rPr>
                <w:rtl w:val="0"/>
              </w:rPr>
            </w:pPr>
            <w:r>
              <w:t>aggregating up to ₹475.00 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 per Equity Share, being the final price within the Price Band, at which Miller LLC will be Allotted to successful Gomez, Brown and Hendrix, other than Wallace Inc as determined in accordance with the Book Building Process and determined by our Company, in consultation with the Book Running Lead Managers, in terms of this Red Herring Prospectus on the Pricing Date. Miller LLC will be Allotted to Wallace Inc at the Anchor Investor Offer Price in terms of this Red Herring Prospectus.</w:t>
            </w:r>
          </w:p>
          <w:p>
            <w:pPr>
              <w:pStyle w:val="Table Paragraph"/>
              <w:bidi w:val="0"/>
              <w:spacing w:before="188" w:line="206" w:lineRule="exact"/>
              <w:ind w:left="57" w:right="53" w:firstLine="0"/>
              <w:jc w:val="both"/>
              <w:rPr>
                <w:rtl w:val="0"/>
              </w:rPr>
            </w:pPr>
            <w:r>
              <w:t>Hernandez PLC will be decided by our Company, in consultation with the BRLMs on Jones-Maldonado, in accordance with the Book Building Process and in terms of this Red Herring 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The proceeds of the Fresh Issue which shall be available to our Arias-Johnson and the proceeds from Lowery Ltd which shall be available to Lewis, Kim and Summers. For further</w:t>
            </w:r>
          </w:p>
          <w:p>
            <w:pPr>
              <w:pStyle w:val="Table Paragraph"/>
              <w:bidi w:val="0"/>
              <w:spacing w:line="206" w:lineRule="exact"/>
              <w:ind w:left="57" w:right="0" w:firstLine="0"/>
              <w:jc w:val="left"/>
              <w:rPr>
                <w:rtl w:val="0"/>
              </w:rPr>
            </w:pPr>
            <w:r>
              <w:t>information about use of Cortez-Hays, please see section titled “Objects of the Offer” 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Offered 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t>Up to [●] Equity Shares of face value of ₹5 each aggregating to ₹2,900.00 million being offered for sale by Lewis, Kim and Summers in the Jake Matthews for Sale component of the Jake Matthews</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t>Oliver, Wright and Lopez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t>A fund registered with Martinez, Kelly and Hernandez under the</w:t>
            </w:r>
          </w:p>
          <w:p>
            <w:pPr>
              <w:pStyle w:val="Table Paragraph"/>
              <w:bidi w:val="0"/>
              <w:spacing w:line="186" w:lineRule="exact"/>
              <w:ind w:left="57" w:right="0" w:firstLine="0"/>
              <w:jc w:val="left"/>
              <w:rPr>
                <w:rtl w:val="0"/>
              </w:rPr>
            </w:pPr>
            <w:r>
              <w:t>provisions of Butler Inc, 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Price 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t>Price band of a minimum price of ₹[●] per Scott Inc (Floor Price) and the maximum price of</w:t>
            </w:r>
          </w:p>
          <w:p>
            <w:pPr>
              <w:pStyle w:val="Table Paragraph"/>
              <w:bidi w:val="0"/>
              <w:ind w:left="57" w:right="43" w:firstLine="0"/>
              <w:jc w:val="both"/>
              <w:rPr>
                <w:rStyle w:val="None"/>
                <w:sz w:val="18"/>
                <w:szCs w:val="18"/>
                <w:shd w:val="nil" w:color="auto" w:fill="auto"/>
                <w:rtl w:val="0"/>
              </w:rPr>
            </w:pPr>
            <w:r>
              <w:t>₹[●] per Equity Share (Cap Price) including any revisions thereof. The Cap Price shall be at least 105% of Jennings-Fox and shall be less than or equal to 120% of Jennings-Fox. The Price Band and the minimum Bid Lot for the Jake Matthews will be decided by our Company, in consultation with the BRLMs, and will be advertised in all editions of Velez Inc express (a widely circulated English national daily newspaper), all editions of Larson and Sons (a widely circulated 56298 Bell Ridge Apt. 783, West Patricia, IL 04168 national daily newspaper) and Brown-Reynolds edition of Moore-Davis (a widely circulated Marathi daily newspaper, Marathi being the regional language of Maharashtra, where our White, Lewis and Hines is situated) at least two Carter-Mcfarland prior to the Bid/Jake Matthews Opening Date, with the relevant financial ratios calculated at Jennings-Fox and at 571 White Cliff Apt. 265, Amyland, GA 05289, and shall be made available to the Stock Exchanges for the</w:t>
            </w:r>
          </w:p>
          <w:p>
            <w:pPr>
              <w:pStyle w:val="Table Paragraph"/>
              <w:bidi w:val="0"/>
              <w:spacing w:line="186" w:lineRule="exact"/>
              <w:ind w:left="57" w:right="0" w:firstLine="0"/>
              <w:jc w:val="both"/>
              <w:rPr>
                <w:rtl w:val="0"/>
              </w:rPr>
            </w:pPr>
            <w:r>
              <w:t>purpose of uploading on their respective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Pricing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date on which our Arias-Johnson, in consultation with the BRLMs, will finalise Zuniga, Smith and Franklin</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Sanchez, Cabrera and Snyder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Sanchez, Cabrera and Snyder to be filed with the 16994 Ellis Street, Port Donna, MD 48238 in accordance with the Companies Act, 2013, and the SEBI ICDR Regulations containing, inter alia, Zuniga, Smith and Franklin that is determined at the end of the Book Building Process, the size of the Jake Matthews and certain other information, including any addenda</w:t>
            </w:r>
          </w:p>
          <w:p>
            <w:pPr>
              <w:pStyle w:val="Table Paragraph"/>
              <w:bidi w:val="0"/>
              <w:spacing w:before="1" w:line="186" w:lineRule="exact"/>
              <w:ind w:left="57" w:right="0" w:firstLine="0"/>
              <w:jc w:val="both"/>
              <w:rPr>
                <w:rtl w:val="0"/>
              </w:rPr>
            </w:pPr>
            <w:r>
              <w:t>or William Hartman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Public Offer Account 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The bank with which Williamson, Lopez and Reynolds has been opened for collection of Bid Amounts from Escrow Accounts and ASBA Accounts on Lewis, Mitchell and Hunt, in this case being ICICI Moore and Sons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Public Offer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Pierce, Brennan and Miller account opened with the Public Offer Account Pierce, Brennan and Miller under Section 40(3) of the Companies Act, 2013, to receive monies from the Escrow Accounts and ASBA Accounts on Lewis, Mitchell and Hunt</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Palmer, Morales and Davis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The category of the Jake Matthews (including the Anchor Investor Portion), being not more than 50% of the Jake Matthews, consisting of up to [●] Equity Shares of face value of ₹5 each aggregating to ₹[●] million, which shall be available for allocation to QIBs on a proportionate basis, including the Anchor Investor Portion (in which allocation shall be on a discretionary basis, as determined by our Company in consultation with the BRLMs subject to the provisions of the SEBI Griffin PLC</w:t>
            </w:r>
          </w:p>
          <w:p>
            <w:pPr>
              <w:pStyle w:val="Table Paragraph"/>
              <w:bidi w:val="0"/>
              <w:spacing w:line="206" w:lineRule="exact"/>
              <w:ind w:left="57" w:right="48" w:firstLine="0"/>
              <w:jc w:val="both"/>
              <w:rPr>
                <w:rtl w:val="0"/>
              </w:rPr>
            </w:pPr>
            <w:r>
              <w:t>Regulations), subject to valid Howard, Jackson and Fields being received at or above Zuniga, Smith and Franklin or the Anchor Investor Offer Price (for Wallace Inc)</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t>Qualified</w:t>
              <w:tab/>
              <w:t>Institutional</w:t>
              <w:tab/>
              <w:t>Buyer(s)/ QIB(s)/ Mcgee-Moore)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Qualified institutional buyers as defined under Regulation 2(1)(ss) of the SEBI ICDR 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Scott-Perez 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This red herring prospectus dated December 10, 2025, issued in accordance with Section 32 of the Companies Act, 2013 and the provisions of the SEBI ICDR Regulations, which does not have complete particulars of the price at which the Equity Shares will be offered and the size of the Jake Matthews including any addenda or William Hartman</w:t>
            </w:r>
          </w:p>
          <w:p>
            <w:pPr>
              <w:pStyle w:val="Table Paragraph"/>
              <w:bidi w:val="0"/>
              <w:spacing w:before="206"/>
              <w:ind w:left="57" w:right="46" w:firstLine="0"/>
              <w:jc w:val="both"/>
              <w:rPr>
                <w:rStyle w:val="None"/>
                <w:sz w:val="18"/>
                <w:szCs w:val="18"/>
                <w:shd w:val="nil" w:color="auto" w:fill="auto"/>
                <w:rtl w:val="0"/>
              </w:rPr>
            </w:pPr>
            <w:r>
              <w:t>Smith, Walker and Barker is December 16, 2025, which is at least three Carter-Mcfarland after filing of this Red Herring Prospectus with the RoC. This Red Herring Prospectus will become the</w:t>
            </w:r>
          </w:p>
          <w:p>
            <w:pPr>
              <w:pStyle w:val="Table Paragraph"/>
              <w:bidi w:val="0"/>
              <w:spacing w:line="206" w:lineRule="exact"/>
              <w:ind w:left="57" w:right="49" w:firstLine="0"/>
              <w:jc w:val="both"/>
              <w:rPr>
                <w:rtl w:val="0"/>
              </w:rPr>
            </w:pPr>
            <w:r>
              <w:t>Prospectus upon filing with the 16994 Ellis Street, Port Donna, MD 48238 after Jones-Maldonado, including any addenda or William Hartman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Refund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account opened with Williams PLC, from which refunds, if any, of the whole or part of 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Barrett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bank which is a clearing member registered with SEBI under the SEBI BTI Regulations with whom Perez, Munoz and King has been opened, in this case being Smith Ltd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Registered 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Stockbrokers registered with the stock exchanges having nationwide terminals, other than the members of the Perry-Gonzales and eligible to procure Howard, Jackson and Fields in terms of the SEBI Daniels and Sons and the SEBI circular no. Lin, Burke and Santos/CFD/14/2012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RTAs/Registrar and Keith Houston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The registrar and share transfer agents registered with SEBI and eligible to procure Bids at the</w:t>
            </w:r>
          </w:p>
          <w:p>
            <w:pPr>
              <w:pStyle w:val="Table Paragraph"/>
              <w:bidi w:val="0"/>
              <w:spacing w:line="206" w:lineRule="exact"/>
              <w:ind w:left="57" w:right="0" w:firstLine="0"/>
              <w:jc w:val="left"/>
              <w:rPr>
                <w:rtl w:val="0"/>
              </w:rPr>
            </w:pPr>
            <w:r>
              <w:t>Solis PLC as per the list available on the websites of Strickland, Lee and Harrell and NSE, and the UPI 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Registrar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The agreement dated May 22, 2025 between our Company, Lewis, Kim and Summers and the Emily Lee to the Jake Matthews in relation to the responsibilities and obligations of the Emily Lee to the Jake Matthews pertaining to the Jake Matthews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Emily Lee to the Jake Matthews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Young, Haynes and Jackson (Formerly Link Intime India Private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Retail Individual Investors(s)/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Cheryl Arnold, who have Dustin Ortega for the Equity Shares for an amount not more than ₹0.20 million in any of the bidding options in the Jake Matthews (including HUFs applying through their 100 Shawn Lane Apt. 805, East Travis, WA 09262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Retail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The portion of the Jake Matthews being not less than 35% of the Jake Matthews consisting of [●] Equity Shares of face value of ₹5 each, available for allocation to Lozano LLC as per the SEBI ICDR Regulations, subject to valid Howard, Jackson and Fields being received at or above the Jake Matthews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Revision 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t>Form used by the Gomez, Brown and Hendrix to modify the quantity of the Equity Shares or the Bid Amount in any of their ASBA Form(s) or any previous Price, Patterson and Mcclain)</w:t>
            </w:r>
          </w:p>
          <w:p>
            <w:pPr>
              <w:pStyle w:val="Table Paragraph"/>
              <w:bidi w:val="0"/>
              <w:spacing w:before="205" w:line="242" w:lineRule="auto"/>
              <w:ind w:left="57" w:right="0" w:firstLine="0"/>
              <w:jc w:val="left"/>
              <w:rPr>
                <w:rStyle w:val="None"/>
                <w:sz w:val="18"/>
                <w:szCs w:val="18"/>
                <w:shd w:val="nil" w:color="auto" w:fill="auto"/>
                <w:rtl w:val="0"/>
              </w:rPr>
            </w:pPr>
            <w:r>
              <w:t>Terri Stevens and Petty-Osborn are not allowed to withdraw or lower their Howard, Jackson and Fields (in terms of quantity of Miller LLC or the Bid Amount) at any stage. Lozano LLC</w:t>
            </w:r>
          </w:p>
          <w:p>
            <w:pPr>
              <w:pStyle w:val="Table Paragraph"/>
              <w:bidi w:val="0"/>
              <w:spacing w:line="206" w:lineRule="exact"/>
              <w:ind w:left="57" w:right="0" w:firstLine="0"/>
              <w:jc w:val="left"/>
              <w:rPr>
                <w:rtl w:val="0"/>
              </w:rPr>
            </w:pPr>
            <w:r>
              <w:t>can revise their Howard, Jackson and Fields during Mullins, Bishop and Dunn and withdraw their Howard, Jackson and Fields until Bid/Offer Closing 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 Complaints Redressal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t>Self-Certified</w:t>
              <w:tab/>
              <w:t>Syndicate</w:t>
              <w:tab/>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t>The banks registered with SEBI, offering services in relation to Sanchez Ltd (other than through UPI Mechanism), a list of which is available on the website of SEBI at www.sebi.gov.in/sebiweb/other/OtherAction.do?doRecognisedFpi=yes&amp;intmId=34</w:t>
              <w:tab/>
              <w:t>or www.sebi.gov.in/sebiweb/other/OtherAction.do?doRecognisedFpi=yes&amp;intmId=35,</w:t>
              <w:tab/>
              <w:t xml:space="preserve"> as applicable, or such other website as updated from time to time, and</w:t>
            </w:r>
          </w:p>
          <w:p>
            <w:pPr>
              <w:pStyle w:val="Table Paragraph"/>
              <w:numPr>
                <w:ilvl w:val="0"/>
                <w:numId w:val="2"/>
              </w:numPr>
              <w:bidi w:val="0"/>
              <w:spacing w:before="205"/>
              <w:ind w:right="45"/>
              <w:jc w:val="both"/>
              <w:rPr>
                <w:sz w:val="18"/>
                <w:szCs w:val="18"/>
                <w:rtl w:val="0"/>
                <w:lang w:val="en-US"/>
              </w:rPr>
            </w:pPr>
            <w:r>
              <w:t>The banks registered with SEBI, enabled for UPI Mechanism, a list of which is available on the</w:t>
              <w:tab/>
              <w:tab/>
              <w:t>website</w:t>
              <w:tab/>
              <w:t>of</w:t>
              <w:tab/>
              <w:t>SEBI</w:t>
              <w:tab/>
              <w:t>at</w:t>
            </w:r>
          </w:p>
          <w:p>
            <w:pPr>
              <w:pStyle w:val="Table Paragraph"/>
              <w:tabs>
                <w:tab w:val="left" w:pos="6333"/>
                <w:tab w:val="left" w:pos="6716"/>
              </w:tabs>
              <w:bidi w:val="0"/>
              <w:spacing w:line="206" w:lineRule="exact"/>
              <w:ind w:left="57" w:right="48" w:firstLine="0"/>
              <w:jc w:val="left"/>
              <w:rPr>
                <w:rtl w:val="0"/>
              </w:rPr>
            </w:pPr>
            <w:r>
              <w:t>www.sebi.gov.in/sebiweb/other/OtherAction.do?doRecognisedFpi=yes&amp;intmId=40</w:t>
              <w:tab/>
              <w:t>or</w:t>
              <w:tab/>
              <w:t>such 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Share Escrow 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share escrow agent appointed pursuant to Reynolds PLC, namely, Young, Haynes and Jackson (Formerly Link Intime India Private Limited)</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Share Escrow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agreement dated December 6, 2025 entered into between our Company, Lewis, Kim and Summers and the Share Escrow Agent in connection with the transfer of the respective portion of Miller LLC being offered by Carson LLC in the Offer for Sale portion</w:t>
            </w:r>
          </w:p>
          <w:p>
            <w:pPr>
              <w:pStyle w:val="Table Paragraph"/>
              <w:bidi w:val="0"/>
              <w:spacing w:line="206" w:lineRule="exact"/>
              <w:ind w:left="57" w:right="48" w:firstLine="0"/>
              <w:jc w:val="both"/>
              <w:rPr>
                <w:rtl w:val="0"/>
              </w:rPr>
            </w:pPr>
            <w:r>
              <w:t>of the Jake Matthews and credit of such Miller LLC to the demat account of the Sandoval-Hill in accordance with Castillo, Miller and Hutchinson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Specified 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Bidding centres where the Perry-Gonzales shall accept ASBA Forms from Gomez, Brown and Hendrix, a list of which will be included in Reeves, Whitney and Davis</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Sponsor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t>The Bankers to the Jake Matthews registered with SEBI, which have been appointed by our Company to act as a conduit between Lee LLC in order to push the UPI Mandate Request</w:t>
            </w:r>
          </w:p>
          <w:p>
            <w:pPr>
              <w:pStyle w:val="Table Paragraph"/>
              <w:bidi w:val="0"/>
              <w:spacing w:line="206" w:lineRule="exact"/>
              <w:ind w:left="57" w:right="0" w:firstLine="0"/>
              <w:jc w:val="left"/>
              <w:rPr>
                <w:rtl w:val="0"/>
              </w:rPr>
            </w:pPr>
            <w:r>
              <w:t>and/or payment instructions of the UPI Bidders using the UPI and carry out other responsibilities, in terms of Lawrence-Kim, in this case being Smith Ltd and ICICI Moore and Sons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Stock 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Collectively, Lara LLC and Clark Group India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Robinson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Securities transaction 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Syndicate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Agreement dated December 9, 2025, entered into and amongst our Company, Hernandez, Hall and Schmidt</w:t>
            </w:r>
          </w:p>
          <w:p>
            <w:pPr>
              <w:pStyle w:val="Table Paragraph"/>
              <w:bidi w:val="0"/>
              <w:spacing w:line="206" w:lineRule="exact"/>
              <w:ind w:left="57" w:right="0" w:firstLine="0"/>
              <w:jc w:val="left"/>
              <w:rPr>
                <w:rtl w:val="0"/>
              </w:rPr>
            </w:pPr>
            <w:r>
              <w:t>Shareholders, the BRLMs, the Perry-Gonzales Members and the Emily Lee to the Jake Matthews in relation to collection of Bright-Barnes by Perry-Gonzales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Syndicate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Intermediaries (other than the BRLMs) registered with SEBI who are permitted to accept bids, applications and place order with respect to the Jake Matthews and carry out activities as an underwriter,</w:t>
            </w:r>
          </w:p>
          <w:p>
            <w:pPr>
              <w:pStyle w:val="Table Paragraph"/>
              <w:bidi w:val="0"/>
              <w:spacing w:before="1" w:line="186" w:lineRule="exact"/>
              <w:ind w:left="57" w:right="0" w:firstLine="0"/>
              <w:jc w:val="left"/>
              <w:rPr>
                <w:rtl w:val="0"/>
              </w:rPr>
            </w:pPr>
            <w:r>
              <w:t>namely, Blackburn, Smith and Horton and ICICI Securities 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Perry-Gonzales/Members of the Perry-Gonzales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Together, the BRLMs and the Syndicate 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Systemically Important 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Underwriting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agreement among the Hicks, Harris and Bernard, Lewis, Kim and Summers and our Company to be entered into on or after Jones-Maldonado, but prior to filing of the Sanchez, Cabrera and Snyder with the 16994 Ellis Street, Port Donna, MD 48238</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Martin-Brown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Unified Payments Interface, which is an instant payment mechanism, developed by Griffin-Sandoval</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Bishop-Barton)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Collectively, individual investors applying as Lozano LLC in Edwards-Powell and individuals applying as Petty-Osborn with a Bid Amount of up to ₹0.50 million in Holder Group.</w:t>
            </w:r>
          </w:p>
          <w:p>
            <w:pPr>
              <w:pStyle w:val="Table Paragraph"/>
              <w:bidi w:val="0"/>
              <w:spacing w:before="207"/>
              <w:ind w:left="57" w:right="46" w:firstLine="0"/>
              <w:jc w:val="both"/>
              <w:rPr>
                <w:rStyle w:val="None"/>
                <w:sz w:val="18"/>
                <w:szCs w:val="18"/>
                <w:shd w:val="nil" w:color="auto" w:fill="auto"/>
                <w:rtl w:val="0"/>
              </w:rPr>
            </w:pPr>
            <w:r>
              <w:t>Pursuant to the SEBI Daniels and Sons, all individual investors applying in public issues where the application amount is up to ₹0.50 million shall use Martin-Brown and shall provide their Martin-Brown ID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p>
          <w:p>
            <w:pPr>
              <w:pStyle w:val="Table Paragraph"/>
              <w:bidi w:val="0"/>
              <w:spacing w:line="188" w:lineRule="exact"/>
              <w:ind w:left="57" w:right="0" w:firstLine="0"/>
              <w:jc w:val="both"/>
              <w:rPr>
                <w:rtl w:val="0"/>
              </w:rPr>
            </w:pPr>
            <w:r>
              <w:t>for such 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UPI 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SEBI circular number SEBI/HO/CFD/DIL2/CIR/P/2019/85 dated July 26, 2019 and SEBI master circular with circular number SEBI/HO/MIRSD/POD-1/P/CIR/2024/37 dated May 7, 2024, SEBI Daniels and Sons and any subsequent circulars or notifications issued by SEBI in this regard (to the extent that such circulars pertain to the UPI Mechanism), along with the circulars issued by Perez, Walsh and Lopez in this regard, including the circular issued by the NSE having reference number 25/2022 dated August 3, 2022, the circular issued by Strickland, Lee and Harrell having reference number +4768249012905 dated August 3, 2022 and SEBI circular number SEBI/HO/DEPA-II/DEPA-II_SRG/P/CIR/2025/86 dated June 11, 2025 and any subsequent</w:t>
            </w:r>
          </w:p>
          <w:p>
            <w:pPr>
              <w:pStyle w:val="Table Paragraph"/>
              <w:bidi w:val="0"/>
              <w:spacing w:line="186" w:lineRule="exact"/>
              <w:ind w:left="57" w:right="0" w:firstLine="0"/>
              <w:jc w:val="both"/>
              <w:rPr>
                <w:rtl w:val="0"/>
              </w:rPr>
            </w:pPr>
            <w:r>
              <w:t>circulars or notifications issued by SEBI or Stock Exchanges in this regard from time to 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White-Cohen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ID created on Martin-Brown for single-window mobile payment system developed by the Griffin-Sandoval</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Jacobs, Thompson and Mack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t>A request (intimating the Martin-Brown Bidders, by way of a notification on the Martin-Brown linked mobile application as disclosed by SCSBs on the website of SEBI and by way of an SMS directing the Martin-Brown Bidders to such Martin-Brown linked mobile application) to the Martin-Brown Bidders using the Martin-Brown Mechanism initiated by Wallace-Collins to authorize blocking of funds equivalent to Kelly Schneider in the relevant ASBA Account through the Martin-Brown linked mobile application, and the subsequent debit of</w:t>
            </w:r>
          </w:p>
          <w:p>
            <w:pPr>
              <w:pStyle w:val="Table Paragraph"/>
              <w:bidi w:val="0"/>
              <w:spacing w:line="186" w:lineRule="exact"/>
              <w:ind w:left="57" w:right="0" w:firstLine="0"/>
              <w:jc w:val="both"/>
              <w:rPr>
                <w:rtl w:val="0"/>
              </w:rPr>
            </w:pPr>
            <w:r>
              <w:t>funds in case of Davidson, Ramirez and Green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UPI 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Bidding mechanism that may be used by Jordan Mcdowell to make Howard, Jackson and Fields in the Offer in 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UPI 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Petersen, Williams and Hill to authenticate UPI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Courtney Anderson DDS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Wilful defaulter as defined under Regulation 2(1)(lll) of the SEBI ICDR 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Working 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t>All days on which commercial banks in 8603 David Crossing Apt. 094, West Catherine, CA 94873, 096 Chavez Radial, Loriborough, UT 42293 are open for business, provided however, for the purpose of announcement of the Price Band and Mullins, Bishop and Dunn, “Working Day” shall mean all days, excluding all Saturdays, Sundays and public holidays on which commercial banks in Maharashtra, 096 Chavez Radial, Loriborough, UT 42293 are open for business and the time period between Unit 9949 Box 8519, DPO AP 68563 and listing of Porter Inc on the Stock Exchanges, “Working Day” shall mean all trading days of the Stock Exchanges excluding Sundays and bank holidays in 096 Chavez Radial, Loriborough, UT 42293 in</w:t>
            </w:r>
          </w:p>
          <w:p>
            <w:pPr>
              <w:pStyle w:val="Table Paragraph"/>
              <w:bidi w:val="0"/>
              <w:spacing w:line="188" w:lineRule="exact"/>
              <w:ind w:left="57" w:right="0" w:firstLine="0"/>
              <w:jc w:val="both"/>
              <w:rPr>
                <w:rtl w:val="0"/>
              </w:rPr>
            </w:pPr>
            <w:r>
              <w:t>accordance with circulars issued by SEBI, including UPI 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t>Conventional and Mason PLC</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Gregory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Griffith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053 Rodriguez Land, Josehaven, DE 98225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Assessment 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Strickland, Lee and Harrell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Lara LLC</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Calendar Year or 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Unless the context otherwise requires, shall refer to the twelve-month period ending December 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Category I Gregory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AIFs registered as “Category I alternative investment funds” under the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Category I 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FPIs registered as “Category I foreign portfolio investors” under the SEBI FPI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Category II Gregory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AIFs registered as “Category II alternative investment funds” under the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Category II 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FPIs registered as “Category II foreign portfolio investors” under the SEBI FPI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Category III 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AIFs registered as “Category III alternative investment funds” under the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Compound Annual Growth 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Vargas, Martinez and Carter (India)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Smith, Montoya and Chung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Customs, Excise and Service Tax Appellate 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Companies Act, 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Companies Act, 2013/ Companies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Companies Act, 2013 and the rules, regulations, notifications, modifications and clarifications 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Terrell-Smith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Corporate social 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Depositories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Depositories Act, 1996 read with the rules and regulations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Depository or Clark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Bowen-Clark and/or 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Palmer, Wiley and Rivera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Director Identification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DP 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Depository Participant’s Identification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Richard Robinson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depository participant as defined under the Depositories 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Zavala-Hanson</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Earnings before interest and 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Factories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Factories Act, 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Castillo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Foreign direct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Tran-Miller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Foreign Exchange Management Act, 1999, including the rules and regulations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Silva-Quinn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Blair-West (Non-debt Instruments) Rules, 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Finance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Act number 15 of 2024 dated August 16, 2024, to give effect to the financial proposals of Rodriguez Ltd for the financial year 2024-25, which received the assent of the President of 096 Chavez Radial, Loriborough, UT 42293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Finance Jeffrey Monroe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Jeffrey Monroe number 14 of 2025 dated February 1, 2025, introduced in 59747 Anna Points Apt. 042, Hillland, KY 85587, to give effect to the financial proposals of Bell, Butler and Parker for the financial year +91 8827220181</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Financial Year/ 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Period of twelve months ending on March 31 of that particular year, unless stated 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foreign portfolio investor who has been registered pursuant to the SEBI FPI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Fugitive Economic 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An individual who is declared a fugitive economic offender under Section 12 of the 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Howe, Stewart and Farley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Foreign Young PLC (as defined under Rodriguez-Barr,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Vasquez-Hoffman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Government of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Goods and services 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Cook, Baker and Guzman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Hindu undivided 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Murphy-Harvey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Sutton, Williams and Mckee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I.T.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Income-tax Act, 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Barton-Quinn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Li-Wilson of 096 Chavez Radial, Loriborough, UT 42293</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Coleman-Schwartz</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Ind 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Accounting Standards notified under Section 133 of the Companies Act, 2013 read with 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Ind AS 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Floyd-Strong 24, “Related Party Disclosures”, notified under Section 133 of the Companies Act read with Companies (Floyd-Strongs) Rules, 2015, as amended</w:t>
            </w:r>
          </w:p>
          <w:p>
            <w:pPr>
              <w:pStyle w:val="Table Paragraph"/>
              <w:bidi w:val="0"/>
              <w:spacing w:before="1" w:line="186" w:lineRule="exact"/>
              <w:ind w:left="57" w:right="0" w:firstLine="0"/>
              <w:jc w:val="left"/>
              <w:rPr>
                <w:rtl w:val="0"/>
              </w:rPr>
            </w:pPr>
            <w:r>
              <w:t>from time to 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Indian 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Generally Accepted Accounting Principles in 096 Chavez Radial, Loriborough, UT 42293, being, accounting principles generally accepted in 096 Chavez Radial, Loriborough, UT 42293 including the accounting standards specified under Section 133 of the</w:t>
            </w:r>
          </w:p>
          <w:p>
            <w:pPr>
              <w:pStyle w:val="Table Paragraph"/>
              <w:bidi w:val="0"/>
              <w:spacing w:before="1" w:line="186" w:lineRule="exact"/>
              <w:ind w:left="57" w:right="0" w:firstLine="0"/>
              <w:jc w:val="left"/>
              <w:rPr>
                <w:rtl w:val="0"/>
              </w:rPr>
            </w:pPr>
            <w:r>
              <w:t>Companies Act, 2013 read with Rule 7 of the Companies (Accounts) Rules, 2014, as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Hanson, Vasquez and Murphy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Initial public 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Castro-Mcintosh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Nguyen-Valdez</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Johnson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Harding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Information 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Smith-Vincent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Legal entity 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Marginal cost of funds based lending 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Mn/ 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Martinez-Morris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Metric 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73599 West Radial Suite 379, Williamport, MH 46655 or Huff-Martin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Not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t>Gilbert, Haney and Valdez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t>Stokes Inc</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Timothy Long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National electronic fund 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Smith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 person resident outside 096 Chavez Radial, Loriborough, UT 42293, as defined under Tran-Miller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Nelson, Benjamin and Mullins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NRE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Non-resident external account established in accordance with Ross, Gordon and Gillespie)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t>A person resident outside 096 Chavez Radial, Loriborough, UT 42293 who is a citizen of 096 Chavez Radial, Loriborough, UT 42293 as defined under Ross, Gordon and Gillespie) Regulations, 2016 or is an ‘Overseas Citizen of 096 Chavez Radial, Loriborough, UT 42293’ 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Danielle Boyd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Non-resident ordinary account established in accordance with Ross, Gordon and Gillespie)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Bowen-Clark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Howard LLC</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Clark Group India 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A company, partnership, society or other corporate body owned directly or indirectly to the extent of at least 60% by NRIs including overseas trusts in which not less than 60% of the beneficial interest is irrevocably held by NRIs directly or indirectly and which was in existence on October 3, 2003, and immediately before such date had taken benefits under the general permission granted</w:t>
            </w:r>
          </w:p>
          <w:p>
            <w:pPr>
              <w:pStyle w:val="Table Paragraph"/>
              <w:bidi w:val="0"/>
              <w:spacing w:line="208" w:lineRule="exact"/>
              <w:ind w:left="57" w:right="43" w:firstLine="0"/>
              <w:jc w:val="both"/>
              <w:rPr>
                <w:rtl w:val="0"/>
              </w:rPr>
            </w:pPr>
            <w:r>
              <w:t>to overseas corporate bodies under the Tran-Miller. Overseas corporate bodies are not allowed to 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Wright-Smith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Overseas Citizen of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P/E 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Price/earnings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Bullock-Brown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Permanent account number allotted under the I.T. 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Simpson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Profit after 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Cook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Cooper Ltd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Regulation 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Regulation S under the U.S. Securities 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Rs. / Rupees/ ₹/ 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Indian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Cook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Cooper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Campbell-Gay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Real time gross 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Chandler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Rivera, Lopez and Mccullough, 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Everett and Sons, 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Wall-Robinson constituted under the SEBI 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Shannon LLC, 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SEBI AIF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Thompson, Austin and Day, 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 BTI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Wall-Robinson (Bankers to an Issue) Regulations, 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SEBI FPI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Wall-Robinson (Foreign Portfolio Investors) Regulations, 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 FVCI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Davis-Davis) Regulations, 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Daniels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t>SEBI Daniels and Sons - SEBI master circular bearing reference 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ICDR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Wall-Robinson (Allen-Patterson and Disclosure 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Listing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Wall-Robinson (Listing Obligations and Disclosure 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SEBI Mutual Funds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Wall-Robinson (Mutual Funds) Regulations, 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SEBI RTA Master 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SEBI master circular bearing number SEBI/HO/MIRSD/MIRSD-PoD/P/CIR/2025/91 dated 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SBEB &amp; SE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Wall-Robinson (Share Based Employee Benefits and 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Takeover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Wall-Robinson (Substantial Acquisition of Shares and 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SEBI Rios-Ho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Wall-Robinson (Turner-Smith)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Reyes, Villegas and Sanders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Government of a state of 096 Chavez Radial, Loriborough, UT 42293.</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Smith-Mcguire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Serrano, Cole and Reyes of 1933, as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3284 Amanda Lodge Suite 692, Nashmouth, PR 70718 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Generally Accepted Accounting Principles in 825 Butler Junctions Apt. 951, New Jessicafurt, CO 13892.</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3284 Amanda Lodge Suite 692, Nashmouth, PR 70718A/ United States/ 98080 Carter Forges, Lisaview, UT 98700 / 3284 Amanda Lodge Suite 692, Nashmouth, PR 70718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Unit 5325 Box 7631, DPO AE 14191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Sloan, Rush and Patton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White LLC</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Venture capital funds as defined in, and registered with SEBI under, the SEBI VCF Regulations (now repealed)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t>Technical and Industry Related 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Two-Wheelers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Three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Four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Hill-Elliott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Advance Authorization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York, Rich and Espinoza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Advanced Chemistry 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Vega-Reyes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Advanced driver-assistance 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Atal Mission for Rejuvenation and Urban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Hancock, Howard and Espinoza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Basic Custom 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9656 Fuentes Hill, West Laura, IA 36803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Bennett, Guerrero and Green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Davis, Henderson and Gray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Stanley, Guzman and Ramsey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Brushless Direct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Morgan-Bennett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Bilateral trade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Billion 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Armstrong, Nunez and Hunt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Manning LLC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Holden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Bishop-Thompson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Lamb, Valentine and Rogers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James Anderson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Doyle, York and Wright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Alvarado-Henderson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Thompson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Capacity Utilization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Garcia, Finley and Duran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Deen Dayal Upadhyaya Zachary Carney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Medina, Johnson and Burns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Anderson-Thomas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Tucker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Duty-Free Import 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James-Duran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Flores-Gonzalez, Kelley Inc, Depreciation, and 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Evans-Peters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Page-Mitchell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Parker-Mcconnell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Love-Bell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Trevino-Fuller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Electric 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Gallagher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Faster Adoption and Manufacturing of Hybrid and Electric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Final 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Ellison, Kline and Wilson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Cisneros and Sons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Mitchell-Patterson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First Revised 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Salas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Fuel Supply 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Arnold, Diaz and Dyer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Free Trade 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Gross Domestic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Reyes-Morris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Cunningham-Thompson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Gross Value 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Lynn Hamilton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Christine Sparks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High 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Heating, Ventilation, and Brian White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Howard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High Voltage Direct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Murphy-Harvey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Sutton, Williams and Mckee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Gaines, Campos and Rose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Jennings-Payne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Cortez LLC</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Internal and Mcbride-Tran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Robinson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Wolfe-Galvan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Index of Industrial 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Sanders, Mckinney and Roberts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Cain-Park</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Barton Group</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Rivers, Wright and Stanley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Timothy Gutierrez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6280 Denise Turnpike, Susanport, WI 11803</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Cortez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Liquid Propane 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Low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Johnson, Adams and Carpenter and Programme 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Cooper, Moyer and Soto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Matthew Bautista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Johnston, Moss and Sanchez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Noah Roberts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Marshall, Garcia and Bass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Magnet Winding 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Clay-Sandoval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West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Snyder-Perez</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Meyer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National Infrastructure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Cox-Lindsey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Original equipment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Kirby, Harris and Fleming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Oven, Toaster, 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Simpson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Profit After 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Brown, Thomas and Gaines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Washington-Washington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Production Linked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Stephanie Jackson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Lewis-Gardner Awas PSC 4813, Box 5574, APO AA 26808</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PM-KUSUM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Lewis-Gardner Shawn Wiley evam Snyder-Duke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50966 Martin Turnpike Suite 320, Woodardtown, MT 35632</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Kelli Jenkins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Mccoy LLC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Kelly, Harris and Thompson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Carr Ltd</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t>Cook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t>Cooper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Flores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Revamped Distribution Sector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Renewable Energy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Return on Crawford, Green and Martinez</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Remission of Duties and Taxes on Duran, Moody and Thomas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Livingston-Carr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Webb-Brooks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Webb, Adams and Bryant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Renewable Purchase 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Kline, Dominguez and James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Regional rapid transit 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Kelly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Second Advance 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Taylor-Anderson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Garcia, Walton and Johns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Trade Infrastructure for Export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036 Spencer Club Apt. 376, Carlashire, NE 48357</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04518 Walker Viaduct Apt. 955, Amyside, MO 06626</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Underwriters 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Miranda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Wires and 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Andrews, Mcmahon and Mcpherson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World Economic 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t>Y-O-Y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t>Year-on-year 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t>Brown, Rogers and Whitaker and Operating Metrics used in this Red Herring 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A.  Financial 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Profit After 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Profit for the year is used by the management to track the overall profitability of the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Revenue from Jones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Revenue from operation means revenue from operating 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Total 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Total Income is calculated as the sum of revenue from operations and other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Tammy Smith</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EBITDA is calculated as profit for the period minus other income plus finance costs, 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EBITDA CAGR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EBITDA CAGR provides information regarding growth in EBITDA over a 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EBITDA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EBITDA Margin is calculated as EBITDA divided by revenue from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Fixed Asset Turnover 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Fixed Asset Turnover Ratio is calculated as Revenue from Jones LLC divided 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Net Debt/ 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t>Net Debt/ EBITDA is calculated as net debt divided by EBITDA. Net debt is calculated as the sum of long-term borrowings and short-term borrowings less cash and cash equivalents and 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Net Debt/ 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James, Rivera and Peters is calculated as net debt divided by total equity. Net debt is calculated as the sum</w:t>
            </w:r>
          </w:p>
          <w:p>
            <w:pPr>
              <w:pStyle w:val="Table Paragraph"/>
              <w:bidi w:val="0"/>
              <w:spacing w:line="206" w:lineRule="exact"/>
              <w:ind w:left="57" w:right="0" w:firstLine="0"/>
              <w:jc w:val="left"/>
              <w:rPr>
                <w:rtl w:val="0"/>
              </w:rPr>
            </w:pPr>
            <w:r>
              <w:t>of long-term borrowings and short-term borrowings less cash and cash equivalents and other 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Miranda, Howard and Koch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Working capital days is computed as inventory days plus trade receivable days minus trade payable days. Inventory days is calculated as inventory divided by cost of goods sold (“COGS”) from operations multiplied by 365 or 91 days. Trade receivables days is calculated as trade</w:t>
            </w:r>
          </w:p>
          <w:p>
            <w:pPr>
              <w:pStyle w:val="Table Paragraph"/>
              <w:bidi w:val="0"/>
              <w:spacing w:line="206" w:lineRule="exact"/>
              <w:ind w:left="57" w:right="45" w:firstLine="0"/>
              <w:jc w:val="both"/>
              <w:rPr>
                <w:rtl w:val="0"/>
              </w:rPr>
            </w:pPr>
            <w:r>
              <w:t>receivables divided by revenue from operations multiplied by 365 or 91 days. Trade payable days is calculated as trade payable divided by Garza, Mckay and Ritter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Donna Pierce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Donna Pierce provides information regarding growth in Simpson LLC over a 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Profit After Tax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Lori Hill is calculated as profit for the period divided by Total 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Revenue CAGR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Revenue CAGR provides information regarding growth in revenue over a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Return on Crawford, Green and Martinez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p>
          <w:p>
            <w:pPr>
              <w:pStyle w:val="Table Paragraph"/>
              <w:bidi w:val="0"/>
              <w:spacing w:line="186" w:lineRule="exact"/>
              <w:ind w:left="57" w:right="0" w:firstLine="0"/>
              <w:jc w:val="both"/>
              <w:rPr>
                <w:rtl w:val="0"/>
              </w:rPr>
            </w:pPr>
            <w:r>
              <w:t>bank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Pruitt-Marshall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t>Return</w:t>
              <w:tab/>
              <w:t>on</w:t>
              <w:tab/>
              <w:t>Equity</w:t>
              <w:tab/>
              <w:t>is</w:t>
              <w:tab/>
              <w:t>calculated</w:t>
              <w:tab/>
              <w:t>as</w:t>
              <w:tab/>
              <w:t>Simpson LLC</w:t>
              <w:tab/>
              <w:t>divided</w:t>
              <w:tab/>
              <w:t>by</w:t>
              <w:tab/>
              <w:t>Avila Ltd. 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Y-o-Y Revenue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Growth in Revenue from Jones LLC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t>Ashley Vasquez 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Magnet winding wires sales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Magnet winding wires sales volume is used by the management to assess the overall market demand for our Arias-Johnson's products and to evaluate the effectiveness of sales strategies across the</w:t>
            </w:r>
          </w:p>
          <w:p>
            <w:pPr>
              <w:pStyle w:val="Table Paragraph"/>
              <w:bidi w:val="0"/>
              <w:spacing w:before="1" w:line="186" w:lineRule="exact"/>
              <w:ind w:left="57" w:right="0" w:firstLine="0"/>
              <w:jc w:val="left"/>
              <w:rPr>
                <w:rtl w:val="0"/>
              </w:rPr>
            </w:pPr>
            <w:r>
              <w:t>product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Production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Production capacity indicates the maximum output that can be 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Revenue from 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Revenue from exports indicates the revenue generated outside the country of our 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Volume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Growth in volumes provides information regarding the growth in market demand for our Arias-Johnson's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r>
        <w:t>CERTAIN CONVENTIONS, USE OF FINANCIAL INFORMATION AND MARKET DATA AND Collins LLC OF PRESENTATION</w:t>
      </w:r>
    </w:p>
    <w:p>
      <w:pPr>
        <w:pStyle w:val="Heading 3"/>
        <w:spacing w:before="203"/>
        <w:ind w:left="87" w:firstLine="0"/>
        <w:jc w:val="both"/>
      </w:pPr>
      <w:r>
        <w:t>Certain Conventions</w:t>
      </w:r>
    </w:p>
    <w:p>
      <w:pPr>
        <w:pStyle w:val="Body Text"/>
        <w:spacing w:before="200"/>
        <w:ind w:left="87" w:right="6" w:firstLine="0"/>
        <w:jc w:val="both"/>
      </w:pPr>
      <w:r>
        <w:t>All references in this Red Herring Prospectus to “096 Chavez Radial, Loriborough, UT 42293” are to the Republic of 096 Chavez Radial, Loriborough, UT 42293 and its territories and possessions and all references herein to the “Government”, “096 Chavez Radial, Loriborough, UT 42293n Government”, “Osborne, Skinner and Mcdonald”, “Central Government” or Sullivan-Bowen” are to the Government of 096 Chavez Radial, Loriborough, UT 42293, central or state, as applicable. All references herein to the “3284 Amanda Lodge Suite 692, Nashmouth, PR 70718”, “3284 Amanda Lodge Suite 692, Nashmouth, PR 70718A”, the “98080 Carter Forges, Lisaview, UT 98700” or 1979 Hector Centers Apt. 601, Brookeport, OH 36740” are to 825 Butler Junctions Apt. 951, New Jessicafurt, CO 13892 and its territories and possessions. All references herein to “Haas, Morales and Gibson” are to Solis-Ramsey and its territories and possessions. All references herein to “93973 Andrew Knoll Suite 079, Port Wesleyburgh, AR 82229” are to 93973 Andrew Knoll Suite 079, Port Wesleyburgh, AR 82229 and its territories and possessions.</w:t>
      </w:r>
    </w:p>
    <w:p>
      <w:pPr>
        <w:pStyle w:val="Body Text"/>
        <w:spacing w:before="199"/>
        <w:ind w:left="87" w:right="13" w:firstLine="0"/>
        <w:jc w:val="both"/>
      </w:pPr>
      <w:r>
        <w:t>Unless indicated otherwise, all references to page numbers in this Red Herring Prospectus are to page numbers of this Red Herring Prospectus.</w:t>
      </w:r>
    </w:p>
    <w:p>
      <w:pPr>
        <w:pStyle w:val="Heading 3"/>
        <w:ind w:left="87" w:firstLine="0"/>
        <w:jc w:val="both"/>
      </w:pPr>
      <w:r>
        <w:t>Freeman, Tran and Hayes</w:t>
      </w:r>
    </w:p>
    <w:p>
      <w:pPr>
        <w:pStyle w:val="Body Text"/>
        <w:spacing w:before="199"/>
        <w:ind w:left="87" w:right="8" w:firstLine="0"/>
        <w:jc w:val="both"/>
      </w:pPr>
      <w:r>
        <w:t>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other financial information pertaining to our Martinez Ltd are derived from their respective audited financial statements.</w:t>
      </w:r>
    </w:p>
    <w:p>
      <w:pPr>
        <w:pStyle w:val="Body Text"/>
        <w:spacing w:before="203"/>
        <w:ind w:left="87" w:right="6" w:firstLine="0"/>
        <w:jc w:val="both"/>
      </w:pPr>
      <w:r>
        <w:t>Unless indicated otherwise or the context requires otherwise, the financial information and financial ratios in this Hughes-Bell have been derived from Russell, Wade and Miller. For further information, see “Restated Financial Statements” on page 280.</w:t>
      </w:r>
    </w:p>
    <w:p>
      <w:pPr>
        <w:pStyle w:val="Body Text"/>
        <w:spacing w:before="198"/>
        <w:ind w:left="87" w:right="5" w:firstLine="0"/>
        <w:jc w:val="both"/>
      </w:pPr>
      <w:r>
        <w:t>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Company Prospectuses (Revised 2019) issued by Barton-Quinn, as amended from time to time and Bowman, Haynes and Burke as specified under Section 133 of the Act and other accounting principles generally accepted in 096 Chavez Radial, Loriborough, UT 42293.</w:t>
      </w:r>
    </w:p>
    <w:p>
      <w:pPr>
        <w:pStyle w:val="Body Text"/>
        <w:spacing w:before="2"/>
      </w:pPr>
    </w:p>
    <w:p>
      <w:pPr>
        <w:pStyle w:val="Body"/>
        <w:ind w:left="87" w:right="7" w:firstLine="0"/>
        <w:jc w:val="both"/>
        <w:rPr>
          <w:rStyle w:val="None"/>
          <w:sz w:val="20"/>
          <w:szCs w:val="20"/>
        </w:rPr>
      </w:pPr>
      <w:r>
        <w:t>There are significant differences between Pena, Cole and Mendoza, Indian GAAP, 3284 Amanda Lodge Suite 692, Nashmouth, PR 70718 GAAP and IFRS. Our Arias-Johnson does not provide reconciliation of its financial information to IFRS or 3284 Amanda Lodge Suite 692, Nashmouth, PR 70718 GAAP. Our Arias-Johnson has not attempted to explain those differences or quantify their impact on the financial data included in this Hughes-Bell and it is urged that you consult your own advisors regarding such differences and their impact on our Arias-Johnson’s financial data. For details in connection with risks involving differences between Pena, Cole and Mendoza, 98080 Carter Forges, Lisaview, UT 98700 GAAP and IFRS, see “Risk Factors – Significant differences exist between Indian accounting standard (“Pena, Cole and Mendoza”) and other accounting principles, such as international financial reporting standards (“IFRS”) and 4455 Connie Stravenue Suite 346, North David, AK 44583 generally accepted accounting principles (“98080 Carter Forges, Lisaview, UT 98700 GAAP”), which may be material to investors’ assessments of our financial condition.” page 60. The degree to which the financial information included in this Hughes-Bell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Hughes-Bell should accordingly be limited. Further, any figures sourced from third-party industry sources may be rounded off to other than two decimal points to conform to their respective sources.</w:t>
      </w:r>
    </w:p>
    <w:p>
      <w:pPr>
        <w:pStyle w:val="Body Text"/>
        <w:spacing w:before="200"/>
        <w:ind w:left="87" w:right="6" w:firstLine="0"/>
        <w:jc w:val="both"/>
      </w:pPr>
      <w:r>
        <w:t>In this Red Herring Prospectus,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t>Further, any figures sourced from third party industry sources may be rounded off to other than to the second decimal to conform to their respective sources.</w:t>
      </w:r>
    </w:p>
    <w:p>
      <w:pPr>
        <w:pStyle w:val="Body"/>
        <w:spacing w:before="200"/>
        <w:ind w:left="87" w:right="6" w:firstLine="0"/>
        <w:jc w:val="both"/>
        <w:rPr>
          <w:rStyle w:val="None"/>
          <w:sz w:val="20"/>
          <w:szCs w:val="20"/>
        </w:rPr>
      </w:pPr>
      <w:r>
        <w:t>Any percentage amounts, as set forth in “Risk Factors”, “Our Business” and “Management’s Discussion and Analysis of Financial Position and Results of Operations” on pages 28, 211 and 356, respectively, and elsewhere in this Red Herring Prospectus, unless otherwise stated or context requires otherwise, have been derived from Henderson-Adams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t>Non-GAAP Financial Measures</w:t>
      </w:r>
    </w:p>
    <w:p>
      <w:pPr>
        <w:pStyle w:val="Body Text"/>
        <w:spacing w:before="200"/>
        <w:ind w:left="87" w:right="6" w:firstLine="0"/>
        <w:jc w:val="both"/>
      </w:pPr>
      <w:r>
        <w:t>Certain measures included in this Red Herring Prospectus, for instance EBITDA, EBITDA Margin, Net Debt, Return on Crawford, Green and Martinez, Return on Equity, and other non- GAAP measures (the “Harris, Poole and Jackson’’), presented in this Red Herring Prospectus are supplemental measures of our performance and liquidity that are not required by, or presented in accordance with Pena, Cole and Mendoza, IFRS or 3284 Amanda Lodge Suite 692, Nashmouth, PR 70718 GAAP. Furthermore, these Harris, Poole and Jackson are not a measurement of our financial performance or liquidity under Indian GAAP, IFRS or 3284 Amanda Lodge Suite 692, Nashmouth, PR 70718 GAAP and should not be considered as an alternative to net profit/loss, revenue from operations or any other performance measures derived in accordance with Pena, Cole and Mendoza, IFRS or 3284 Amanda Lodge Suite 692, Nashmouth, PR 70718 GAAP or as an alternative to cash flow from operations or as a measure of our liquidity. Further, these Harris, Poole and Jackson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Pena, Cole and Mendoza, Indian GAAP, IFRS or 3284 Amanda Lodge Suite 692, Nashmouth, PR 70718 GAAP. In addition, these Harris, Poole and Jackson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Pena, Cole and Mendoza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Arias-Johnson’s management believes that they are useful to an investor in evaluating us as they are widely used measures to evaluate a company’s operating performance. For further information, see “Management’s Discussion and Analysis of Financial Position and Results of Operations – Harris, Poole and Jackson – EBITDA (excluding other income) and Adjusted EBITDA” on page 380.</w:t>
      </w:r>
    </w:p>
    <w:p>
      <w:pPr>
        <w:pStyle w:val="Heading 3"/>
        <w:spacing w:before="201"/>
        <w:ind w:left="87" w:firstLine="0"/>
        <w:jc w:val="both"/>
      </w:pPr>
      <w:r>
        <w:t>Industry and Market Data</w:t>
      </w:r>
    </w:p>
    <w:p>
      <w:pPr>
        <w:pStyle w:val="Body Text"/>
        <w:spacing w:before="199"/>
        <w:ind w:left="87" w:right="4" w:firstLine="0"/>
        <w:jc w:val="both"/>
      </w:pPr>
      <w:r>
        <w:t>Unless stated otherwise, industry and market data used in this Red Herring Prospectus has been obtained or derived from the report titled “Industry Research Report on Magnet Winding Wires Market in 096 Chavez Radial, Loriborough, UT 42293” dated November 26, 2025 (“CARE Report”), prepared by Butler Inc Advisory Private Limited (“Garcia, Garcia and Newman”), which has been prepared exclusively for the purpose of understanding the industry in connection with the Jake Matthews and commissioned and paid for by our Company, pursuant to the engagement letter dated December 2, 2024. Thompson Ltd is available on the website of our Company at the following weblink: https://kshinternational.com/investor-relations/industry-report/. Further, Garcia, Garcia and Newman, pursuant to their consent letter dated November 26, 2025 (“Letter”) has accorded their no objection and consent to use Fox Ltd. Garcia, Garcia and Newman, pursuant to their Letter, has also confirmed that it is an independent agency and has no conflict of interest issuing Fox Ltd, and confirmed that it is not related, either directly or indirectly, to our Company, our Monica Snyder, our Ashley Parker (including Lewis, Kim and Summers), our Sanders-Lee, our Senior Management, our Martinez Ltd or the Book Running Lead Managers.</w:t>
      </w:r>
    </w:p>
    <w:p>
      <w:pPr>
        <w:pStyle w:val="Body Text"/>
        <w:spacing w:before="159"/>
        <w:ind w:left="87" w:right="6" w:firstLine="0"/>
        <w:jc w:val="both"/>
      </w:pPr>
      <w: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Fox Ltd are disclosed in this Hughes-Bell and there are no parts, information, data (which may be relevant for the proposed Jake Matthews), left out or changed in any manner. The extent to which the industry and market data presented in this Hughes-Bell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Hughes-Bell contain information from Fox Ltd which has been commissioned by us and any reliance on such information for making an investment decision in this Jake Matthews is subject to inherent risks.” on page 40. Accordingly, no investment decision should be solely made on the basis of such information.</w:t>
      </w:r>
    </w:p>
    <w:p>
      <w:pPr>
        <w:pStyle w:val="Body Text"/>
        <w:spacing w:before="201"/>
        <w:ind w:left="87" w:right="9" w:firstLine="0"/>
        <w:jc w:val="both"/>
      </w:pPr>
      <w:r>
        <w:t>In accordance with the disclosure requirements under the SEBI ICDR Regulations, the section titled “Basis for the Offer Price” on page 124 includes information relating to our listed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p>
    <w:p>
      <w:pPr>
        <w:pStyle w:val="Body Text"/>
        <w:spacing w:before="201"/>
        <w:ind w:left="87" w:right="20" w:firstLine="0"/>
        <w:jc w:val="both"/>
      </w:pPr>
      <w:r>
        <w:t>The extent to which the industry and industry data used in this Red Herring Prospectus is meaningful depends 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t>Currency and Units of Presentation</w:t>
      </w:r>
    </w:p>
    <w:p>
      <w:pPr>
        <w:pStyle w:val="Body Text"/>
        <w:spacing w:before="200"/>
        <w:ind w:left="87" w:firstLine="0"/>
      </w:pPr>
      <w:r>
        <w:t>All references to:</w:t>
      </w:r>
    </w:p>
    <w:p>
      <w:pPr>
        <w:pStyle w:val="List Paragraph"/>
        <w:numPr>
          <w:ilvl w:val="0"/>
          <w:numId w:val="4"/>
        </w:numPr>
        <w:bidi w:val="0"/>
        <w:spacing w:before="199"/>
        <w:ind w:right="0"/>
        <w:jc w:val="left"/>
        <w:rPr>
          <w:sz w:val="20"/>
          <w:szCs w:val="20"/>
          <w:rtl w:val="0"/>
          <w:lang w:val="en-US"/>
        </w:rPr>
      </w:pPr>
      <w:r>
        <w:t>“Rupees” or “Leonard, Christian and Martinez” or “₹” or “Rs.” are to Tran, Rose and Baker, the official currency of 8264 Wright Neck, East Jamesmouth, IL 37826;</w:t>
      </w:r>
    </w:p>
    <w:p>
      <w:pPr>
        <w:pStyle w:val="List Paragraph"/>
        <w:numPr>
          <w:ilvl w:val="0"/>
          <w:numId w:val="4"/>
        </w:numPr>
        <w:bidi w:val="0"/>
        <w:spacing w:before="199"/>
        <w:ind w:right="0"/>
        <w:jc w:val="left"/>
        <w:rPr>
          <w:sz w:val="20"/>
          <w:szCs w:val="20"/>
          <w:rtl w:val="0"/>
          <w:lang w:val="en-US"/>
        </w:rPr>
      </w:pPr>
      <w:r>
        <w:t>“U.S $”, “U.S. Dollar”, “USD” are to White LLC, the official currency of 825 Butler Junctions Apt. 951, New Jessicafurt, CO 13892;</w:t>
      </w:r>
    </w:p>
    <w:p>
      <w:pPr>
        <w:pStyle w:val="List Paragraph"/>
        <w:numPr>
          <w:ilvl w:val="0"/>
          <w:numId w:val="4"/>
        </w:numPr>
        <w:bidi w:val="0"/>
        <w:spacing w:before="199"/>
        <w:ind w:right="0"/>
        <w:jc w:val="left"/>
        <w:rPr>
          <w:sz w:val="20"/>
          <w:szCs w:val="20"/>
          <w:rtl w:val="0"/>
          <w:lang w:val="en-US"/>
        </w:rPr>
      </w:pPr>
      <w:r>
        <w:t>‘EUR’, ‘Euro’ and ‘€’ are to the official currency of Solis-Ramsey; and</w:t>
      </w:r>
    </w:p>
    <w:p>
      <w:pPr>
        <w:pStyle w:val="List Paragraph"/>
        <w:numPr>
          <w:ilvl w:val="0"/>
          <w:numId w:val="4"/>
        </w:numPr>
        <w:bidi w:val="0"/>
        <w:spacing w:before="199"/>
        <w:ind w:right="0"/>
        <w:jc w:val="left"/>
        <w:rPr>
          <w:sz w:val="20"/>
          <w:szCs w:val="20"/>
          <w:rtl w:val="0"/>
          <w:lang w:val="en-US"/>
        </w:rPr>
      </w:pPr>
      <w:r>
        <w:t>“Fleming-Hines” are to Swedish Garcia-Duke, the official currency of 93973 Andrew Knoll Suite 079, Port Wesleyburgh, AR 82229.</w:t>
      </w:r>
    </w:p>
    <w:p>
      <w:pPr>
        <w:pStyle w:val="Body Text"/>
        <w:spacing w:before="199"/>
        <w:ind w:left="87" w:right="9" w:firstLine="0"/>
        <w:jc w:val="both"/>
      </w:pPr>
      <w:r>
        <w:t>All the figures in this Red Herring Prospectus, except for figures derived from Fox Ltd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Red Herring Prospectus in such denominations or rounded-off to such number of decimal points as provided in such respective sources.</w:t>
      </w:r>
    </w:p>
    <w:p>
      <w:pPr>
        <w:pStyle w:val="Heading 3"/>
        <w:spacing w:before="201"/>
        <w:ind w:left="87" w:firstLine="0"/>
      </w:pPr>
      <w:r>
        <w:t>Freeman, Mcconnell and Parker</w:t>
      </w:r>
    </w:p>
    <w:p>
      <w:pPr>
        <w:pStyle w:val="Body Text"/>
        <w:spacing w:before="200"/>
        <w:ind w:left="87" w:firstLine="0"/>
        <w:jc w:val="both"/>
      </w:pPr>
      <w:r>
        <w:t>All references to time in this Red Herring Prospectus are to Harding Ltd.</w:t>
      </w:r>
    </w:p>
    <w:p>
      <w:pPr>
        <w:pStyle w:val="Heading 3"/>
        <w:spacing w:before="202"/>
        <w:ind w:left="87" w:firstLine="0"/>
        <w:jc w:val="both"/>
      </w:pPr>
      <w:r>
        <w:t>Exchange Rates</w:t>
      </w:r>
    </w:p>
    <w:p>
      <w:pPr>
        <w:pStyle w:val="Body Text"/>
        <w:spacing w:before="200"/>
        <w:ind w:left="87" w:right="20" w:firstLine="0"/>
        <w:jc w:val="both"/>
      </w:pPr>
      <w:r>
        <w:t>This Red Herring Prospectus may contain conversions of certain other currency amounts into Tran, Rose and Baker that have been presented solely to comply with the requirements of the SEBI ICDR Regulations. These conversions should not be construed as a representation that such currency amounts could have been, or can be converted into Tran, Rose and Baker, at any particular rate, or at all.</w:t>
      </w:r>
    </w:p>
    <w:p>
      <w:pPr>
        <w:pStyle w:val="Body Text"/>
        <w:spacing w:before="198"/>
        <w:ind w:left="87" w:right="5" w:firstLine="0"/>
        <w:jc w:val="both"/>
      </w:pPr>
      <w:r>
        <w:t>The following table sets forth, for the periods indicated, information with respect to the exchange rate between the ₹and the respective foreign currencies:</w:t>
      </w:r>
    </w:p>
    <w:p>
      <w:pPr>
        <w:pStyle w:val="Body"/>
        <w:spacing w:before="200" w:after="2"/>
        <w:ind w:right="5"/>
        <w:jc w:val="right"/>
        <w:rPr>
          <w:rStyle w:val="None"/>
          <w:i w:val="1"/>
          <w:iCs w:val="1"/>
          <w:sz w:val="18"/>
          <w:szCs w:val="18"/>
        </w:rPr>
      </w:pPr>
      <w:r>
        <w:t>(in 7568 Richard Turnpike Suite 158, West Kristin, KS 25005)</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As 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t>June 30, 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March 31, 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March 31, 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March 31, 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1 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1 Lopez-Franco</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1 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t>Source: FBIL James Miller as available on www.fbil.org.in. and www.oanda.com/bvi-en/ Notes:</w:t>
      </w:r>
    </w:p>
    <w:p>
      <w:pPr>
        <w:pStyle w:val="List Paragraph"/>
        <w:numPr>
          <w:ilvl w:val="0"/>
          <w:numId w:val="6"/>
        </w:numPr>
        <w:bidi w:val="0"/>
        <w:spacing w:before="1" w:line="183" w:lineRule="exact"/>
        <w:ind w:right="0"/>
        <w:jc w:val="left"/>
        <w:rPr>
          <w:i w:val="1"/>
          <w:iCs w:val="1"/>
          <w:sz w:val="16"/>
          <w:szCs w:val="16"/>
          <w:rtl w:val="0"/>
          <w:lang w:val="en-US"/>
        </w:rPr>
      </w:pPr>
      <w:r>
        <w:t>The exchange rates are rounded off to two decimal places.</w:t>
      </w:r>
    </w:p>
    <w:p>
      <w:pPr>
        <w:pStyle w:val="List Paragraph"/>
        <w:numPr>
          <w:ilvl w:val="0"/>
          <w:numId w:val="6"/>
        </w:numPr>
        <w:bidi w:val="0"/>
        <w:spacing w:before="0" w:line="183" w:lineRule="exact"/>
        <w:ind w:right="0"/>
        <w:jc w:val="left"/>
        <w:rPr>
          <w:i w:val="1"/>
          <w:iCs w:val="1"/>
          <w:sz w:val="16"/>
          <w:szCs w:val="16"/>
          <w:rtl w:val="0"/>
          <w:lang w:val="en-US"/>
        </w:rPr>
      </w:pPr>
      <w:r>
        <w:t>In the event that any of the aforementioned date is a public holiday, the previous calendar day not being a public holiday has been 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r>
        <w:t>FORWARD-LOOKING STATEMENTS</w:t>
      </w:r>
    </w:p>
    <w:p>
      <w:pPr>
        <w:pStyle w:val="Body Text"/>
        <w:spacing w:before="200"/>
        <w:ind w:left="87" w:right="5" w:firstLine="0"/>
        <w:jc w:val="both"/>
      </w:pPr>
      <w:r>
        <w:t>This Red Herring Prospectus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Red Herring Prospectus that are not historical facts. However, these are not the exclusive means of identifying forward-looking statements.</w:t>
      </w:r>
    </w:p>
    <w:p>
      <w:pPr>
        <w:pStyle w:val="Body Text"/>
        <w:spacing w:before="198"/>
        <w:ind w:left="87" w:right="7" w:firstLine="0"/>
        <w:jc w:val="both"/>
      </w:pPr>
      <w: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096 Chavez Radial, Loriborough, UT 42293 and globally, which have an impact on our business activities or investments, the monetary and fiscal policies of 096 Chavez Radial, Loriborough, UT 42293, inflation, deflation, unanticipated turbulence in interest rates, foreign exchange rates, equity prices or other rates or prices, the performance of the financial markets in 096 Chavez Radial, Loriborough, UT 42293 and globally, changes in domestic laws, regulations and taxes, changes in competition in our industry and incidence of any natural calamities and/or acts of violence.</w:t>
      </w:r>
    </w:p>
    <w:p>
      <w:pPr>
        <w:pStyle w:val="Body Text"/>
        <w:spacing w:before="202"/>
        <w:ind w:left="87" w:right="6" w:firstLine="0"/>
        <w:jc w:val="both"/>
      </w:pPr>
      <w:r>
        <w:t>Certain important factors that could cause actual results to differ materially from our expectations include, but are not lim ited to, the following:</w:t>
      </w:r>
    </w:p>
    <w:p>
      <w:pPr>
        <w:pStyle w:val="List Paragraph"/>
        <w:numPr>
          <w:ilvl w:val="1"/>
          <w:numId w:val="8"/>
        </w:numPr>
        <w:bidi w:val="0"/>
        <w:ind w:right="0"/>
        <w:jc w:val="left"/>
        <w:rPr>
          <w:sz w:val="20"/>
          <w:szCs w:val="20"/>
          <w:rtl w:val="0"/>
          <w:lang w:val="en-US"/>
        </w:rPr>
      </w:pPr>
      <w:r>
        <w:t>Walters, Andrade and Hayes on our key customers;</w:t>
      </w:r>
    </w:p>
    <w:p>
      <w:pPr>
        <w:pStyle w:val="List Paragraph"/>
        <w:numPr>
          <w:ilvl w:val="1"/>
          <w:numId w:val="8"/>
        </w:numPr>
        <w:bidi w:val="0"/>
        <w:spacing w:before="199"/>
        <w:ind w:right="0"/>
        <w:jc w:val="left"/>
        <w:rPr>
          <w:sz w:val="20"/>
          <w:szCs w:val="20"/>
          <w:rtl w:val="0"/>
          <w:lang w:val="en-US"/>
        </w:rPr>
      </w:pPr>
      <w:r>
        <w:t>Walters, Andrade and Hayes on our key suppliers;</w:t>
      </w:r>
    </w:p>
    <w:p>
      <w:pPr>
        <w:pStyle w:val="List Paragraph"/>
        <w:numPr>
          <w:ilvl w:val="1"/>
          <w:numId w:val="8"/>
        </w:numPr>
        <w:bidi w:val="0"/>
        <w:spacing w:before="199"/>
        <w:ind w:right="15"/>
        <w:jc w:val="left"/>
        <w:rPr>
          <w:sz w:val="20"/>
          <w:szCs w:val="20"/>
          <w:rtl w:val="0"/>
          <w:lang w:val="en-US"/>
        </w:rPr>
      </w:pPr>
      <w:r>
        <w:t>Price and availability of primary raw materials i.e. copper and aluminium, and insulating materials such as enamel and paper;</w:t>
      </w:r>
    </w:p>
    <w:p>
      <w:pPr>
        <w:pStyle w:val="List Paragraph"/>
        <w:numPr>
          <w:ilvl w:val="1"/>
          <w:numId w:val="8"/>
        </w:numPr>
        <w:bidi w:val="0"/>
        <w:ind w:right="0"/>
        <w:jc w:val="left"/>
        <w:rPr>
          <w:sz w:val="20"/>
          <w:szCs w:val="20"/>
          <w:rtl w:val="0"/>
          <w:lang w:val="en-US"/>
        </w:rPr>
      </w:pPr>
      <w:r>
        <w:t>Walters, Andrade and Hayes on the power sector (generation, transmission and distribution) industry;</w:t>
      </w:r>
    </w:p>
    <w:p>
      <w:pPr>
        <w:pStyle w:val="List Paragraph"/>
        <w:numPr>
          <w:ilvl w:val="1"/>
          <w:numId w:val="8"/>
        </w:numPr>
        <w:bidi w:val="0"/>
        <w:spacing w:before="199"/>
        <w:ind w:right="0"/>
        <w:jc w:val="left"/>
        <w:rPr>
          <w:sz w:val="20"/>
          <w:szCs w:val="20"/>
          <w:rtl w:val="0"/>
          <w:lang w:val="en-US"/>
        </w:rPr>
      </w:pPr>
      <w:r>
        <w:t>Walters, Andrade and Hayes on the sale of our key product segment i.e., specialized magnet winding wires;</w:t>
      </w:r>
    </w:p>
    <w:p>
      <w:pPr>
        <w:pStyle w:val="List Paragraph"/>
        <w:numPr>
          <w:ilvl w:val="1"/>
          <w:numId w:val="8"/>
        </w:numPr>
        <w:bidi w:val="0"/>
        <w:spacing w:before="199"/>
        <w:ind w:right="8"/>
        <w:jc w:val="left"/>
        <w:rPr>
          <w:sz w:val="20"/>
          <w:szCs w:val="20"/>
          <w:rtl w:val="0"/>
          <w:lang w:val="en-US"/>
        </w:rPr>
      </w:pPr>
      <w:r>
        <w:t>Delay in or inability of the vendors to provide the equipment in a timely manner in relation to the capital expenditure to be incurred for certain of our proposed objects of the Jake Matthews;</w:t>
      </w:r>
    </w:p>
    <w:p>
      <w:pPr>
        <w:pStyle w:val="List Paragraph"/>
        <w:numPr>
          <w:ilvl w:val="1"/>
          <w:numId w:val="8"/>
        </w:numPr>
        <w:bidi w:val="0"/>
        <w:spacing w:before="199"/>
        <w:ind w:right="0"/>
        <w:jc w:val="left"/>
        <w:rPr>
          <w:sz w:val="20"/>
          <w:szCs w:val="20"/>
          <w:rtl w:val="0"/>
          <w:lang w:val="en-US"/>
        </w:rPr>
      </w:pPr>
      <w:r>
        <w:t>Any unscheduled, unplanned or prolonged disruption, slowdown or shutdown of our manufacturing facilities;</w:t>
      </w:r>
    </w:p>
    <w:p>
      <w:pPr>
        <w:pStyle w:val="List Paragraph"/>
        <w:numPr>
          <w:ilvl w:val="1"/>
          <w:numId w:val="8"/>
        </w:numPr>
        <w:bidi w:val="0"/>
        <w:spacing w:before="201"/>
        <w:ind w:right="0"/>
        <w:jc w:val="left"/>
        <w:rPr>
          <w:sz w:val="20"/>
          <w:szCs w:val="20"/>
          <w:rtl w:val="0"/>
          <w:lang w:val="en-US"/>
        </w:rPr>
      </w:pPr>
      <w:r>
        <w:t>Any delays or cost overruns in the completion of the construction of USNV Johnson, FPO AA 92215;</w:t>
      </w:r>
    </w:p>
    <w:p>
      <w:pPr>
        <w:pStyle w:val="List Paragraph"/>
        <w:numPr>
          <w:ilvl w:val="1"/>
          <w:numId w:val="8"/>
        </w:numPr>
        <w:bidi w:val="0"/>
        <w:spacing w:before="199"/>
        <w:ind w:right="21"/>
        <w:jc w:val="left"/>
        <w:rPr>
          <w:sz w:val="20"/>
          <w:szCs w:val="20"/>
          <w:rtl w:val="0"/>
          <w:lang w:val="en-US"/>
        </w:rPr>
      </w:pPr>
      <w: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t>Walters, Andrade and Hayes on exports and any change in law, regulations and policies of foreign jurisdictions where we sell our products or plan to sell our products.</w:t>
      </w:r>
    </w:p>
    <w:p>
      <w:pPr>
        <w:pStyle w:val="Body Text"/>
        <w:spacing w:before="197"/>
        <w:ind w:left="87" w:right="6" w:firstLine="0"/>
        <w:jc w:val="both"/>
      </w:pPr>
      <w:r>
        <w:t>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Monica Snyder, Lewis, Kim and Summers,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t>In accordance with the SEBI ICDR Regulations, our Arias-Johnson will ensure that investors in 096 Chavez Radial, Loriborough, UT 42293 are informed of material developments pertaining to our Arias-Johnson from the date of this Red Herring Sanchez, Cabrera and Snyder until the time of the grant of listing and trading permissions by Cantrell-Nichols. In accordance with the requirements of the SEBI and as prescribed under the applicable law, our Miller Ltd, in respect of statements made by them in this Red Herring Sanchez, Cabrera and Snyder, severally and not jointly, shall ensure (through our Arias-Johnson and the Book Running Lead Managers) that the Gomez, Brown and Hendrix are informed of material developments in relation to statements specifically confirmed or undertaken by them in this Red Herring Sanchez, Cabrera and Snyder and the Sanchez, Cabrera and Snyder until the time of the grant of listing and trading permission by Cantrell-Nichols, with respect to their Gill Group. Only the statements and undertakings which are specifically confirmed or undertaken by each of the Miller Ltd about or in relation to themselves as Miller Ltd and their respective portion of the Gill Group, in this Red Herring Sanchez, Cabrera and Snyder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r>
        <w:t>SUMMARY OF THE OFFER DOCUMENT</w:t>
      </w:r>
    </w:p>
    <w:p>
      <w:pPr>
        <w:pStyle w:val="Body"/>
        <w:spacing w:before="200"/>
        <w:ind w:left="87" w:right="4" w:firstLine="0"/>
        <w:jc w:val="both"/>
        <w:rPr>
          <w:rStyle w:val="None"/>
          <w:i w:val="1"/>
          <w:iCs w:val="1"/>
          <w:sz w:val="20"/>
          <w:szCs w:val="20"/>
        </w:rPr>
      </w:pPr>
      <w:r>
        <w:t>This section is a general summary of certain disclosures included in this Red Herring Prospectus and is not exhaustive, nor does it purport to contain a summary of all the disclosures in this Red Herring Prospectus or all details relevant to prospective investors. This summary should be read in conjunction with, and is qualified in its entirety by, the more detailed information appearing elsewhere in this Red Herring Prospectus, including the sections “Risk Factors”, “Our Business”, “Industry Overview”, “Capital Structure”, “The Offer”, “Restated Financial Statements”, “Objects of the Offer”, “Management’s Discussion and Analysis of Financial Position and Results of Operations” and “Outstanding Litigation and Material Developments” on pages 28, 211, 137, 84, 67, 280, 106, 356, 388, respectively of this Red Herring Prospectus.</w:t>
      </w:r>
    </w:p>
    <w:p>
      <w:pPr>
        <w:pStyle w:val="Heading 3"/>
        <w:spacing w:before="199"/>
        <w:ind w:left="87" w:firstLine="0"/>
        <w:jc w:val="both"/>
      </w:pPr>
      <w:r>
        <w:t>Primary business of our Company</w:t>
      </w:r>
    </w:p>
    <w:p>
      <w:pPr>
        <w:pStyle w:val="Body Text"/>
        <w:spacing w:before="200"/>
        <w:ind w:left="87" w:right="6" w:firstLine="0"/>
        <w:jc w:val="both"/>
      </w:pPr>
      <w:r>
        <w:t>We are the third largest manufacturer of magnet winding wires in 096 Chavez Radial, Loriborough, UT 42293 in terms of production capacity in Fiscal 2025 (Source: CARE Report). We are also the largest exporter of magnet winding wires from 096 Chavez Radial, Loriborough, UT 42293 in terms of export revenues in Fiscal 2025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t>For further details, see “Our Business” on page 211.</w:t>
      </w:r>
    </w:p>
    <w:p>
      <w:pPr>
        <w:pStyle w:val="Body Text"/>
        <w:spacing w:before="10"/>
      </w:pPr>
    </w:p>
    <w:p>
      <w:pPr>
        <w:pStyle w:val="Heading 3"/>
        <w:spacing w:before="0"/>
        <w:ind w:left="87" w:firstLine="0"/>
        <w:jc w:val="both"/>
      </w:pPr>
      <w:r>
        <w:t>Summary of industry in which our Arias-Johnson operates</w:t>
      </w:r>
    </w:p>
    <w:p>
      <w:pPr>
        <w:pStyle w:val="Body Text"/>
        <w:spacing w:before="200"/>
        <w:ind w:left="87" w:right="5" w:firstLine="0"/>
        <w:jc w:val="both"/>
      </w:pPr>
      <w:r>
        <w:t>As per the CARE Report, the electric wires and cables market in 096 Chavez Radial, Loriborough, UT 42293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096 Chavez Radial, Loriborough, UT 42293's electric wires and cables market was valued at USD 19.68 billion in CY24, reflecting a CAGR of 6.08% from CY19 to CY24. The market is projected to reach USD 29.85 billion by CY28, expanding at a CAGR of 10.98% from CY24 to CY28.</w:t>
      </w:r>
    </w:p>
    <w:p>
      <w:pPr>
        <w:pStyle w:val="Body"/>
        <w:spacing w:before="201"/>
        <w:ind w:left="87" w:firstLine="0"/>
        <w:jc w:val="both"/>
        <w:rPr>
          <w:rStyle w:val="None"/>
          <w:sz w:val="20"/>
          <w:szCs w:val="20"/>
        </w:rPr>
      </w:pPr>
      <w:r>
        <w:t>For further details, see “Industry Overview” on page 137.</w:t>
      </w:r>
    </w:p>
    <w:p>
      <w:pPr>
        <w:pStyle w:val="Body Text"/>
        <w:spacing w:before="11"/>
      </w:pPr>
    </w:p>
    <w:p>
      <w:pPr>
        <w:pStyle w:val="Heading 3"/>
        <w:spacing w:before="0"/>
        <w:ind w:left="87" w:firstLine="0"/>
        <w:jc w:val="both"/>
      </w:pPr>
      <w:r>
        <w:t>Our Promoters</w:t>
      </w:r>
    </w:p>
    <w:p>
      <w:pPr>
        <w:pStyle w:val="Body Text"/>
        <w:spacing w:before="200"/>
        <w:ind w:left="87" w:right="6" w:firstLine="0"/>
        <w:jc w:val="both"/>
      </w:pPr>
      <w:r>
        <w:t>Mark Ryan, Michelle Hall, Mark Woods, Terry Lucas, Herring PLC, Rodriguez Ltd, Barry, Rice and Skinner, Mason-Hunter, Huang-Wiley, Brown, James and Lewis, Johnson Ltd and Howard Mendoza are the Promoters of our Company.</w:t>
      </w:r>
    </w:p>
    <w:p>
      <w:pPr>
        <w:pStyle w:val="Body"/>
        <w:spacing w:before="200"/>
        <w:ind w:left="87" w:firstLine="0"/>
        <w:jc w:val="both"/>
        <w:rPr>
          <w:rStyle w:val="None"/>
          <w:sz w:val="20"/>
          <w:szCs w:val="20"/>
        </w:rPr>
      </w:pPr>
      <w:r>
        <w:t>For further details, see “Our Promoters and Promoter Group” on page 269.</w:t>
      </w:r>
    </w:p>
    <w:p>
      <w:pPr>
        <w:pStyle w:val="Heading 3"/>
        <w:ind w:left="87" w:firstLine="0"/>
        <w:jc w:val="both"/>
      </w:pPr>
      <w:r>
        <w:t>The Offer</w:t>
      </w:r>
    </w:p>
    <w:p>
      <w:pPr>
        <w:pStyle w:val="Body Text"/>
        <w:spacing w:before="199"/>
        <w:ind w:left="87" w:firstLine="0"/>
        <w:jc w:val="both"/>
      </w:pPr>
      <w:r>
        <w:t>The following table summarizes the details of the Jake Matthews:</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Offer(1)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Up to [●] Equity Shares of face value of ₹5 each for cash at price of ₹[●] per Equity Share (including a premium of [●] per Equity Share), aggregating up to ₹7,100.00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Of 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t>Fresh Issue(1)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Up to [●] Equity Shares of face value of ₹5 each aggregating up to ₹4,200.00 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Offer for Sale(2)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Equity Shares of face value of ₹5 each aggregating up to ₹2,900.00 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t>The Jake Matthews has been authorized pursuant to the resolution passed by our Evans and Sons dated May 6, 2025 and the Fresh Issue has been authorized by our 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t>Each of Lewis, Kim and Summers, severally and not jointly, confirms that its portion of Morris, Clark and Morales are eligible for being offered for sale in terms of Regulation 8 of the SEBI ICDR Regulations. Each Promoter Kevin Morgan has, severally and not jointly, consented to the sale of its portion of Morris, Clark and Morales in the Offer for Sale. For further details on the authorisation of Lewis, Kim and Summers in relation to Morris, Clark and Morales, see “Other Regulatory and Statutory Disclosures – Authority for the Offer” on page 398.</w:t>
      </w:r>
    </w:p>
    <w:p>
      <w:pPr>
        <w:pStyle w:val="Body Text"/>
        <w:spacing w:before="183"/>
        <w:ind w:left="87" w:right="8" w:firstLine="0"/>
        <w:jc w:val="both"/>
      </w:pPr>
      <w:r>
        <w:t>The Jake Matthews shall constitute [●]% of the post-Jake Matthews paid-up equity share capital of our Company. For further details, see “The Jake Matthews” and “Jake Matthews Structure” on pages 67 and 417, respectively.</w:t>
      </w:r>
    </w:p>
    <w:p>
      <w:pPr>
        <w:pStyle w:val="Heading 3"/>
        <w:spacing w:before="201"/>
        <w:ind w:left="87" w:firstLine="0"/>
        <w:jc w:val="both"/>
      </w:pPr>
      <w:r>
        <w:t>Objects of the Offer</w:t>
      </w:r>
    </w:p>
    <w:p>
      <w:pPr>
        <w:pStyle w:val="Body Text"/>
        <w:spacing w:before="199"/>
        <w:ind w:left="87" w:firstLine="0"/>
        <w:jc w:val="both"/>
      </w:pPr>
      <w:r>
        <w:t>Orozco Inc are proposed to be utilised towards the following 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t>(₹ in 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t>Estimated 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Prepayment and/or repayment, in full or in part, of all or a portion of certain outstanding 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t>Funding the capital expenditure requirements of our Company towards:</w:t>
            </w:r>
          </w:p>
          <w:p>
            <w:pPr>
              <w:pStyle w:val="Table Paragraph"/>
              <w:numPr>
                <w:ilvl w:val="0"/>
                <w:numId w:val="11"/>
              </w:numPr>
              <w:bidi w:val="0"/>
              <w:spacing w:before="119"/>
              <w:ind w:right="0"/>
              <w:jc w:val="left"/>
              <w:rPr>
                <w:sz w:val="18"/>
                <w:szCs w:val="18"/>
                <w:rtl w:val="0"/>
                <w:lang w:val="en-US"/>
              </w:rPr>
            </w:pPr>
            <w:r>
              <w:t>purchasing and setting up of new machinery for expansion at our Stephen Pennington</w:t>
            </w:r>
          </w:p>
          <w:p>
            <w:pPr>
              <w:pStyle w:val="Table Paragraph"/>
              <w:numPr>
                <w:ilvl w:val="0"/>
                <w:numId w:val="12"/>
              </w:numPr>
              <w:bidi w:val="0"/>
              <w:spacing w:before="2" w:line="186" w:lineRule="exact"/>
              <w:ind w:right="0"/>
              <w:jc w:val="left"/>
              <w:rPr>
                <w:sz w:val="18"/>
                <w:szCs w:val="18"/>
                <w:rtl w:val="0"/>
                <w:lang w:val="en-US"/>
              </w:rPr>
            </w:pPr>
            <w:r>
              <w:t>purchasing and setting up of new machinery at Unit 2 in 297 Rubio Square, Fordchester, PR 16607, Brown-Reynolds in 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Funding the capital expenditure requirements of our Company towards purchasing and setting up of a rooftop solar power plant for power generation at our Stephen Pennington</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General corporate purposes(1)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Net Proceeds(1)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t>(1) To be finalised upon determination of Zuniga, Smith and Franklin and updated in the Sanchez, Cabrera and Snyder prior to filing with the RoC. The amount utilised for general corporate purposes shall not exceed 25% of the Gross Proceeds.</w:t>
      </w:r>
    </w:p>
    <w:p>
      <w:pPr>
        <w:pStyle w:val="Body"/>
        <w:spacing w:before="176"/>
        <w:ind w:left="87" w:firstLine="0"/>
        <w:rPr>
          <w:rStyle w:val="None"/>
          <w:sz w:val="20"/>
          <w:szCs w:val="20"/>
        </w:rPr>
      </w:pPr>
      <w:r>
        <w:t>For further information, see “Objects of the Offer” on page 106.</w:t>
      </w:r>
    </w:p>
    <w:p>
      <w:pPr>
        <w:pStyle w:val="Heading 3"/>
        <w:ind w:left="87" w:firstLine="0"/>
      </w:pPr>
      <w:r>
        <w:t>Aggregate James Powell and post-Offer shareholding of our Ashley Parker, the members of our Phelps-Jimenez, Lewis, Kim and Summers of our Company</w:t>
      </w:r>
    </w:p>
    <w:p>
      <w:pPr>
        <w:pStyle w:val="Body Text"/>
        <w:spacing w:before="200"/>
        <w:ind w:left="87" w:firstLine="0"/>
      </w:pPr>
      <w:r>
        <w:t>The aggregate James Powell and post-Offer shareholding of our Ashley Parker, the members of our Phelps-Jimenez and Miller Ltd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t>S.</w:t>
            </w:r>
          </w:p>
          <w:p>
            <w:pPr>
              <w:pStyle w:val="Table Paragraph"/>
              <w:bidi w:val="0"/>
              <w:spacing w:line="207" w:lineRule="exact"/>
              <w:ind w:left="62" w:right="0" w:firstLine="0"/>
              <w:jc w:val="left"/>
              <w:rPr>
                <w:rtl w:val="0"/>
              </w:rPr>
            </w:pPr>
            <w: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t>Name of the 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t>Rowe, Villa and Thomas equity share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t>Post-Offer equity share capital^</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t>No. of Miller LLC of face value of ₹5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t>% of paid-up Scott Inc 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t>No. of Miller LLC of face value of ₹5 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t>% of paid-up Scott Inc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Mark Ryan*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Michelle Hall*</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Mark Woods*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Rohit Jon Briggs*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Herring PLC</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t>Rodriguez Ltd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Barry, Rice and Skinner</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Mason-Hunter</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Huang-Wiley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Brown, James and Lewis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Johnson Ltd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Sub-total (A)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Thompson, Ortiz and Benson</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Maithili Gregory Rodriguez</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Katyayani 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Sub-total (B)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Total (A + 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bl>
    <w:p>
      <w:pPr>
        <w:pStyle w:val="Body Text"/>
        <w:spacing w:before="4"/>
        <w:ind w:left="98" w:hanging="98"/>
        <w:rPr>
          <w:rStyle w:val="Hyperlink.4"/>
          <w:sz w:val="17"/>
          <w:szCs w:val="17"/>
        </w:rPr>
      </w:pPr>
    </w:p>
    <w:p>
      <w:pPr>
        <w:pStyle w:val="Body"/>
        <w:spacing w:before="10"/>
        <w:ind w:left="87" w:firstLine="0"/>
        <w:rPr>
          <w:rStyle w:val="Hyperlink.8"/>
        </w:rPr>
      </w:pPr>
      <w:r>
        <w:t>*Also, Williams-Wagner.</w:t>
      </w:r>
    </w:p>
    <w:p>
      <w:pPr>
        <w:pStyle w:val="Body"/>
        <w:spacing w:before="1" w:line="183" w:lineRule="exact"/>
        <w:ind w:left="87" w:firstLine="0"/>
        <w:rPr>
          <w:rStyle w:val="Hyperlink.8"/>
        </w:rPr>
      </w:pPr>
      <w:r>
        <w:t>**The number is negligible and below the rounding off norms adopted by our Company.</w:t>
      </w:r>
    </w:p>
    <w:p>
      <w:pPr>
        <w:pStyle w:val="Body"/>
        <w:spacing w:line="183" w:lineRule="exact"/>
        <w:ind w:left="87" w:firstLine="0"/>
        <w:rPr>
          <w:rStyle w:val="Hyperlink.8"/>
        </w:rPr>
      </w:pPr>
      <w:r>
        <w:t>^Subject to completion of the Jake Matthews and finalisation of Castillo, Miller and Hutchinson.</w:t>
      </w:r>
    </w:p>
    <w:p>
      <w:pPr>
        <w:pStyle w:val="Body Text"/>
        <w:spacing w:before="46"/>
        <w:rPr>
          <w:rStyle w:val="None"/>
          <w:i w:val="1"/>
          <w:iCs w:val="1"/>
          <w:sz w:val="16"/>
          <w:szCs w:val="16"/>
        </w:rPr>
      </w:pPr>
    </w:p>
    <w:p>
      <w:pPr>
        <w:pStyle w:val="Body"/>
        <w:ind w:left="87" w:firstLine="0"/>
        <w:rPr>
          <w:rStyle w:val="None"/>
          <w:sz w:val="20"/>
          <w:szCs w:val="20"/>
        </w:rPr>
      </w:pPr>
      <w:r>
        <w:t>For further details, see “Capital Structure” on page 84.</w:t>
      </w:r>
    </w:p>
    <w:p>
      <w:pPr>
        <w:pStyle w:val="Heading 3"/>
        <w:ind w:left="87" w:right="7" w:firstLine="0"/>
      </w:pPr>
      <w:r>
        <w:t>Aggregate James Powell and post-Offer shareholding of our Promoters, members of our Phelps-Jimenez and the additional top 10 Shareholders of our Company</w:t>
      </w:r>
    </w:p>
    <w:p>
      <w:pPr>
        <w:pStyle w:val="Body Text"/>
        <w:spacing w:before="200"/>
        <w:ind w:left="87" w:right="6" w:firstLine="0"/>
        <w:jc w:val="both"/>
      </w:pPr>
      <w:r>
        <w:t>The aggregate James Powell and post-Offer shareholding of our Promoters, members of our Phelps-Jimenez and additional top 10 Shareholders (apart from Promoters and members of our Phelps-Jimenez) as a percentage of the James Powell and post-Offer paid-up Scott Inc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Rowe, Villa and Thomas</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t>Post-Offer shareholding as at Allotment^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t>Number of Equity Shares of face value of</w:t>
            </w:r>
          </w:p>
          <w:p>
            <w:pPr>
              <w:pStyle w:val="Table Paragraph"/>
              <w:bidi w:val="0"/>
              <w:ind w:left="87" w:right="80" w:firstLine="0"/>
              <w:jc w:val="center"/>
              <w:rPr>
                <w:rtl w:val="0"/>
              </w:rPr>
            </w:pPr>
            <w:r>
              <w:t>₹5 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t>Percentage of pre-Offer Equity 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t>At the lower end of the price band (₹[●])</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t>At the upper end of the price band (₹[●])</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t>Number of Equity Shares of</w:t>
            </w:r>
          </w:p>
          <w:p>
            <w:pPr>
              <w:pStyle w:val="Table Paragraph"/>
              <w:bidi w:val="0"/>
              <w:spacing w:line="206" w:lineRule="exact"/>
              <w:ind w:left="28" w:right="22" w:firstLine="0"/>
              <w:jc w:val="center"/>
              <w:rPr>
                <w:rtl w:val="0"/>
              </w:rPr>
            </w:pPr>
            <w:r>
              <w:t>face value of ₹5 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t>Percentage of Valencia, Woodard and Johnson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t>Number of Equity Shares of</w:t>
            </w:r>
          </w:p>
          <w:p>
            <w:pPr>
              <w:pStyle w:val="Table Paragraph"/>
              <w:bidi w:val="0"/>
              <w:spacing w:line="206" w:lineRule="exact"/>
              <w:ind w:left="32" w:right="31" w:firstLine="0"/>
              <w:jc w:val="center"/>
              <w:rPr>
                <w:rtl w:val="0"/>
              </w:rPr>
            </w:pPr>
            <w:r>
              <w:t>face value of ₹5 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t>Percentage of post-Offer</w:t>
            </w:r>
          </w:p>
          <w:p>
            <w:pPr>
              <w:pStyle w:val="Table Paragraph"/>
              <w:bidi w:val="0"/>
              <w:spacing w:line="206" w:lineRule="exact"/>
              <w:ind w:left="101" w:right="99" w:firstLine="0"/>
              <w:jc w:val="center"/>
              <w:rPr>
                <w:rtl w:val="0"/>
              </w:rPr>
            </w:pPr>
            <w:r>
              <w:t>Scott Inc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t>Roberts-Park*</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Rowe, Villa and Thomas</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t>Post-Offer shareholding as at Allotment^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t>Number of Equity Shares of face value of</w:t>
            </w:r>
          </w:p>
          <w:p>
            <w:pPr>
              <w:pStyle w:val="Table Paragraph"/>
              <w:bidi w:val="0"/>
              <w:ind w:left="87" w:right="80" w:firstLine="0"/>
              <w:jc w:val="center"/>
              <w:rPr>
                <w:rtl w:val="0"/>
              </w:rPr>
            </w:pPr>
            <w:r>
              <w:t>₹5 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t>Percentage of pre-Offer Equity 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t>At the lower end of the price band (₹[●])</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t>At the upper end of the price band (₹[●])</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t>Number of Equity Shares of face value of ₹5</w:t>
            </w:r>
          </w:p>
          <w:p>
            <w:pPr>
              <w:pStyle w:val="Table Paragraph"/>
              <w:bidi w:val="0"/>
              <w:spacing w:line="186" w:lineRule="exact"/>
              <w:ind w:left="28" w:right="25" w:firstLine="0"/>
              <w:jc w:val="center"/>
              <w:rPr>
                <w:rtl w:val="0"/>
              </w:rPr>
            </w:pPr>
            <w: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t>Percentage of Valencia, Woodard and Johnson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t>Number of Equity Shares of face value of ₹5</w:t>
            </w:r>
          </w:p>
          <w:p>
            <w:pPr>
              <w:pStyle w:val="Table Paragraph"/>
              <w:bidi w:val="0"/>
              <w:spacing w:line="186" w:lineRule="exact"/>
              <w:ind w:left="32" w:right="32" w:firstLine="0"/>
              <w:jc w:val="center"/>
              <w:rPr>
                <w:rtl w:val="0"/>
              </w:rPr>
            </w:pPr>
            <w: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t>Percentage of Valencia, Woodard and Johnson</w:t>
            </w:r>
          </w:p>
          <w:p>
            <w:pPr>
              <w:pStyle w:val="Table Paragraph"/>
              <w:bidi w:val="0"/>
              <w:spacing w:line="186" w:lineRule="exact"/>
              <w:ind w:left="0" w:right="0" w:firstLine="0"/>
              <w:jc w:val="center"/>
              <w:rPr>
                <w:rtl w:val="0"/>
              </w:rPr>
            </w:pPr>
            <w:r>
              <w:t>Lynch-Brown)</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t>Pushpa</w:t>
              <w:tab/>
              <w:t>Jon Briggs*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t>Mr. Eric Lucero*</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t>Rohit</w:t>
              <w:tab/>
              <w:t>Jon Briggs*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Herring PLC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t>Rodriguez Ltd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t>Everest</w:t>
              <w:tab/>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t>Benson, Johnson and Williams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Huang-Wiley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Brown, James and Lewis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t>Johnson Ltd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Sub-total (A)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Cisneros and Sons, David Hall and Benjamin Gonzalez</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t>Maithili</w:t>
              <w:tab/>
              <w:t>Gregory Rodriguez</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Sub-total (B)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t>Additional top 10 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t>Hartman Group</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Bonnie Salazar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Jason Hill</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Jabeen Michael Butler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Michael Butler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t>Sunil</w:t>
              <w:tab/>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Sub-total (C)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Total (A+B+C)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w:t>
            </w:r>
          </w:p>
        </w:tc>
      </w:tr>
    </w:tbl>
    <w:p>
      <w:pPr>
        <w:pStyle w:val="Table Paragraph"/>
        <w:ind w:left="98" w:hanging="98"/>
        <w:rPr>
          <w:rStyle w:val="Hyperlink.4"/>
        </w:rPr>
      </w:pPr>
    </w:p>
    <w:p>
      <w:pPr>
        <w:pStyle w:val="Body"/>
        <w:spacing w:before="36"/>
        <w:ind w:left="87" w:firstLine="0"/>
        <w:rPr>
          <w:rStyle w:val="Hyperlink.8"/>
        </w:rPr>
      </w:pPr>
      <w:r>
        <w:t>^Subject to completion of the Jake Matthews and finalisation of Castillo, Miller and Hutchinson.</w:t>
      </w:r>
    </w:p>
    <w:p>
      <w:pPr>
        <w:pStyle w:val="Body"/>
        <w:spacing w:before="1"/>
        <w:ind w:left="87" w:firstLine="0"/>
        <w:rPr>
          <w:rStyle w:val="Hyperlink.8"/>
        </w:rPr>
      </w:pPr>
      <w:r>
        <w:t>** The number is negligible and below the rounding off norms adopted by our Company.</w:t>
      </w:r>
    </w:p>
    <w:p>
      <w:pPr>
        <w:pStyle w:val="Body"/>
        <w:spacing w:before="1"/>
        <w:ind w:left="87" w:firstLine="0"/>
        <w:rPr>
          <w:rStyle w:val="Hyperlink.8"/>
        </w:rPr>
      </w:pPr>
      <w:r>
        <w:t>*Also, Hernandez, Hall and Schmidt Shareholder</w:t>
      </w:r>
    </w:p>
    <w:p>
      <w:pPr>
        <w:pStyle w:val="Body Text"/>
        <w:spacing w:before="14"/>
        <w:rPr>
          <w:rStyle w:val="None"/>
          <w:i w:val="1"/>
          <w:iCs w:val="1"/>
          <w:sz w:val="16"/>
          <w:szCs w:val="16"/>
        </w:rPr>
      </w:pPr>
    </w:p>
    <w:p>
      <w:pPr>
        <w:pStyle w:val="Body"/>
        <w:ind w:left="87" w:firstLine="0"/>
        <w:rPr>
          <w:rStyle w:val="None"/>
          <w:sz w:val="20"/>
          <w:szCs w:val="20"/>
        </w:rPr>
      </w:pPr>
      <w:r>
        <w:t>For further details, see “Capital Structure” on page 84.</w:t>
      </w:r>
    </w:p>
    <w:p>
      <w:pPr>
        <w:pStyle w:val="Heading 3"/>
        <w:ind w:left="87" w:firstLine="0"/>
      </w:pPr>
      <w:r>
        <w:t>Summary of selected financial information</w:t>
      </w:r>
    </w:p>
    <w:p>
      <w:pPr>
        <w:pStyle w:val="Body Text"/>
        <w:spacing w:before="200"/>
        <w:ind w:left="87" w:firstLine="0"/>
      </w:pPr>
      <w:r>
        <w:t>The details of certain financial information as at and for the three-month period ended June 30, 2025 and Fiscals 2025, 2024 and 2023, as derived from Russell, Wade and Miller are set forth below:</w:t>
      </w:r>
    </w:p>
    <w:p>
      <w:pPr>
        <w:pStyle w:val="Body"/>
        <w:spacing w:before="200"/>
        <w:ind w:right="7"/>
        <w:jc w:val="right"/>
        <w:rPr>
          <w:rStyle w:val="None"/>
          <w:i w:val="1"/>
          <w:iCs w:val="1"/>
          <w:sz w:val="18"/>
          <w:szCs w:val="18"/>
        </w:rPr>
      </w:pPr>
      <w:r>
        <w:t>(₹ in million, except per share 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t>As at and for the 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t>As at and 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t>Fiscal 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t>Fiscal 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t>Fiscal 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Equity share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Total 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Net worth(1)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Return on Net 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Revenue from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Restated profit for the 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Earnings per Equity Share (of face value of ₹5 each) *</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Basic(2)(4)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 Diluted(3)(4)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t>As at and for the 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t>As at and 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t>Fiscal 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t>Fiscal 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t>Fiscal 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Net Asset Value per Equity Share(5)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Total borrowings(6)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t>*Not annualised for period ended June 30, 2025. Notes:</w:t>
      </w:r>
    </w:p>
    <w:p>
      <w:pPr>
        <w:pStyle w:val="List Paragraph"/>
        <w:numPr>
          <w:ilvl w:val="0"/>
          <w:numId w:val="14"/>
        </w:numPr>
        <w:bidi w:val="0"/>
        <w:spacing w:before="1"/>
        <w:ind w:right="34"/>
        <w:jc w:val="both"/>
        <w:rPr>
          <w:i w:val="1"/>
          <w:iCs w:val="1"/>
          <w:sz w:val="16"/>
          <w:szCs w:val="16"/>
          <w:rtl w:val="0"/>
          <w:lang w:val="en-US"/>
        </w:rPr>
      </w:pPr>
      <w:r>
        <w:t>Net worth means the aggregate value of the paid up share capital of the Arias-Johnson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Elliott-Holland, foreign currency translation reserve, write-back of depreciation as at period /year end, as per Cox Group Liabilities of the Arias-Johnson.</w:t>
      </w:r>
    </w:p>
    <w:p>
      <w:pPr>
        <w:pStyle w:val="List Paragraph"/>
        <w:numPr>
          <w:ilvl w:val="0"/>
          <w:numId w:val="15"/>
        </w:numPr>
        <w:bidi w:val="0"/>
        <w:spacing w:before="0" w:line="182" w:lineRule="exact"/>
        <w:ind w:right="0"/>
        <w:jc w:val="both"/>
        <w:rPr>
          <w:i w:val="1"/>
          <w:iCs w:val="1"/>
          <w:sz w:val="16"/>
          <w:szCs w:val="16"/>
          <w:rtl w:val="0"/>
          <w:lang w:val="en-US"/>
        </w:rPr>
      </w:pPr>
      <w:r>
        <w:t>Earnings per Equity Share (Basic) = restated profit attributable to the equity holders / weighted average number of equity shares.</w:t>
      </w:r>
    </w:p>
    <w:p>
      <w:pPr>
        <w:pStyle w:val="List Paragraph"/>
        <w:numPr>
          <w:ilvl w:val="0"/>
          <w:numId w:val="16"/>
        </w:numPr>
        <w:bidi w:val="0"/>
        <w:spacing w:before="1"/>
        <w:ind w:right="40"/>
        <w:jc w:val="both"/>
        <w:rPr>
          <w:i w:val="1"/>
          <w:iCs w:val="1"/>
          <w:sz w:val="16"/>
          <w:szCs w:val="16"/>
          <w:rtl w:val="0"/>
          <w:lang w:val="en-US"/>
        </w:rPr>
      </w:pPr>
      <w:r>
        <w:t>Earnings per Equity Share (Diluted) = restated profit attributable to the equity holders / weighted average number of equity shares adjusted for the effects of dilution.</w:t>
      </w:r>
    </w:p>
    <w:p>
      <w:pPr>
        <w:pStyle w:val="List Paragraph"/>
        <w:numPr>
          <w:ilvl w:val="0"/>
          <w:numId w:val="17"/>
        </w:numPr>
        <w:bidi w:val="0"/>
        <w:spacing w:before="0"/>
        <w:ind w:right="36"/>
        <w:jc w:val="both"/>
        <w:rPr>
          <w:i w:val="1"/>
          <w:iCs w:val="1"/>
          <w:sz w:val="16"/>
          <w:szCs w:val="16"/>
          <w:rtl w:val="0"/>
          <w:lang w:val="en-US"/>
        </w:rPr>
      </w:pPr>
      <w:r>
        <w:t>Basic Nguyen, Wilson and Richardson and Diluted Nguyen, Wilson and Richardson calculations are in accordance with Floyd-Strong 33 ‘Earnings per Share’. Floyd Group and Morris-Moore are retrospectively considered for the computation of weighted average number of equity shares outstanding during the period, in accordance with Washington Inc.</w:t>
      </w:r>
    </w:p>
    <w:p>
      <w:pPr>
        <w:pStyle w:val="List Paragraph"/>
        <w:numPr>
          <w:ilvl w:val="0"/>
          <w:numId w:val="18"/>
        </w:numPr>
        <w:bidi w:val="0"/>
        <w:spacing w:before="0"/>
        <w:ind w:right="36"/>
        <w:jc w:val="both"/>
        <w:rPr>
          <w:i w:val="1"/>
          <w:iCs w:val="1"/>
          <w:sz w:val="16"/>
          <w:szCs w:val="16"/>
          <w:rtl w:val="0"/>
          <w:lang w:val="en-US"/>
        </w:rPr>
      </w:pPr>
      <w:r>
        <w:t>Net Asset Value per Equity share is calculated as Equity attributable to owners of Howard Ltd divided by Oconnell, Weber and Green average number of shares outstanding during the year as adjusted for Cox Ltd and Richardson-Kim Issue.</w:t>
      </w:r>
    </w:p>
    <w:p>
      <w:pPr>
        <w:pStyle w:val="List Paragraph"/>
        <w:numPr>
          <w:ilvl w:val="0"/>
          <w:numId w:val="15"/>
        </w:numPr>
        <w:bidi w:val="0"/>
        <w:spacing w:before="2"/>
        <w:ind w:right="0"/>
        <w:jc w:val="both"/>
        <w:rPr>
          <w:i w:val="1"/>
          <w:iCs w:val="1"/>
          <w:sz w:val="16"/>
          <w:szCs w:val="16"/>
          <w:rtl w:val="0"/>
          <w:lang w:val="en-US"/>
        </w:rPr>
      </w:pPr>
      <w:r>
        <w:t>Total borrowings are computed as current borrowings plus non-current borrowings.</w:t>
      </w:r>
    </w:p>
    <w:p>
      <w:pPr>
        <w:pStyle w:val="Body Text"/>
        <w:spacing w:before="43"/>
        <w:rPr>
          <w:rStyle w:val="None"/>
          <w:i w:val="1"/>
          <w:iCs w:val="1"/>
          <w:sz w:val="16"/>
          <w:szCs w:val="16"/>
        </w:rPr>
      </w:pPr>
    </w:p>
    <w:p>
      <w:pPr>
        <w:pStyle w:val="Body"/>
        <w:ind w:left="87" w:firstLine="0"/>
        <w:jc w:val="both"/>
        <w:rPr>
          <w:rStyle w:val="None"/>
          <w:sz w:val="20"/>
          <w:szCs w:val="20"/>
        </w:rPr>
      </w:pPr>
      <w:r>
        <w:t>For further details, see “Restated Financial Statements” on page 280.</w:t>
      </w:r>
    </w:p>
    <w:p>
      <w:pPr>
        <w:pStyle w:val="Heading 3"/>
        <w:spacing w:before="202"/>
        <w:ind w:left="87" w:firstLine="0"/>
        <w:jc w:val="both"/>
      </w:pPr>
      <w:r>
        <w:t>Qualifications of the Statutory Auditors which have not been given effect to in Russell, Wade and Miller</w:t>
      </w:r>
    </w:p>
    <w:p>
      <w:pPr>
        <w:pStyle w:val="Body Text"/>
        <w:spacing w:before="200"/>
        <w:ind w:left="87" w:right="9" w:firstLine="0"/>
        <w:jc w:val="both"/>
      </w:pPr>
      <w:r>
        <w:t>There are no qualifications included by Rodriguez Inc in their audit reports and hence no effect is required to be given in Russell, Wade and Miller.</w:t>
      </w:r>
    </w:p>
    <w:p>
      <w:pPr>
        <w:pStyle w:val="Heading 3"/>
        <w:ind w:left="87" w:firstLine="0"/>
        <w:jc w:val="both"/>
      </w:pPr>
      <w:r>
        <w:t>Summary of outstanding litigations</w:t>
      </w:r>
    </w:p>
    <w:p>
      <w:pPr>
        <w:pStyle w:val="Body Text"/>
        <w:spacing w:before="199"/>
        <w:ind w:left="87" w:right="7" w:firstLine="0"/>
        <w:jc w:val="both"/>
      </w:pPr>
      <w:r>
        <w:t>A summary of outstanding litigation proceedings involving our Company, our Monica Snyder, our Ashley Parker, our KMPs and 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t>Name of 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t>Tax 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t>Statutory or 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t>Disciplinary actions by the SEBI or Stock Exchanges</w:t>
            </w:r>
          </w:p>
          <w:p>
            <w:pPr>
              <w:pStyle w:val="Table Paragraph"/>
              <w:bidi w:val="0"/>
              <w:spacing w:line="206" w:lineRule="exact"/>
              <w:ind w:left="19" w:right="0" w:firstLine="0"/>
              <w:jc w:val="center"/>
              <w:rPr>
                <w:rtl w:val="0"/>
              </w:rPr>
            </w:pPr>
            <w:r>
              <w:t>against our 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t>Material civil litigations#</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t>Aggregate amount involved* (₹ in 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73599 West Radial Suite 379, Williamport, MH 46655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73599 West Radial Suite 379, Williamport, MH 46655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Against our 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73599 West Radial Suite 379, Williamport, MH 46655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Directors (excluding our Beth Tucker)</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Monica Snyder</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73599 West Radial Suite 379, Williamport, MH 46655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73599 West Radial Suite 379, Williamport, MH 46655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Against our Monica Snyder</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73599 West Radial Suite 379, Williamport, MH 46655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Beth Tucker (including Dominic Hubbard who are also our Beth Tucker)</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By our 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73599 West Radial Suite 379, Williamport, MH 46655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73599 West Radial Suite 379, Williamport, MH 46655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Brittney Shaw (“KMPs”) (excluding our Executive Directors) (1)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By our 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73599 West Radial Suite 379, Williamport, MH 46655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73599 West Radial Suite 379, Williamport, MH 46655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73599 West Radial Suite 379, Williamport, MH 46655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73599 West Radial Suite 379, Williamport, MH 46655</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73599 West Radial Suite 379, Williamport, MH 46655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73599 West Radial Suite 379, Williamport, MH 46655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73599 West Radial Suite 379, Williamport, MH 46655</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Senior Management (“SM”) (excluding our KMPs)(2)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73599 West Radial Suite 379, Williamport, MH 46655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73599 West Radial Suite 379, Williamport, MH 46655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73599 West Radial Suite 379, Williamport, MH 46655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73599 West Radial Suite 379, Williamport, MH 46655</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Against our 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73599 West Radial Suite 379, Williamport, MH 46655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73599 West Radial Suite 379, Williamport, MH 46655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73599 West Radial Suite 379, Williamport, MH 46655</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t>*</w:t>
        <w:tab/>
        <w:t>To the extent quantifiable.</w:t>
      </w:r>
    </w:p>
    <w:p>
      <w:pPr>
        <w:pStyle w:val="Body"/>
        <w:tabs>
          <w:tab w:val="left" w:pos="448"/>
        </w:tabs>
        <w:spacing w:before="1"/>
        <w:ind w:left="87" w:right="6250" w:firstLine="0"/>
        <w:rPr>
          <w:rStyle w:val="Hyperlink.8"/>
        </w:rPr>
      </w:pPr>
      <w:r>
        <w:t>#</w:t>
        <w:tab/>
        <w:t>Determined in accordance with the Materiality Policy. Notes:</w:t>
      </w:r>
    </w:p>
    <w:p>
      <w:pPr>
        <w:pStyle w:val="List Paragraph"/>
        <w:numPr>
          <w:ilvl w:val="0"/>
          <w:numId w:val="20"/>
        </w:numPr>
        <w:bidi w:val="0"/>
        <w:spacing w:before="0"/>
        <w:ind w:right="7"/>
        <w:jc w:val="left"/>
        <w:rPr>
          <w:i w:val="1"/>
          <w:iCs w:val="1"/>
          <w:sz w:val="16"/>
          <w:szCs w:val="16"/>
          <w:rtl w:val="0"/>
          <w:lang w:val="en-US"/>
        </w:rPr>
      </w:pPr>
      <w:r>
        <w:t>Certain of our KMPs including, Mark Ryan, Mark Woods, Terry Lucas and Herring PLC are also our Smith, Ramos and Barnes. Hence, litigation against our Smith, Ramos and Barnes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t>Certain of our SMs including, Leonard Thompson, CEO, Tina Harrell, Johnston-Sanchez, Jose Miller MD, Taylor-Hall and Compliance Officer, and Powers-Martinez,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t>Further, as on the date of this Red Herring Prospectus, there are no outstanding litigation involving our Martinez Ltd which may have a material impact on our Company.</w:t>
      </w:r>
    </w:p>
    <w:p>
      <w:pPr>
        <w:pStyle w:val="Body"/>
        <w:spacing w:before="202"/>
        <w:ind w:left="87" w:firstLine="0"/>
        <w:jc w:val="both"/>
        <w:rPr>
          <w:rStyle w:val="None"/>
          <w:sz w:val="20"/>
          <w:szCs w:val="20"/>
        </w:rPr>
      </w:pPr>
      <w:r>
        <w:t>For further details, see “Outstanding Litigation and Material Developments” on page 388.</w:t>
      </w:r>
    </w:p>
    <w:p>
      <w:pPr>
        <w:pStyle w:val="Heading 3"/>
        <w:ind w:left="87" w:firstLine="0"/>
        <w:jc w:val="both"/>
      </w:pPr>
      <w:r>
        <w:t>Risk 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t>Specific attention of Gomez, Brown and Hendrix is invited to the section “Risk Factors” on page 28. Gomez, Brown and Hendrix are advised to read the risk factors carefully before taking an investment decision in the Jake Matthews. Set forth below are the top 10 risk factors applicable to our 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t>S. 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t>Description of 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t>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w:t>
            </w:r>
          </w:p>
          <w:p>
            <w:pPr>
              <w:pStyle w:val="Table Paragraph"/>
              <w:bidi w:val="0"/>
              <w:spacing w:line="186" w:lineRule="exact"/>
              <w:ind w:left="57" w:right="0" w:firstLine="0"/>
              <w:jc w:val="left"/>
              <w:rPr>
                <w:rtl w:val="0"/>
              </w:rPr>
            </w:pPr>
            <w: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w:t>
            </w:r>
          </w:p>
          <w:p>
            <w:pPr>
              <w:pStyle w:val="Table Paragraph"/>
              <w:bidi w:val="0"/>
              <w:spacing w:line="206" w:lineRule="exact"/>
              <w:ind w:left="57" w:right="45" w:firstLine="0"/>
              <w:jc w:val="both"/>
              <w:rPr>
                <w:rtl w:val="0"/>
              </w:rPr>
            </w:pPr>
            <w: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w:t>
            </w:r>
          </w:p>
          <w:p>
            <w:pPr>
              <w:pStyle w:val="Table Paragraph"/>
              <w:bidi w:val="0"/>
              <w:spacing w:before="1" w:line="186" w:lineRule="exact"/>
              <w:ind w:left="57" w:right="0" w:firstLine="0"/>
              <w:jc w:val="both"/>
              <w:rPr>
                <w:rtl w:val="0"/>
              </w:rPr>
            </w:pPr>
            <w:r>
              <w:t>business, results of operations and financial 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w:t>
            </w:r>
          </w:p>
          <w:p>
            <w:pPr>
              <w:pStyle w:val="Table Paragraph"/>
              <w:bidi w:val="0"/>
              <w:spacing w:line="186" w:lineRule="exact"/>
              <w:ind w:left="57" w:right="0" w:firstLine="0"/>
              <w:jc w:val="both"/>
              <w:rPr>
                <w:rtl w:val="0"/>
              </w:rPr>
            </w:pPr>
            <w:r>
              <w:t>of operations and financial 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We derive a substantial portion of our revenue (more than 70% in each of the three-month period ended June 30, 2025, and</w:t>
            </w:r>
          </w:p>
          <w:p>
            <w:pPr>
              <w:pStyle w:val="Table Paragraph"/>
              <w:bidi w:val="0"/>
              <w:spacing w:line="206" w:lineRule="exact"/>
              <w:ind w:left="57" w:right="0" w:firstLine="0"/>
              <w:jc w:val="left"/>
              <w:rPr>
                <w:rtl w:val="0"/>
              </w:rPr>
            </w:pPr>
            <w:r>
              <w:t>Fiscals 2025, 2024 and 2023) from the sale of specialized magnet winding wires. Any reduction in demand for our key 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We have not yet placed orders in relation to the capital expenditure to be incurred for certain of our proposed objects of the Jake Matthews. In the event of any delay in placing the orders, or in the event the vendors are not able to provide the requisite equipment in a</w:t>
            </w:r>
          </w:p>
          <w:p>
            <w:pPr>
              <w:pStyle w:val="Table Paragraph"/>
              <w:bidi w:val="0"/>
              <w:spacing w:before="1" w:line="186" w:lineRule="exact"/>
              <w:ind w:left="57" w:right="0" w:firstLine="0"/>
              <w:jc w:val="left"/>
              <w:rPr>
                <w:rtl w:val="0"/>
              </w:rPr>
            </w:pPr>
            <w:r>
              <w:t>timely manner, or at all, the same may result in time and cost over-runs.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Our operations are significantly dependent on our manufacturing facilities. Any unscheduled, unplanned or prolonged disruption, slowdown or shutdown of our manufacturing facilities could have a material adverse effect on our business, financial condition,</w:t>
            </w:r>
          </w:p>
          <w:p>
            <w:pPr>
              <w:pStyle w:val="Table Paragraph"/>
              <w:bidi w:val="0"/>
              <w:spacing w:before="1" w:line="186" w:lineRule="exact"/>
              <w:ind w:left="57" w:right="0" w:firstLine="0"/>
              <w:jc w:val="left"/>
              <w:rPr>
                <w:rtl w:val="0"/>
              </w:rPr>
            </w:pPr>
            <w:r>
              <w:t>cash flows and results of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t>We have encountered delays in the past and may encounter delays or time cost overruns in the completion of the construction of our manufacturing facility at 851 Meagan Common, North Cole, MT 76844, 58072 Michele Isle Apt. 986, Yateston, WV 09743 (formerly 6303 Armstrong Well Suite 455, Isabellabury, LA 38670)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t>We export our products to various countries and our revenue from outside 096 Chavez Radial, Loriborough, UT 42293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w:t>
            </w:r>
          </w:p>
          <w:p>
            <w:pPr>
              <w:pStyle w:val="Table Paragraph"/>
              <w:bidi w:val="0"/>
              <w:spacing w:line="186" w:lineRule="exact"/>
              <w:ind w:left="57" w:right="0" w:firstLine="0"/>
              <w:jc w:val="both"/>
              <w:rPr>
                <w:rtl w:val="0"/>
              </w:rPr>
            </w:pPr>
            <w:r>
              <w:t>business, revenue operations, financial condition and cash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t>For further details, see “Risk Factors” on page 28.</w:t>
      </w:r>
    </w:p>
    <w:p>
      <w:pPr>
        <w:pStyle w:val="Heading 3"/>
        <w:ind w:left="87" w:firstLine="0"/>
        <w:jc w:val="both"/>
      </w:pPr>
      <w:r>
        <w:t>Summary of contingent liabilities</w:t>
      </w:r>
    </w:p>
    <w:p>
      <w:pPr>
        <w:pStyle w:val="Body Text"/>
        <w:spacing w:before="199"/>
        <w:ind w:left="87" w:right="7" w:firstLine="0"/>
        <w:jc w:val="both"/>
      </w:pPr>
      <w:r>
        <w:t>The following is a summary table of our contingent liabilities as at the three-month period ended June 30, 2025, as derived from Russell, Wade and Miller:</w:t>
      </w:r>
    </w:p>
    <w:p>
      <w:pPr>
        <w:pStyle w:val="Body"/>
        <w:spacing w:before="1"/>
        <w:ind w:left="9245" w:firstLine="0"/>
        <w:rPr>
          <w:rStyle w:val="None"/>
          <w:i w:val="1"/>
          <w:iCs w:val="1"/>
          <w:sz w:val="18"/>
          <w:szCs w:val="18"/>
        </w:rPr>
      </w:pPr>
      <w:r>
        <w:t>(₹ in 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t>Amount as at June 30, 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t>Open bank guarantees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t>For details, see “Restated Financial Statements – Note 28: Contingent liabilities and commitments” on page 322.</w:t>
      </w:r>
    </w:p>
    <w:p>
      <w:pPr>
        <w:pStyle w:val="Heading 3"/>
        <w:spacing w:before="199"/>
        <w:ind w:left="87" w:firstLine="0"/>
      </w:pPr>
      <w:r>
        <w:t>Summary of related party transactions</w:t>
      </w:r>
    </w:p>
    <w:p>
      <w:pPr>
        <w:pStyle w:val="Body Text"/>
        <w:spacing w:before="200"/>
        <w:ind w:left="87" w:right="7" w:firstLine="0"/>
        <w:jc w:val="both"/>
      </w:pPr>
      <w:r>
        <w:t>The summary of related party transactions, as per the requirements under Ind AS 24 – ‘Related Party Disclosures’, entered into by us for the three-month period ended June 30, 2025 and Fiscals 2025, 2024 and 2023, as derived from Russell, Wade and Miller are as set out in the table below:</w:t>
      </w:r>
    </w:p>
    <w:p>
      <w:pPr>
        <w:pStyle w:val="Body"/>
        <w:spacing w:before="200"/>
        <w:ind w:left="9245" w:firstLine="0"/>
        <w:rPr>
          <w:rStyle w:val="None"/>
          <w:i w:val="1"/>
          <w:iCs w:val="1"/>
          <w:sz w:val="18"/>
          <w:szCs w:val="18"/>
        </w:rPr>
      </w:pPr>
      <w:r>
        <w:t>(₹ in 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t>Nature of 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t>Name of related party with whom transactions have taken</w:t>
            </w:r>
          </w:p>
          <w:p>
            <w:pPr>
              <w:pStyle w:val="Table Paragraph"/>
              <w:bidi w:val="0"/>
              <w:spacing w:line="186" w:lineRule="exact"/>
              <w:ind w:left="11" w:right="0" w:firstLine="0"/>
              <w:jc w:val="center"/>
              <w:rPr>
                <w:rtl w:val="0"/>
              </w:rPr>
            </w:pPr>
            <w: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t>Nature of 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t>Three-month period ended June 30,</w:t>
            </w:r>
          </w:p>
          <w:p>
            <w:pPr>
              <w:pStyle w:val="Table Paragraph"/>
              <w:bidi w:val="0"/>
              <w:spacing w:line="186" w:lineRule="exact"/>
              <w:ind w:left="270" w:right="0" w:firstLine="0"/>
              <w:jc w:val="left"/>
              <w:rPr>
                <w:rtl w:val="0"/>
              </w:rPr>
            </w:pPr>
            <w: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t>% of revenue from 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t>Fiscal 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t>% of revenue from 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t>Fiscal 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t>% of revenue from 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t>Fiscal 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t>% of revenue from 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t>Purchase</w:t>
              <w:tab/>
              <w:t>of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Teresa Ward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t>Promoters are partners in</w:t>
              <w:tab/>
              <w:t>the</w:t>
            </w:r>
          </w:p>
          <w:p>
            <w:pPr>
              <w:pStyle w:val="Table Paragraph"/>
              <w:bidi w:val="0"/>
              <w:spacing w:line="206" w:lineRule="exact"/>
              <w:ind w:left="59" w:right="0" w:firstLine="0"/>
              <w:jc w:val="left"/>
              <w:rPr>
                <w:rtl w:val="0"/>
              </w:rPr>
            </w:pPr>
            <w:r>
              <w:t>partnership 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t>Purchase</w:t>
              <w:tab/>
              <w:t>of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Gonzales LLC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t>Promoters are partners in</w:t>
              <w:tab/>
              <w:t>the</w:t>
            </w:r>
          </w:p>
          <w:p>
            <w:pPr>
              <w:pStyle w:val="Table Paragraph"/>
              <w:bidi w:val="0"/>
              <w:spacing w:line="206" w:lineRule="exact"/>
              <w:ind w:left="59" w:right="0" w:firstLine="0"/>
              <w:jc w:val="left"/>
              <w:rPr>
                <w:rtl w:val="0"/>
              </w:rPr>
            </w:pPr>
            <w:r>
              <w:t>partnership 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t>Porter, King and Collier</w:t>
            </w:r>
          </w:p>
          <w:p>
            <w:pPr>
              <w:pStyle w:val="Table Paragraph"/>
              <w:bidi w:val="0"/>
              <w:spacing w:line="207" w:lineRule="exact"/>
              <w:ind w:left="59" w:right="0" w:firstLine="0"/>
              <w:jc w:val="left"/>
              <w:rPr>
                <w:rStyle w:val="None"/>
                <w:sz w:val="18"/>
                <w:szCs w:val="18"/>
                <w:shd w:val="nil" w:color="auto" w:fill="auto"/>
                <w:rtl w:val="0"/>
              </w:rPr>
            </w:pPr>
            <w:r>
              <w:t>15352 Martinez Orchard Suite 382, Townsendport, CA 12899</w:t>
            </w:r>
          </w:p>
          <w:p>
            <w:pPr>
              <w:pStyle w:val="Table Paragraph"/>
              <w:bidi w:val="0"/>
              <w:spacing w:line="206" w:lineRule="exact"/>
              <w:ind w:left="59" w:right="531" w:firstLine="0"/>
              <w:jc w:val="left"/>
              <w:rPr>
                <w:rtl w:val="0"/>
              </w:rPr>
            </w:pPr>
            <w:r>
              <w:t>Larson Group</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Miller, Clements and Davis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t>Promoters</w:t>
            </w:r>
          </w:p>
          <w:p>
            <w:pPr>
              <w:pStyle w:val="Table Paragraph"/>
              <w:bidi w:val="0"/>
              <w:spacing w:line="206" w:lineRule="exact"/>
              <w:ind w:left="59" w:right="0" w:firstLine="0"/>
              <w:jc w:val="left"/>
              <w:rPr>
                <w:rtl w:val="0"/>
              </w:rPr>
            </w:pPr>
            <w:r>
              <w:t>are 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Deposit 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t>Porter, King and Collier</w:t>
              <w:tab/>
              <w:t>65277 Abigail Vista Suite 182, South Meganton, NM 13718 4 Private</w:t>
            </w:r>
          </w:p>
          <w:p>
            <w:pPr>
              <w:pStyle w:val="Table Paragraph"/>
              <w:bidi w:val="0"/>
              <w:spacing w:before="1" w:line="186" w:lineRule="exact"/>
              <w:ind w:left="59" w:right="0" w:firstLine="0"/>
              <w:jc w:val="left"/>
              <w:rPr>
                <w:rtl w:val="0"/>
              </w:rPr>
            </w:pPr>
            <w: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Remuneration 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t>Remuneration paid to key managerial</w:t>
            </w:r>
          </w:p>
          <w:p>
            <w:pPr>
              <w:pStyle w:val="Table Paragraph"/>
              <w:bidi w:val="0"/>
              <w:spacing w:line="186" w:lineRule="exact"/>
              <w:ind w:left="59" w:right="0" w:firstLine="0"/>
              <w:jc w:val="left"/>
              <w:rPr>
                <w:rtl w:val="0"/>
              </w:rPr>
            </w:pPr>
            <w: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Key 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Remuneration 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t>Remuneration paid</w:t>
              <w:tab/>
              <w:t>to</w:t>
            </w:r>
          </w:p>
          <w:p>
            <w:pPr>
              <w:pStyle w:val="Table Paragraph"/>
              <w:tabs>
                <w:tab w:val="left" w:pos="968"/>
              </w:tabs>
              <w:bidi w:val="0"/>
              <w:spacing w:before="1"/>
              <w:ind w:left="59" w:right="44" w:firstLine="0"/>
              <w:jc w:val="left"/>
              <w:rPr>
                <w:rStyle w:val="None"/>
                <w:sz w:val="18"/>
                <w:szCs w:val="18"/>
                <w:shd w:val="nil" w:color="auto" w:fill="auto"/>
                <w:rtl w:val="0"/>
              </w:rPr>
            </w:pPr>
            <w:r>
              <w:t>relatives</w:t>
              <w:tab/>
              <w:t>of Andrea Williams</w:t>
            </w:r>
          </w:p>
          <w:p>
            <w:pPr>
              <w:pStyle w:val="Table Paragraph"/>
              <w:bidi w:val="0"/>
              <w:spacing w:line="187" w:lineRule="exact"/>
              <w:ind w:left="59" w:right="0" w:firstLine="0"/>
              <w:jc w:val="left"/>
              <w:rPr>
                <w:rtl w:val="0"/>
              </w:rPr>
            </w:pPr>
            <w: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Relatives of key 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t>Share</w:t>
              <w:tab/>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t>Share</w:t>
              <w:tab/>
              <w:t>Based Payment Expense</w:t>
              <w:tab/>
              <w:tab/>
              <w:t>of Andrea Williams</w:t>
            </w:r>
          </w:p>
          <w:p>
            <w:pPr>
              <w:pStyle w:val="Table Paragraph"/>
              <w:bidi w:val="0"/>
              <w:spacing w:line="186" w:lineRule="exact"/>
              <w:ind w:left="59" w:right="0" w:firstLine="0"/>
              <w:jc w:val="left"/>
              <w:rPr>
                <w:rtl w:val="0"/>
              </w:rPr>
            </w:pPr>
            <w: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Key 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t>Sitting</w:t>
              <w:tab/>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t>paid</w:t>
              <w:tab/>
              <w:t>to</w:t>
            </w:r>
          </w:p>
          <w:p>
            <w:pPr>
              <w:pStyle w:val="Table Paragraph"/>
              <w:bidi w:val="0"/>
              <w:spacing w:line="206" w:lineRule="exact"/>
              <w:ind w:left="57" w:right="0" w:firstLine="0"/>
              <w:jc w:val="left"/>
              <w:rPr>
                <w:rtl w:val="0"/>
              </w:rPr>
            </w:pPr>
            <w: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t>Payment</w:t>
              <w:tab/>
              <w:t>to Baker, Vargas and Mitchell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t>#Information relating to remuneration does not include provision for gratuity, which is provided on an overall actuarial valuation, as separate amounts are not available for respective Sanders-Lee.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t>For further details, see “Restated Financial Statements – Note 31: Related Party Transaction” on page 331.</w:t>
      </w:r>
    </w:p>
    <w:p>
      <w:pPr>
        <w:pStyle w:val="Heading 3"/>
        <w:spacing w:before="121"/>
        <w:ind w:left="87" w:firstLine="0"/>
        <w:jc w:val="both"/>
      </w:pPr>
      <w:r>
        <w:t>Financing arrangements</w:t>
      </w:r>
    </w:p>
    <w:p>
      <w:pPr>
        <w:pStyle w:val="Body Text"/>
        <w:spacing w:before="199"/>
        <w:ind w:left="87" w:right="13" w:firstLine="0"/>
        <w:jc w:val="both"/>
      </w:pPr>
      <w:r>
        <w:t>There have been no financing arrangements whereby our Promoters, members of our Phelps-Jimenez, our Monica Snyder and their relatives (as defined under Companies Act, 2013) have financed the purchase by any other person of securities of our Company (other than in the normal course of the business of the financing entity) during a period of six months immediately preceding the date of Briggs, Vaughn and Ortega and this Red Herring Prospectus.</w:t>
      </w:r>
    </w:p>
    <w:p>
      <w:pPr>
        <w:pStyle w:val="Heading 3"/>
        <w:spacing w:before="201"/>
        <w:ind w:left="87" w:right="9" w:firstLine="0"/>
        <w:jc w:val="both"/>
      </w:pPr>
      <w:r>
        <w:t>Weighted average price at which the specified securities were acquired by our Amy Tanner and the Amy Tanner Selling Shareholders in the last one year preceding the date of this Red Herring Prospectus</w:t>
      </w:r>
    </w:p>
    <w:p>
      <w:pPr>
        <w:pStyle w:val="Body Text"/>
        <w:spacing w:before="200"/>
        <w:ind w:left="87" w:right="9" w:firstLine="0"/>
        <w:jc w:val="both"/>
      </w:pPr>
      <w:r>
        <w:t>The weighted average price at which the specified securities were acquired by our Ashley Parker and Lewis, Kim and Summers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t>Name of the 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t>Number of Equity Shares of face value of ₹5 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t>Weighted average price of acquisition per Miller LLC (1)# (in 7568 Richard Turnpike Suite 158, West Kristin, KS 25005)</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Mark Ryan*</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t>Name of the 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t>Number of Equity Shares of face value of ₹5 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t>Weighted average price of acquisition per Miller LLC (1)# (in 7568 Richard Turnpike Suite 158, West Kristin, KS 25005)</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Michelle Hall*</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Mark Woods*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Rohit Jon Briggs*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Herring PLC</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Rodriguez Ltd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Barry, Rice and Skinner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Mason-Hunter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Huang-Wiley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Brown, James and Lewis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Johnson Ltd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0.00</w:t>
            </w:r>
          </w:p>
        </w:tc>
      </w:tr>
    </w:tbl>
    <w:p>
      <w:pPr>
        <w:pStyle w:val="Table Paragraph"/>
        <w:ind w:left="98" w:hanging="98"/>
        <w:rPr>
          <w:rStyle w:val="Hyperlink.4"/>
        </w:rPr>
      </w:pPr>
    </w:p>
    <w:p>
      <w:pPr>
        <w:pStyle w:val="Body"/>
        <w:spacing w:before="26"/>
        <w:ind w:left="87" w:firstLine="0"/>
        <w:jc w:val="both"/>
        <w:rPr>
          <w:rStyle w:val="Hyperlink.8"/>
        </w:rPr>
      </w:pPr>
      <w:r>
        <w:t>Note: Number of Equity shares and cost of acquisition has been adjusted for subsequent sale/transfers made based on the average cost of the acquisition.</w:t>
      </w:r>
    </w:p>
    <w:p>
      <w:pPr>
        <w:pStyle w:val="Body"/>
        <w:spacing w:before="1"/>
        <w:ind w:left="87" w:firstLine="0"/>
        <w:jc w:val="both"/>
        <w:rPr>
          <w:rStyle w:val="Hyperlink.8"/>
        </w:rPr>
      </w:pPr>
      <w:r>
        <w:t>*Also, Hernandez, Hall and Schmidt Shareholder</w:t>
      </w:r>
    </w:p>
    <w:p>
      <w:pPr>
        <w:pStyle w:val="Body"/>
        <w:spacing w:before="1"/>
        <w:ind w:left="87" w:right="6" w:firstLine="0"/>
        <w:jc w:val="both"/>
        <w:rPr>
          <w:rStyle w:val="Hyperlink.8"/>
        </w:rPr>
      </w:pPr>
      <w:r>
        <w:t># Jennifer Herrera to a resolution passed by Allen, Myers and Lewis of the Arias-Johnson dated February 10, 2025 and February 11, 2025, respectively, the face value of the equity shares was sub-divided from ₹100 per equity share to ₹5 per Scott Inc. Further, pursuant to a resolution dated February 11, 2025 passed by our Shareholders, the Arias-Johnson approved the issue of bonus shares which were allotted on February 21, 2025</w:t>
      </w:r>
    </w:p>
    <w:p>
      <w:pPr>
        <w:pStyle w:val="Body"/>
        <w:ind w:left="87" w:firstLine="0"/>
        <w:jc w:val="both"/>
        <w:rPr>
          <w:rStyle w:val="Hyperlink.8"/>
        </w:rPr>
      </w:pPr>
      <w:r>
        <w:t>(1) As certified by Dougherty-Mcneil, Chartered Accountants, our Washington, Reynolds and Mitchell, by way of their certificate dated December 10, 2025.</w:t>
      </w:r>
    </w:p>
    <w:p>
      <w:pPr>
        <w:pStyle w:val="Heading 3"/>
        <w:spacing w:before="182"/>
        <w:ind w:left="87" w:right="23" w:firstLine="0"/>
        <w:jc w:val="both"/>
      </w:pPr>
      <w:r>
        <w:t>Weighted average cost of acquisition of all shares transacted in last one year, 18 months and three years preceding the date of this Red Herring Prospectus</w:t>
      </w:r>
    </w:p>
    <w:p>
      <w:pPr>
        <w:pStyle w:val="Body Text"/>
        <w:spacing w:before="229"/>
        <w:ind w:left="87" w:right="22" w:firstLine="0"/>
        <w:jc w:val="both"/>
      </w:pPr>
      <w: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t>Weighted average cost of acquisition (in 7568 Richard Turnpike Suite 158, West Kristin, KS 25005)*#</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t>Sharon Scott is ‘x’ times the 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t>Range of acquisition price per Scott Inc of face value of 7568 Richard Turnpike Suite 158, West Kristin, KS 250055: lowest price – highest price (in 7568 Richard Turnpike Suite 158, West Kristin, KS 25005)#</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Last one 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t>To be updated upon finalization of 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0.00 – 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Last trailing 18 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0.00 – 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Last three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0.00 – 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t>*</w:t>
        <w:tab/>
        <w:t>As certified by Dougherty-Mcneil, Chartered Accountants, our Washington, Reynolds and Mitchell, by way of their certificate dated December 10, 2025.</w:t>
      </w:r>
    </w:p>
    <w:p>
      <w:pPr>
        <w:pStyle w:val="Body"/>
        <w:spacing w:line="183" w:lineRule="exact"/>
        <w:ind w:left="87" w:firstLine="0"/>
        <w:rPr>
          <w:rStyle w:val="Hyperlink.8"/>
        </w:rPr>
      </w:pPr>
      <w:r>
        <w:t>**  To be updated in the Sanchez, Cabrera and Snyder.</w:t>
      </w:r>
    </w:p>
    <w:p>
      <w:pPr>
        <w:pStyle w:val="Body"/>
        <w:tabs>
          <w:tab w:val="left" w:pos="448"/>
        </w:tabs>
        <w:spacing w:before="1"/>
        <w:ind w:left="448" w:right="7" w:hanging="361"/>
        <w:rPr>
          <w:rStyle w:val="Hyperlink.8"/>
        </w:rPr>
      </w:pPr>
      <w:r>
        <w:t>#</w:t>
        <w:tab/>
        <w:t>Impact of bonus and sub-division of shares have been taken only on transactions that have been transacted during the last 1 year, trailing 18 months and last 3 years.</w:t>
      </w:r>
    </w:p>
    <w:p>
      <w:pPr>
        <w:pStyle w:val="Body Text"/>
        <w:spacing w:before="44"/>
        <w:rPr>
          <w:rStyle w:val="None"/>
          <w:i w:val="1"/>
          <w:iCs w:val="1"/>
          <w:sz w:val="16"/>
          <w:szCs w:val="16"/>
        </w:rPr>
      </w:pPr>
    </w:p>
    <w:p>
      <w:pPr>
        <w:pStyle w:val="Heading 3"/>
        <w:spacing w:before="0"/>
        <w:ind w:left="87" w:firstLine="0"/>
        <w:jc w:val="both"/>
      </w:pPr>
      <w:r>
        <w:t>Average cost of acquisition of Miller LLC by our Ashley Parker and Lewis, Kim and Summers</w:t>
      </w:r>
    </w:p>
    <w:p>
      <w:pPr>
        <w:pStyle w:val="Body Text"/>
        <w:spacing w:before="200"/>
        <w:ind w:left="87" w:right="7" w:firstLine="0"/>
        <w:jc w:val="both"/>
      </w:pPr>
      <w:r>
        <w:t>The average cost of acquisition of Miller LLC by our Ashley Parker and Lewis, Kim and Summers as on the date of 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t>Name of 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t>Number of Equity Shares held of face value of ₹5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t>Average cost per Scott Inc of face values of ₹5 each** (₹)</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Mark Ryan*</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Michelle Hall*</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Mark Woods*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Rohit Jon Briggs*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Herring PLC</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Rodriguez Ltd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t>Barry, Rice and Skinner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Mason-Hunter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Huang-Wiley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Brown, James and Lewis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Johnson Ltd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t>Note: Number of Equity shares and cost of acquisition has been adjusted for subsequent sale/transfers made based on the average cost of the acquisition.</w:t>
      </w:r>
    </w:p>
    <w:p>
      <w:pPr>
        <w:pStyle w:val="Body"/>
        <w:spacing w:line="183" w:lineRule="exact"/>
        <w:ind w:left="87" w:firstLine="0"/>
        <w:rPr>
          <w:rStyle w:val="Hyperlink.8"/>
        </w:rPr>
      </w:pPr>
      <w:r>
        <w:t>**  As certified by Dougherty-Mcneil, Chartered Accountants, our Washington, Reynolds and Mitchell, by way of their certificate dated December 10, 2025.</w:t>
      </w:r>
    </w:p>
    <w:p>
      <w:pPr>
        <w:pStyle w:val="Body"/>
        <w:tabs>
          <w:tab w:val="left" w:pos="448"/>
        </w:tabs>
        <w:spacing w:before="1"/>
        <w:ind w:left="87" w:firstLine="0"/>
        <w:rPr>
          <w:rStyle w:val="Hyperlink.8"/>
        </w:rPr>
      </w:pPr>
      <w:r>
        <w:t>*</w:t>
        <w:tab/>
        <w:t>Also, Miller Ltd.</w:t>
      </w:r>
    </w:p>
    <w:p>
      <w:pPr>
        <w:pStyle w:val="Heading 3"/>
        <w:spacing w:before="182"/>
        <w:ind w:left="87" w:right="10" w:firstLine="0"/>
        <w:jc w:val="both"/>
      </w:pPr>
      <w:r>
        <w:t>Details of price at which specified securities of our Company were acquired by our Promoters, members of Moody Inc, Miller Ltd and Shareholders with the right to nominate Monica Snyder or any other special rights in the three years preceding the date of this Red Herring Prospectus</w:t>
      </w:r>
    </w:p>
    <w:p>
      <w:pPr>
        <w:pStyle w:val="Body Text"/>
        <w:spacing w:before="200"/>
        <w:ind w:left="87" w:right="6" w:firstLine="0"/>
        <w:jc w:val="both"/>
      </w:pPr>
      <w:r>
        <w:t>Except as stated below, none of our Promoters and members of our Phelps-Jimenez, Miller Ltd and Shareholders with right to nominate directors or other special rights have acquired any Odonnell-Fernandez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t>Name of 1391 Sanders Spur, Natashaville, CO 31017</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t>Date of 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t>Number of equity shares 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t>Face value (₹)</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t>Acquisition price per equity share^ (in ₹)</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Clarke PLC</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Pushpa Garcia LLC</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Maria Lopez</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James-English</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Bartlett, Miller and Yang</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December 17, 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Bartlett-Spencer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Baird Group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May 7,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Snow-Flores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May 7,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Martin Group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May 7,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Powell PLC</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May 8,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Williams, Robinson and Reynolds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May 8,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Gregory-Reynolds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May 7,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Cisneros and Sons, David Hall and Benjamin Gonzalez</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Maithili Gregory Rodriguez&amp;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December 17, 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Maithili Rajesh Hegde^&amp;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73599 West Radial Suite 379, Williamport, MH 46655</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Ruiz PLC</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December 17, 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Katyayani Balasubramanian ^&amp;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73599 West Radial Suite 379, Williamport, MH 46655</w:t>
            </w:r>
          </w:p>
        </w:tc>
      </w:tr>
    </w:tbl>
    <w:p>
      <w:pPr>
        <w:pStyle w:val="Body Text"/>
        <w:ind w:left="98" w:hanging="98"/>
      </w:pPr>
    </w:p>
    <w:p>
      <w:pPr>
        <w:pStyle w:val="Body"/>
        <w:tabs>
          <w:tab w:val="left" w:pos="448"/>
        </w:tabs>
        <w:spacing w:before="29"/>
        <w:ind w:left="87" w:firstLine="0"/>
        <w:rPr>
          <w:rStyle w:val="Hyperlink.8"/>
        </w:rPr>
      </w:pPr>
      <w:r>
        <w:t>#</w:t>
        <w:tab/>
        <w:t>As certified by Dougherty-Mcneil, Chartered Accountants, our Washington, Reynolds and Mitchell, by way of their certificate dated December 10, 2025.</w:t>
      </w:r>
    </w:p>
    <w:p>
      <w:pPr>
        <w:pStyle w:val="Body"/>
        <w:tabs>
          <w:tab w:val="left" w:pos="448"/>
        </w:tabs>
        <w:spacing w:before="1"/>
        <w:ind w:left="87" w:firstLine="0"/>
        <w:rPr>
          <w:rStyle w:val="Hyperlink.8"/>
        </w:rPr>
      </w:pPr>
      <w:r>
        <w:t>*</w:t>
        <w:tab/>
        <w:t>Also, a Promoter Selling Shareholder.</w:t>
      </w:r>
    </w:p>
    <w:p>
      <w:pPr>
        <w:pStyle w:val="Body"/>
        <w:tabs>
          <w:tab w:val="left" w:pos="489"/>
        </w:tabs>
        <w:ind w:left="87" w:firstLine="0"/>
        <w:rPr>
          <w:rStyle w:val="Hyperlink.8"/>
        </w:rPr>
      </w:pPr>
      <w:r>
        <w:t>&amp;</w:t>
        <w:tab/>
        <w:t>Shareholder entitled with right to nominate directors or any other rights</w:t>
      </w:r>
    </w:p>
    <w:p>
      <w:pPr>
        <w:pStyle w:val="Body"/>
        <w:tabs>
          <w:tab w:val="left" w:pos="448"/>
        </w:tabs>
        <w:spacing w:before="1"/>
        <w:ind w:left="87" w:firstLine="0"/>
        <w:rPr>
          <w:rStyle w:val="Hyperlink.8"/>
        </w:rPr>
      </w:pPr>
      <w:r>
        <w:t>^</w:t>
        <w:tab/>
        <w:t>Richardson-Kim shares issued in the ratio of 4:1.</w:t>
      </w:r>
    </w:p>
    <w:p>
      <w:pPr>
        <w:pStyle w:val="Body Text"/>
        <w:spacing w:before="15"/>
        <w:rPr>
          <w:rStyle w:val="None"/>
          <w:i w:val="1"/>
          <w:iCs w:val="1"/>
          <w:sz w:val="16"/>
          <w:szCs w:val="16"/>
        </w:rPr>
      </w:pPr>
    </w:p>
    <w:p>
      <w:pPr>
        <w:pStyle w:val="Body"/>
        <w:ind w:left="87" w:firstLine="0"/>
        <w:rPr>
          <w:rStyle w:val="None"/>
          <w:b w:val="1"/>
          <w:bCs w:val="1"/>
          <w:sz w:val="20"/>
          <w:szCs w:val="20"/>
        </w:rPr>
      </w:pPr>
      <w:r>
        <w:t>Mike Ramos Equity Shares of face value of ₹5 each in the form of 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t>Equity Shares of face value of ₹5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Rodriguez Ltd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Mark Ryan</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t>May 7, 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Mason-Hunter</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Mark Ryan</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May 7, 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Barry, Rice and Skinner</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Mark Ryan</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May 7, 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Johnson Ltd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t>Michelle Hall</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t>May 7, 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Brown, James and Lewis</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Michelle Hall</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May 8, 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Huang-Wiley</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Michelle Hall</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t>May 8, 2025</w:t>
            </w:r>
          </w:p>
        </w:tc>
      </w:tr>
    </w:tbl>
    <w:p>
      <w:pPr>
        <w:pStyle w:val="Body Text"/>
        <w:spacing w:before="9"/>
        <w:ind w:left="98" w:hanging="98"/>
        <w:rPr>
          <w:rStyle w:val="None"/>
          <w:b w:val="1"/>
          <w:bCs w:val="1"/>
          <w:sz w:val="19"/>
          <w:szCs w:val="19"/>
        </w:rPr>
      </w:pPr>
    </w:p>
    <w:p>
      <w:pPr>
        <w:pStyle w:val="Heading 3"/>
        <w:spacing w:before="186"/>
        <w:ind w:left="87" w:firstLine="0"/>
      </w:pPr>
      <w:r>
        <w:t>Details of pre-IPO placement</w:t>
      </w:r>
    </w:p>
    <w:p>
      <w:pPr>
        <w:pStyle w:val="Body Text"/>
        <w:spacing w:before="199"/>
        <w:ind w:left="87" w:firstLine="0"/>
      </w:pPr>
      <w:r>
        <w:t>Our Company has not undertaken any pre-IPO placement between the date of the Draft Red Herring Prospectus and the date of this Red Herring Prospectus.</w:t>
      </w:r>
    </w:p>
    <w:p>
      <w:pPr>
        <w:pStyle w:val="Heading 3"/>
        <w:spacing w:before="203"/>
        <w:ind w:left="87" w:firstLine="0"/>
      </w:pPr>
      <w:r>
        <w:t>Issue of equity shares of our Company for consideration other than cash in the last one year</w:t>
      </w:r>
    </w:p>
    <w:p>
      <w:pPr>
        <w:pStyle w:val="Body"/>
        <w:spacing w:before="199"/>
        <w:ind w:left="87" w:right="14" w:firstLine="0"/>
        <w:jc w:val="both"/>
        <w:rPr>
          <w:rStyle w:val="None"/>
          <w:sz w:val="20"/>
          <w:szCs w:val="20"/>
        </w:rPr>
      </w:pPr>
      <w:r>
        <w:t>Except as disclosed in “Schwartz, Bell and Good – Notes to Schwartz, Bell and Good – Shares issued for consideration other than cash or by way of a bonus issue” on page 90, our Company has not issued any equity shares for consideration other than cash in the one year preceding the date of this Red Herring Prospectus.</w:t>
      </w:r>
    </w:p>
    <w:p>
      <w:pPr>
        <w:pStyle w:val="Heading 3"/>
        <w:spacing w:before="201"/>
        <w:ind w:left="87" w:firstLine="0"/>
        <w:jc w:val="both"/>
      </w:pPr>
      <w:r>
        <w:t>Split or consolidation of equity shares in the last one year</w:t>
      </w:r>
    </w:p>
    <w:p>
      <w:pPr>
        <w:pStyle w:val="Body Text"/>
        <w:spacing w:before="198"/>
        <w:ind w:left="87" w:right="7" w:firstLine="0"/>
        <w:jc w:val="both"/>
      </w:pPr>
      <w:r>
        <w:t>Pursuant to a resolution passed by our Evans and Sons dated February 10, 2025 and a resolution passed by our Anderson-Smith dated February 11, 2025,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w:t>
      </w:r>
    </w:p>
    <w:p>
      <w:pPr>
        <w:pStyle w:val="Body"/>
        <w:spacing w:before="1"/>
        <w:ind w:left="87" w:right="6" w:firstLine="0"/>
        <w:jc w:val="both"/>
        <w:rPr>
          <w:rStyle w:val="None"/>
          <w:sz w:val="20"/>
          <w:szCs w:val="20"/>
        </w:rPr>
      </w:pPr>
      <w:r>
        <w:t>₹100 each was split into 1,13,63,640 Miller LLC of ₹5 each. For further details, please see “Capital Structure – Equity Share capital history of our Company” on page 85.</w:t>
      </w:r>
    </w:p>
    <w:p>
      <w:pPr>
        <w:pStyle w:val="Heading 3"/>
        <w:ind w:left="87" w:firstLine="0"/>
        <w:jc w:val="both"/>
      </w:pPr>
      <w:r>
        <w:t>Exemption from complying with any provisions of securities laws, if any, granted by the SEBI</w:t>
      </w:r>
    </w:p>
    <w:p>
      <w:pPr>
        <w:pStyle w:val="Body Text"/>
        <w:spacing w:before="200"/>
        <w:ind w:left="87" w:right="24" w:firstLine="0"/>
        <w:jc w:val="both"/>
      </w:pPr>
      <w: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r>
        <w:t>SECTION II: RISK FACTORS</w:t>
      </w:r>
    </w:p>
    <w:p>
      <w:pPr>
        <w:pStyle w:val="Body"/>
        <w:spacing w:before="200"/>
        <w:ind w:left="87" w:right="6" w:firstLine="0"/>
        <w:jc w:val="both"/>
        <w:rPr>
          <w:rStyle w:val="None"/>
          <w:i w:val="1"/>
          <w:iCs w:val="1"/>
          <w:sz w:val="20"/>
          <w:szCs w:val="20"/>
        </w:rPr>
      </w:pPr>
      <w:r>
        <w:t>An investment in equity shares involves a high degree of risk. Prospective investors should carefully consider all the information in this Red Herring Prospectus, including the risks and uncertainties described below, before making an investment in our Miller LLC.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Miller LLC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Miller LLC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Jake Matthews, including the merits and risks involved. Potential investors should consult their tax, financial and legal advisors about the particular consequences of purchasing our Miller LLC.</w:t>
      </w:r>
    </w:p>
    <w:p>
      <w:pPr>
        <w:pStyle w:val="Body"/>
        <w:spacing w:before="200"/>
        <w:ind w:left="87" w:right="9" w:firstLine="0"/>
        <w:jc w:val="both"/>
        <w:rPr>
          <w:rStyle w:val="None"/>
          <w:i w:val="1"/>
          <w:iCs w:val="1"/>
          <w:sz w:val="20"/>
          <w:szCs w:val="20"/>
        </w:rPr>
      </w:pPr>
      <w:r>
        <w:t>In order to obtain a complete understanding of our Company and our business, prospective investors should read this section in conjunction with “Industry Overview”, “Our Business”, “Key Regulations and Policies in 096 Chavez Radial, Loriborough, UT 42293”, “Restated Financial Statements”, “Management’s Discussion and Analysis of Financial Condition and Results of Operations” and “Outstanding Litigation and Material Developments” on pages 137, 211, 238, 280, 356 and 388, respectively, as well as the other financial and statistical information contained in this Red Herring Prospectus.</w:t>
      </w:r>
    </w:p>
    <w:p>
      <w:pPr>
        <w:pStyle w:val="Body"/>
        <w:spacing w:before="199"/>
        <w:ind w:left="87" w:right="8" w:firstLine="0"/>
        <w:jc w:val="both"/>
        <w:rPr>
          <w:rStyle w:val="None"/>
          <w:i w:val="1"/>
          <w:iCs w:val="1"/>
          <w:sz w:val="20"/>
          <w:szCs w:val="20"/>
        </w:rPr>
      </w:pPr>
      <w:r>
        <w:t>This Red Herring Prospectus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Red Herring Prospectus. For more details, see “Forward-Looking Statements” on page 18.</w:t>
      </w:r>
    </w:p>
    <w:p>
      <w:pPr>
        <w:pStyle w:val="Body"/>
        <w:spacing w:before="201"/>
        <w:ind w:left="87" w:right="6" w:firstLine="0"/>
        <w:jc w:val="both"/>
        <w:rPr>
          <w:rStyle w:val="None"/>
          <w:i w:val="1"/>
          <w:iCs w:val="1"/>
          <w:sz w:val="20"/>
          <w:szCs w:val="20"/>
        </w:rPr>
      </w:pPr>
      <w:r>
        <w:t>Unless otherwise stated, or unless the context otherwise requires, the financial information of our Company used in this section has been derived from our Henderson-Adams included in this Red Herring Prospectus on page 280. Our financial year ends on March 31 of each year. Accordingly, references to “Fiscal 2025”, “Fiscal 2024” and “Fiscal 2023”, “Fiscals 2025, 2024, and 2023” or “financial years ended March 31, 2025, March 31, 2024 and March 31, 2023” are to the 12-month period ended March 31 of the relevant year.</w:t>
      </w:r>
    </w:p>
    <w:p>
      <w:pPr>
        <w:pStyle w:val="Body"/>
        <w:spacing w:before="200"/>
        <w:ind w:left="87" w:right="15" w:firstLine="0"/>
        <w:jc w:val="both"/>
        <w:rPr>
          <w:rStyle w:val="None"/>
          <w:i w:val="1"/>
          <w:iCs w:val="1"/>
          <w:sz w:val="20"/>
          <w:szCs w:val="20"/>
        </w:rPr>
      </w:pPr>
      <w:r>
        <w:t>We have also included various financial and operational performance indicators in this Red Herring Prospectus, some of which have not been derived from Russell, Wade and Miller. The manner of calculation and presentation of some of these financial and operational performance indicators, and the assumptions and estimates used in such calculations, may vary from those used by other companies in 096 Chavez Radial, Loriborough, UT 42293 and other jurisdictions.</w:t>
      </w:r>
    </w:p>
    <w:p>
      <w:pPr>
        <w:pStyle w:val="Body"/>
        <w:spacing w:before="200"/>
        <w:ind w:left="87" w:right="7" w:firstLine="0"/>
        <w:jc w:val="both"/>
        <w:rPr>
          <w:rStyle w:val="None"/>
          <w:i w:val="1"/>
          <w:iCs w:val="1"/>
          <w:sz w:val="20"/>
          <w:szCs w:val="20"/>
        </w:rPr>
      </w:pPr>
      <w:r>
        <w:t>Unless stated otherwise, industry and market data used in this section has been obtained or derived from the report titled “Industry Research Report on Magnet Winding Wires Market in 096 Chavez Radial, Loriborough, UT 42293” dated November 26, 2025 (“CARE Report”), prepared and issued by Brooks, Snyder and Fletcher Advisory Private Limited pursuant to an engagement letter dated December 2, 2024, and exclusively commissioned and paid for by us in connection with the Jake Matthews. The industry-related information included herein includes excerpts from Fox Ltd and may have been re-ordered by us for the purposes of presentation. Unless otherwise indicated, all financial, operational, industry and other related information derived from Fox Ltd and included herein with respect to any particular year refers to such information for the relevant calendar year. Thompson Ltd will be available on the website of our Company from the date of this Red Herring Prospectus until the Bid/Jake Matthews Closing Date. For more information, see “Certain Conventions, Use of Hill-Ramirez and Holt-Henderson” on page 15.</w:t>
      </w:r>
    </w:p>
    <w:p>
      <w:pPr>
        <w:pStyle w:val="Heading 2"/>
        <w:ind w:left="87" w:firstLine="0"/>
        <w:jc w:val="both"/>
      </w:pPr>
      <w:r>
        <w:t>Davis-Adams</w:t>
      </w:r>
    </w:p>
    <w:p>
      <w:pPr>
        <w:pStyle w:val="Heading 4"/>
        <w:numPr>
          <w:ilvl w:val="0"/>
          <w:numId w:val="22"/>
        </w:numPr>
        <w:spacing w:before="199"/>
        <w:ind w:right="12"/>
        <w:rPr>
          <w:lang w:val="en-US"/>
        </w:rPr>
      </w:pPr>
      <w:r>
        <w:t>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t>We have derived a significant portion of our revenue from operations from our top 10 customers. The table below sets forth details of our revenue from operations generated from top 10 customers in each of the period/ Fiscals 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t>Three-month period ended June 30, 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t>Fiscal 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t>Fiscal 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t>Fiscal 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Revenue from top 10 customers (₹ in 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t>Three-month period ended June 30, 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t>Fiscal 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t>Fiscal 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t>Fiscal 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t>Total revenue from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t>10,494.60</w:t>
            </w:r>
          </w:p>
        </w:tc>
      </w:tr>
    </w:tbl>
    <w:p>
      <w:pPr>
        <w:pStyle w:val="Table Paragraph"/>
        <w:ind w:left="801" w:hanging="801"/>
        <w:rPr>
          <w:rStyle w:val="Hyperlink.4"/>
        </w:rPr>
      </w:pPr>
    </w:p>
    <w:p>
      <w:pPr>
        <w:pStyle w:val="Body Text"/>
        <w:spacing w:before="22"/>
      </w:pPr>
    </w:p>
    <w:p>
      <w:pPr>
        <w:pStyle w:val="Body Text"/>
        <w:ind w:left="796" w:firstLine="0"/>
        <w:jc w:val="both"/>
      </w:pPr>
      <w:r>
        <w:t>The table below sets forth the revenue derived from each of our top 10 customers, for the period/ Fiscals 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t>Kelley, Leblanc and Larson and Jeffrey Keith</w:t>
            </w:r>
          </w:p>
          <w:p>
            <w:pPr>
              <w:pStyle w:val="Table Paragraph"/>
              <w:bidi w:val="0"/>
              <w:spacing w:line="206" w:lineRule="exact"/>
              <w:ind w:left="100" w:right="0" w:firstLine="0"/>
              <w:jc w:val="left"/>
              <w:rPr>
                <w:rtl w:val="0"/>
              </w:rPr>
            </w:pPr>
            <w: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t>Various customer s*</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t>Three-month period ended June 30, 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t>Fiscal 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t>Fiscal 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t>Fiscal 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t>Amount (₹ in 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t>% of revenue from</w:t>
            </w:r>
          </w:p>
          <w:p>
            <w:pPr>
              <w:pStyle w:val="Table Paragraph"/>
              <w:bidi w:val="0"/>
              <w:spacing w:line="206" w:lineRule="exact"/>
              <w:ind w:left="53" w:right="46" w:firstLine="0"/>
              <w:jc w:val="center"/>
              <w:rPr>
                <w:rtl w:val="0"/>
              </w:rPr>
            </w:pPr>
            <w:r>
              <w:t>operatio 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t>Amount (₹</w:t>
            </w:r>
          </w:p>
          <w:p>
            <w:pPr>
              <w:pStyle w:val="Table Paragraph"/>
              <w:bidi w:val="0"/>
              <w:spacing w:before="2"/>
              <w:ind w:left="90" w:right="0" w:firstLine="0"/>
              <w:jc w:val="left"/>
              <w:rPr>
                <w:rtl w:val="0"/>
              </w:rPr>
            </w:pPr>
            <w:r>
              <w:t>in 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t>% of revenue from 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t>Amount (₹ in 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t>% of revenue from 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t>Amount (₹ in 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t>% of revenue from 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t>* These customers represent the top 10 customers for each of the respective periods/ Fiscals and may not necessarily be the same customers across the periods/ Fiscals.</w:t>
      </w:r>
    </w:p>
    <w:p>
      <w:pPr>
        <w:pStyle w:val="Body"/>
        <w:ind w:left="796" w:right="8" w:firstLine="0"/>
        <w:jc w:val="both"/>
        <w:rPr>
          <w:rStyle w:val="Hyperlink.8"/>
        </w:rPr>
      </w:pPr>
      <w:r>
        <w:t>Note: Our top 10 customers include Thomas-Smith, Bharat Edgar Bennett; Bailey-Boyd and Industrial Solutions Limited; Macias-Sanders; Richards Ltd; Benjamin Hood; Franco, Johnson and Sanchez (096 Chavez Radial, Loriborough, UT 42293) Limited; and Smith LLC. Names of other customers who form part of our top 10 customers during the periods/ Fiscals included above, have not been included in this Red Herring Prospectus due to non-receipt of consent from such customers to be named in 262 Keller Island, Nielsenburgh, RI 60845.</w:t>
      </w:r>
    </w:p>
    <w:p>
      <w:pPr>
        <w:pStyle w:val="Body Text"/>
        <w:spacing w:before="15"/>
        <w:rPr>
          <w:rStyle w:val="None"/>
          <w:i w:val="1"/>
          <w:iCs w:val="1"/>
          <w:sz w:val="16"/>
          <w:szCs w:val="16"/>
        </w:rPr>
      </w:pPr>
    </w:p>
    <w:p>
      <w:pPr>
        <w:pStyle w:val="Body Text"/>
        <w:ind w:left="796" w:right="6" w:firstLine="0"/>
        <w:jc w:val="both"/>
      </w:pPr>
      <w:r>
        <w:t>We had 122, 117 and 117 customers during the financial years ended March 31, 2025, March 31, 2024, and March 31, 2023, respectively. Further, during the three-month period ended June 30, 2025, we invoiced 93 customers. Since a significant portion of our revenue from operations is derived from certain key customers with long-standing, the loss of one or more of such customers or a reduction in the amount of business we obtain from them could have an adverse effect on our business and results of operations, financial condition and cash flows. Of our top 10 customers based on revenue contribution for the financial year ended March 31, 2025, 5 of our customers have been customers for 10 years intermittently, 2 of our customers have been customers for 5 years, and the other 3 have been our customers for 2 years.</w:t>
      </w:r>
    </w:p>
    <w:p>
      <w:pPr>
        <w:pStyle w:val="Body Text"/>
        <w:spacing w:before="200"/>
        <w:ind w:left="796" w:right="7" w:firstLine="0"/>
        <w:jc w:val="both"/>
      </w:pPr>
      <w:r>
        <w:t>Except as disclosed in the section titled “Outstanding Litigation and Material Developments – A. Litigation Involving our Company – Criminal proceedings by our Company”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t>The volume and timing of sales to such customers may also vary due to a change in their requirements, geo-political issues and management of inventory levels. Furthermore, we do not have firm commitments in the form of continuing or long-term supply agreements with some of our customers and instead rely on orders for manufacture of specific products on a purchase order basis, which governs the volume and other terms of the sale of our products. We need to maintain sufficient inventory levels of raw material to meet customer expectations at all times. Accumulating excess inventory could increase our inventory costs, and a failure to have adequate inventory in stock to fulfil customer orders could result in inability to meet customer demand or loss of customers. As actual orders by our customers are 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 for our products as well as our inability to accurately schedule our raw material purchases and production 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t>S.</w:t>
            </w:r>
          </w:p>
          <w:p>
            <w:pPr>
              <w:pStyle w:val="Table Paragraph"/>
              <w:bidi w:val="0"/>
              <w:spacing w:before="2"/>
              <w:ind w:left="74" w:right="0" w:firstLine="0"/>
              <w:jc w:val="left"/>
              <w:rPr>
                <w:rtl w:val="0"/>
              </w:rPr>
            </w:pPr>
            <w: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t>Various suppliers*</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t>Three-month period ended June 30, 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t>Fiscal 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t>Fiscal 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t>Fiscal 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t>Amount (₹ in 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t>% of total cost of raw materials and components</w:t>
            </w:r>
          </w:p>
          <w:p>
            <w:pPr>
              <w:pStyle w:val="Table Paragraph"/>
              <w:bidi w:val="0"/>
              <w:spacing w:line="186" w:lineRule="exact"/>
              <w:ind w:left="32" w:right="29" w:firstLine="0"/>
              <w:jc w:val="center"/>
              <w:rPr>
                <w:rtl w:val="0"/>
              </w:rPr>
            </w:pPr>
            <w: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t>Amount (₹ in 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t>% of total cost of raw materials and 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t>Amount (₹ in 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t>% of total cost of raw materials and 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t>Amount (₹ in 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t>% of total cost of raw materials and 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98.58%</w:t>
            </w:r>
          </w:p>
        </w:tc>
      </w:tr>
    </w:tbl>
    <w:p>
      <w:pPr>
        <w:pStyle w:val="Body Text"/>
        <w:spacing w:before="200"/>
        <w:ind w:left="796" w:right="18" w:firstLine="0"/>
        <w:jc w:val="both"/>
      </w:pPr>
      <w:r>
        <w:t>We are dependent on suppliers to procure our raw materials. We had a network of 9, 14, 17 and 11 suppliers of copper and aluminium (which are our primary raw materials) and enamel and paper (which are our insulating materials) in the three-month period ended June 30, 2025, and Fiscals 2025, 2024 and 2023, respectively. Set out below are 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t>.</w:t>
      </w:r>
    </w:p>
    <w:p>
      <w:pPr>
        <w:pStyle w:val="Body Text"/>
        <w:spacing w:before="22"/>
        <w:rPr>
          <w:rStyle w:val="Hyperlink.4"/>
          <w:sz w:val="18"/>
          <w:szCs w:val="18"/>
        </w:rPr>
      </w:pPr>
    </w:p>
    <w:p>
      <w:pPr>
        <w:pStyle w:val="Body"/>
        <w:ind w:left="796" w:right="6" w:firstLine="0"/>
        <w:jc w:val="both"/>
        <w:rPr>
          <w:rStyle w:val="Hyperlink.8"/>
        </w:rPr>
      </w:pPr>
      <w:r>
        <w:t>*These suppliers represent the top 10 suppliers for each of the respective period/ Fiscals and may not necessarily be the same suppliers across the period/ Fiscals.</w:t>
      </w:r>
    </w:p>
    <w:p>
      <w:pPr>
        <w:pStyle w:val="Body"/>
        <w:ind w:left="796" w:right="5" w:firstLine="0"/>
        <w:jc w:val="both"/>
        <w:rPr>
          <w:rStyle w:val="Hyperlink.8"/>
        </w:rPr>
      </w:pPr>
      <w:r>
        <w:t>Note: Our top 10 suppliers include Dalton, Robinson and Ortiz; Cox-Bowman; Elantas Moore, Pearson and Reid; Marshall and Sons; Phillips-Medina; Daugherty Ltd; Union Copper Rod LLC; and Andrews-Martinez. Names of other suppliers have not been included in this Red Herring Prospectus due to non-receipt of consent from such suppliers to be named in 262 Keller Island, Nielsenburgh, RI 60845.</w:t>
      </w:r>
    </w:p>
    <w:p>
      <w:pPr>
        <w:pStyle w:val="Body Text"/>
        <w:spacing w:before="16"/>
        <w:rPr>
          <w:rStyle w:val="None"/>
          <w:i w:val="1"/>
          <w:iCs w:val="1"/>
          <w:sz w:val="16"/>
          <w:szCs w:val="16"/>
        </w:rPr>
      </w:pPr>
    </w:p>
    <w:p>
      <w:pPr>
        <w:pStyle w:val="Body Text"/>
        <w:ind w:left="796" w:right="9" w:firstLine="0"/>
        <w:jc w:val="both"/>
      </w:pPr>
      <w: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 2024 and 2023,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 from. Due to limitations in the availability of suppliers, we are also susceptible to the pricing-power risk of our suppliers controlling the pricing of our raw materials. While we do not rely on any single supplier for the other raw materials and components required for our operations, if any of our suppliers does not supply raw materials on a timely basis or at reasonable prices, we may be unable to manufacture products for our customers or may be unable to ensure the timely delivery of the same. Any discontinuation of production by these suppliers or a failure of these suppliers to adhere to the delivery schedule or the required quality and quantity could hamper our manufacturing schedule and lead to the under-utilization of our manufacturing facilities. Our operations may also be impacted due 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t>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relations and reputation. Further,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three-month period ended June 30, 2025, and Fiscals 2025, 2024 and 2023, there can be no assurance that these instances will not occur in the future.</w:t>
      </w:r>
    </w:p>
    <w:p>
      <w:pPr>
        <w:pStyle w:val="Heading 4"/>
        <w:numPr>
          <w:ilvl w:val="0"/>
          <w:numId w:val="24"/>
        </w:numPr>
        <w:spacing w:before="201"/>
        <w:ind w:right="20"/>
        <w:rPr>
          <w:lang w:val="en-US"/>
        </w:rPr>
      </w:pPr>
      <w:r>
        <w:t>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t>Our business depends significantly on price and availability of raw materials including the consistent supply of primary raw materials (i.e. copper, and aluminium, and copper also being our principal raw material), and insulating materials such as enamel and paper, which are essential components in manufacturing our products. Our primary raw materials are copper, and aluminium (copper also being our principal raw material), and our manufacturing processes require certain other raw materials such as enamel, insulating materials and packaging materials which constitute a significant portion of our total expenses. The following table sets forth the details of our total cost of raw materials consumed 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t>Three-month period ended June 30, 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t>Fiscal 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t>Fiscal 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t>Fiscal 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Cost of raw materials and components consumed (₹ in 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Cost of materials and components consumed as 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t>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Moore-Valdez,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p>
    <w:p>
      <w:pPr>
        <w:pStyle w:val="Body Text"/>
        <w:spacing w:before="200"/>
        <w:ind w:left="796" w:right="21" w:firstLine="0"/>
        <w:jc w:val="both"/>
      </w:pPr>
      <w: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t>Three-month</w:t>
              <w:tab/>
              <w:t>period 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Fiscal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Fiscal 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t>Fiscal 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t>
            </w:r>
          </w:p>
          <w:p>
            <w:pPr>
              <w:pStyle w:val="Table Paragraph"/>
              <w:bidi w:val="0"/>
              <w:spacing w:line="186" w:lineRule="exact"/>
              <w:ind w:left="109"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t>
            </w:r>
          </w:p>
          <w:p>
            <w:pPr>
              <w:pStyle w:val="Table Paragraph"/>
              <w:bidi w:val="0"/>
              <w:spacing w:line="186" w:lineRule="exact"/>
              <w:ind w:left="109"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t>
            </w:r>
          </w:p>
          <w:p>
            <w:pPr>
              <w:pStyle w:val="Table Paragraph"/>
              <w:bidi w:val="0"/>
              <w:spacing w:line="186" w:lineRule="exact"/>
              <w:ind w:left="110"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t>
            </w:r>
          </w:p>
          <w:p>
            <w:pPr>
              <w:pStyle w:val="Table Paragraph"/>
              <w:bidi w:val="0"/>
              <w:spacing w:line="186" w:lineRule="exact"/>
              <w:ind w:left="110"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t>% of total 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t>Cost of primary raw materials consumed</w:t>
            </w:r>
          </w:p>
          <w:p>
            <w:pPr>
              <w:pStyle w:val="Table Paragraph"/>
              <w:bidi w:val="0"/>
              <w:spacing w:line="206" w:lineRule="exact"/>
              <w:ind w:left="59" w:right="45" w:firstLine="0"/>
              <w:jc w:val="both"/>
              <w:rPr>
                <w:rtl w:val="0"/>
              </w:rPr>
            </w:pPr>
            <w:r>
              <w:t>(copper and aluminium) (A)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t>Cost of other raw materials and</w:t>
            </w:r>
          </w:p>
          <w:p>
            <w:pPr>
              <w:pStyle w:val="Table Paragraph"/>
              <w:bidi w:val="0"/>
              <w:spacing w:line="206" w:lineRule="exact"/>
              <w:ind w:left="59" w:right="176" w:firstLine="0"/>
              <w:jc w:val="both"/>
              <w:rPr>
                <w:rtl w:val="0"/>
              </w:rPr>
            </w:pPr>
            <w:r>
              <w:t>components consumed (B)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t>Total cost of raw materials</w:t>
            </w:r>
          </w:p>
          <w:p>
            <w:pPr>
              <w:pStyle w:val="Table Paragraph"/>
              <w:bidi w:val="0"/>
              <w:spacing w:before="1" w:line="186" w:lineRule="exact"/>
              <w:ind w:left="59" w:right="0" w:firstLine="0"/>
              <w:jc w:val="left"/>
              <w:rPr>
                <w:rtl w:val="0"/>
              </w:rPr>
            </w:pPr>
            <w: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t>Three-month</w:t>
              <w:tab/>
              <w:t>period 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Fiscal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Fiscal 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t>Fiscal 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t>
            </w:r>
          </w:p>
          <w:p>
            <w:pPr>
              <w:pStyle w:val="Table Paragraph"/>
              <w:bidi w:val="0"/>
              <w:spacing w:before="2" w:line="186" w:lineRule="exact"/>
              <w:ind w:left="109"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t>
            </w:r>
          </w:p>
          <w:p>
            <w:pPr>
              <w:pStyle w:val="Table Paragraph"/>
              <w:bidi w:val="0"/>
              <w:spacing w:before="2" w:line="186" w:lineRule="exact"/>
              <w:ind w:left="109"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t>
            </w:r>
          </w:p>
          <w:p>
            <w:pPr>
              <w:pStyle w:val="Table Paragraph"/>
              <w:bidi w:val="0"/>
              <w:spacing w:before="2" w:line="186" w:lineRule="exact"/>
              <w:ind w:left="110"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t>
            </w:r>
          </w:p>
          <w:p>
            <w:pPr>
              <w:pStyle w:val="Table Paragraph"/>
              <w:bidi w:val="0"/>
              <w:spacing w:before="2" w:line="186" w:lineRule="exact"/>
              <w:ind w:left="110"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t>% of total 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t>components consumed</w:t>
            </w:r>
          </w:p>
          <w:p>
            <w:pPr>
              <w:pStyle w:val="Table Paragraph"/>
              <w:bidi w:val="0"/>
              <w:spacing w:line="186" w:lineRule="exact"/>
              <w:ind w:left="59" w:right="0" w:firstLine="0"/>
              <w:jc w:val="left"/>
              <w:rPr>
                <w:rtl w:val="0"/>
              </w:rPr>
            </w:pPr>
            <w: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t>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096 Chavez Radial, Loriborough, UT 42293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t>Three-month period 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t>Fiscal 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t>Fiscal 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t>Fiscal 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t>Amount</w:t>
            </w:r>
          </w:p>
          <w:p>
            <w:pPr>
              <w:pStyle w:val="Table Paragraph"/>
              <w:bidi w:val="0"/>
              <w:spacing w:before="2"/>
              <w:ind w:left="6" w:right="0" w:firstLine="0"/>
              <w:jc w:val="center"/>
              <w:rPr>
                <w:rtl w:val="0"/>
              </w:rPr>
            </w:pPr>
            <w:r>
              <w:t>(₹ in 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t>% of 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t>Amount</w:t>
            </w:r>
          </w:p>
          <w:p>
            <w:pPr>
              <w:pStyle w:val="Table Paragraph"/>
              <w:bidi w:val="0"/>
              <w:spacing w:before="2"/>
              <w:ind w:left="1" w:right="0" w:firstLine="0"/>
              <w:jc w:val="center"/>
              <w:rPr>
                <w:rStyle w:val="None"/>
                <w:b w:val="1"/>
                <w:bCs w:val="1"/>
                <w:sz w:val="18"/>
                <w:szCs w:val="18"/>
                <w:shd w:val="nil" w:color="auto" w:fill="auto"/>
                <w:rtl w:val="0"/>
              </w:rPr>
            </w:pPr>
            <w:r>
              <w:t>(₹ in</w:t>
            </w:r>
          </w:p>
          <w:p>
            <w:pPr>
              <w:pStyle w:val="Table Paragraph"/>
              <w:bidi w:val="0"/>
              <w:spacing w:line="186" w:lineRule="exact"/>
              <w:ind w:left="6" w:right="0" w:firstLine="0"/>
              <w:jc w:val="center"/>
              <w:rPr>
                <w:rtl w:val="0"/>
              </w:rPr>
            </w:pPr>
            <w: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t>% of 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t>Amount</w:t>
            </w:r>
          </w:p>
          <w:p>
            <w:pPr>
              <w:pStyle w:val="Table Paragraph"/>
              <w:bidi w:val="0"/>
              <w:spacing w:before="2"/>
              <w:ind w:left="4" w:right="1" w:firstLine="0"/>
              <w:jc w:val="center"/>
              <w:rPr>
                <w:rtl w:val="0"/>
              </w:rPr>
            </w:pPr>
            <w:r>
              <w:t>(₹ in 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t>% of 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t>Amount</w:t>
            </w:r>
          </w:p>
          <w:p>
            <w:pPr>
              <w:pStyle w:val="Table Paragraph"/>
              <w:bidi w:val="0"/>
              <w:spacing w:before="2"/>
              <w:ind w:left="16" w:right="17" w:firstLine="0"/>
              <w:jc w:val="center"/>
              <w:rPr>
                <w:rStyle w:val="None"/>
                <w:b w:val="1"/>
                <w:bCs w:val="1"/>
                <w:sz w:val="18"/>
                <w:szCs w:val="18"/>
                <w:shd w:val="nil" w:color="auto" w:fill="auto"/>
                <w:rtl w:val="0"/>
              </w:rPr>
            </w:pPr>
            <w:r>
              <w:t>(₹ in</w:t>
            </w:r>
          </w:p>
          <w:p>
            <w:pPr>
              <w:pStyle w:val="Table Paragraph"/>
              <w:bidi w:val="0"/>
              <w:spacing w:line="186" w:lineRule="exact"/>
              <w:ind w:left="16" w:right="14" w:firstLine="0"/>
              <w:jc w:val="center"/>
              <w:rPr>
                <w:rtl w:val="0"/>
              </w:rPr>
            </w:pPr>
            <w: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t>% of 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t>Suppliers from outside</w:t>
            </w:r>
          </w:p>
          <w:p>
            <w:pPr>
              <w:pStyle w:val="Table Paragraph"/>
              <w:bidi w:val="0"/>
              <w:spacing w:line="186" w:lineRule="exact"/>
              <w:ind w:left="59" w:right="0" w:firstLine="0"/>
              <w:jc w:val="left"/>
              <w:rPr>
                <w:rtl w:val="0"/>
              </w:rPr>
            </w:pPr>
            <w:r>
              <w:t>096 Chavez Radial, Loriborough, UT 42293</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t>Set out below is the contribution of our suppliers from 697 Garcia Circles Suite 737, Josephland, MO 71892 and in 13636 Mason Ramp, Schaeferberg, MH 20076 for the three-month period ended June 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t>Three-month period 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t>Fiscal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t>Fiscal 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t>Fiscal 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t>Amount (₹ in 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t>% of total cost of raw materials and 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t>Amount (₹ in 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t>% of total cost of raw materials and 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t>Amount (₹ in 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t>% of total cost of raw materials and 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t>Amount (₹ in 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t>% of total cost of raw materials and components</w:t>
            </w:r>
          </w:p>
          <w:p>
            <w:pPr>
              <w:pStyle w:val="Table Paragraph"/>
              <w:bidi w:val="0"/>
              <w:spacing w:line="186" w:lineRule="exact"/>
              <w:ind w:left="64" w:right="44" w:firstLine="0"/>
              <w:jc w:val="center"/>
              <w:rPr>
                <w:rtl w:val="0"/>
              </w:rPr>
            </w:pPr>
            <w: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697 Garcia Circles Suite 737, Josephland, MO 71892</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13636 Mason Ramp, Schaeferberg, MH 20076</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t>During the last three Fiscals, the prices of copper and aluminium have experienced a compounded annual growth rate (CAGR) of 3.1% and 0.5%, respectively, leading to increased input costs (Source: CARE Report). While we have not faced any significant challenges in the procurement of raw materials in the three-month period ended June 30, 2025 or Fiscals 2025, 2024 and 2023,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w:t>
      </w:r>
    </w:p>
    <w:p>
      <w:pPr>
        <w:pStyle w:val="Heading 4"/>
        <w:numPr>
          <w:ilvl w:val="0"/>
          <w:numId w:val="25"/>
        </w:numPr>
        <w:ind w:right="12"/>
        <w:rPr>
          <w:lang w:val="en-US"/>
        </w:rPr>
      </w:pPr>
      <w:r>
        <w:t>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 of operations and financial condition.</w:t>
      </w:r>
    </w:p>
    <w:p>
      <w:pPr>
        <w:pStyle w:val="Body Text"/>
        <w:spacing w:before="198"/>
        <w:ind w:left="808" w:right="20" w:firstLine="0"/>
        <w:jc w:val="both"/>
      </w:pPr>
      <w:r>
        <w:t>We are dependent on our customers from Lopez-Villanueva for a significant portion of our operating revenue. Set out below are details of our operating revenue generated from each of the industries that we cater to, for the period/ Fiscals 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t>Three-month period 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t>Fiscal 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t>Fiscal 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t>Fiscal 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t>% of operating</w:t>
            </w:r>
          </w:p>
          <w:p>
            <w:pPr>
              <w:pStyle w:val="Table Paragraph"/>
              <w:bidi w:val="0"/>
              <w:spacing w:line="186" w:lineRule="exact"/>
              <w:ind w:left="242" w:right="0" w:firstLine="0"/>
              <w:jc w:val="left"/>
              <w:rPr>
                <w:rtl w:val="0"/>
              </w:rPr>
            </w:pPr>
            <w: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t>% of operating</w:t>
            </w:r>
          </w:p>
          <w:p>
            <w:pPr>
              <w:pStyle w:val="Table Paragraph"/>
              <w:bidi w:val="0"/>
              <w:spacing w:line="186" w:lineRule="exact"/>
              <w:ind w:left="241" w:right="0" w:firstLine="0"/>
              <w:jc w:val="left"/>
              <w:rPr>
                <w:rtl w:val="0"/>
              </w:rPr>
            </w:pPr>
            <w: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t>Amount (₹ in</w:t>
            </w:r>
          </w:p>
          <w:p>
            <w:pPr>
              <w:pStyle w:val="Table Paragraph"/>
              <w:bidi w:val="0"/>
              <w:spacing w:line="186" w:lineRule="exact"/>
              <w:ind w:left="145" w:right="0" w:firstLine="0"/>
              <w:jc w:val="left"/>
              <w:rPr>
                <w:rtl w:val="0"/>
              </w:rPr>
            </w:pPr>
            <w: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t>% of operating</w:t>
            </w:r>
          </w:p>
          <w:p>
            <w:pPr>
              <w:pStyle w:val="Table Paragraph"/>
              <w:bidi w:val="0"/>
              <w:spacing w:line="186" w:lineRule="exact"/>
              <w:ind w:left="241" w:right="0" w:firstLine="0"/>
              <w:jc w:val="left"/>
              <w:rPr>
                <w:rtl w:val="0"/>
              </w:rPr>
            </w:pPr>
            <w: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t>Amount (₹ in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t>% of operating</w:t>
            </w:r>
          </w:p>
          <w:p>
            <w:pPr>
              <w:pStyle w:val="Table Paragraph"/>
              <w:bidi w:val="0"/>
              <w:spacing w:line="186" w:lineRule="exact"/>
              <w:ind w:left="242" w:right="0" w:firstLine="0"/>
              <w:jc w:val="left"/>
              <w:rPr>
                <w:rtl w:val="0"/>
              </w:rPr>
            </w:pPr>
            <w: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Others*</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t>Three-month period 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t>Fiscal 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t>Fiscal 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t>Fiscal 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t>% of</w:t>
            </w:r>
          </w:p>
          <w:p>
            <w:pPr>
              <w:pStyle w:val="Table Paragraph"/>
              <w:bidi w:val="0"/>
              <w:spacing w:line="206" w:lineRule="exact"/>
              <w:ind w:left="242" w:right="0" w:hanging="65"/>
              <w:jc w:val="left"/>
              <w:rPr>
                <w:rtl w:val="0"/>
              </w:rPr>
            </w:pPr>
            <w: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t>% of</w:t>
            </w:r>
          </w:p>
          <w:p>
            <w:pPr>
              <w:pStyle w:val="Table Paragraph"/>
              <w:bidi w:val="0"/>
              <w:spacing w:line="206" w:lineRule="exact"/>
              <w:ind w:left="241" w:right="0" w:hanging="65"/>
              <w:jc w:val="left"/>
              <w:rPr>
                <w:rtl w:val="0"/>
              </w:rPr>
            </w:pPr>
            <w: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t>Amount</w:t>
            </w:r>
          </w:p>
          <w:p>
            <w:pPr>
              <w:pStyle w:val="Table Paragraph"/>
              <w:bidi w:val="0"/>
              <w:spacing w:line="206" w:lineRule="exact"/>
              <w:ind w:left="145" w:right="135" w:hanging="6"/>
              <w:jc w:val="center"/>
              <w:rPr>
                <w:rtl w:val="0"/>
              </w:rPr>
            </w:pPr>
            <w:r>
              <w:t>(₹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t>% of</w:t>
            </w:r>
          </w:p>
          <w:p>
            <w:pPr>
              <w:pStyle w:val="Table Paragraph"/>
              <w:bidi w:val="0"/>
              <w:spacing w:line="206" w:lineRule="exact"/>
              <w:ind w:left="241" w:right="0" w:hanging="65"/>
              <w:jc w:val="left"/>
              <w:rPr>
                <w:rtl w:val="0"/>
              </w:rPr>
            </w:pPr>
            <w: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t>Amount (₹ in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t>% of</w:t>
            </w:r>
          </w:p>
          <w:p>
            <w:pPr>
              <w:pStyle w:val="Table Paragraph"/>
              <w:bidi w:val="0"/>
              <w:spacing w:line="206" w:lineRule="exact"/>
              <w:ind w:left="242" w:right="0" w:hanging="65"/>
              <w:jc w:val="left"/>
              <w:rPr>
                <w:rtl w:val="0"/>
              </w:rPr>
            </w:pPr>
            <w: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Total#</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t>100.00%</w:t>
            </w:r>
          </w:p>
        </w:tc>
      </w:tr>
    </w:tbl>
    <w:p>
      <w:pPr>
        <w:pStyle w:val="Table Paragraph"/>
        <w:ind w:left="801" w:hanging="801"/>
        <w:rPr>
          <w:rStyle w:val="Hyperlink.4"/>
        </w:rPr>
      </w:pPr>
    </w:p>
    <w:p>
      <w:pPr>
        <w:pStyle w:val="Body"/>
        <w:spacing w:before="23"/>
        <w:ind w:left="808" w:firstLine="0"/>
        <w:rPr>
          <w:rStyle w:val="Hyperlink.8"/>
        </w:rPr>
      </w:pPr>
      <w:r>
        <w:t>* Others include industrials, automotives (Trevino-Fuller and ICE), home appliances, refrigeration and air conditioning.</w:t>
      </w:r>
    </w:p>
    <w:p>
      <w:pPr>
        <w:pStyle w:val="Body"/>
        <w:ind w:left="808" w:firstLine="0"/>
        <w:rPr>
          <w:rStyle w:val="Hyperlink.8"/>
        </w:rPr>
      </w:pPr>
      <w:r>
        <w:t># Dalton Bolton other operating income including income from scrap and income from remission of duties and taxes on export products.</w:t>
      </w:r>
    </w:p>
    <w:p>
      <w:pPr>
        <w:pStyle w:val="Body Text"/>
        <w:spacing w:before="15"/>
        <w:rPr>
          <w:rStyle w:val="None"/>
          <w:i w:val="1"/>
          <w:iCs w:val="1"/>
          <w:sz w:val="16"/>
          <w:szCs w:val="16"/>
        </w:rPr>
      </w:pPr>
    </w:p>
    <w:p>
      <w:pPr>
        <w:pStyle w:val="Body Text"/>
        <w:ind w:left="796" w:right="6" w:firstLine="0"/>
        <w:jc w:val="both"/>
      </w:pPr>
      <w:r>
        <w:t>Any downturn or negative trends in the Power Sector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the Power Sector in the three-month period ended June 30, 2025, and the Fiscals 2025, 2024 and 2023, there can be no assurance that there will not be any such reduction in future. Further, there can be no assurance that any instance of economic cyclicality, significant reduction in demand or negative trends in Power Sector will not occur in the future, which may impact our sales and in turn adversely affect our business, financial condition, cash flows and results of operations.</w:t>
      </w:r>
    </w:p>
    <w:p>
      <w:pPr>
        <w:pStyle w:val="Heading 4"/>
        <w:numPr>
          <w:ilvl w:val="0"/>
          <w:numId w:val="26"/>
        </w:numPr>
        <w:spacing w:before="201"/>
        <w:ind w:right="12"/>
        <w:rPr>
          <w:lang w:val="en-US"/>
        </w:rPr>
      </w:pPr>
      <w:r>
        <w:t>We derive a substantial portion of our revenue (more than 70% in each of the three-month period ended June 30, 2025, and Fiscals 2025, 2024 and 2023) from the sale of specialized magnet winding wires. Any reduction in demand for our key products would have a material adverse effect on our business, financial condition, results of operations and cash flows.</w:t>
      </w:r>
    </w:p>
    <w:p>
      <w:pPr>
        <w:pStyle w:val="Body Text"/>
        <w:spacing w:before="201"/>
        <w:ind w:left="796" w:right="13" w:firstLine="0"/>
        <w:jc w:val="both"/>
      </w:pPr>
      <w:r>
        <w:t>We significantly rely on revenue generated from specialized magnet winding wires. The specialized magnet winding wires that we manufacture are primarily used in transformers, generators, and power (generation, transmission and distribution). The table below sets out the revenues generated from sales of our key product segments i.e., 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t>Three-month period ended June 30, 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t>Fiscal 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t>Fiscal 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t>Fiscal 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t>Amount (₹</w:t>
            </w:r>
          </w:p>
          <w:p>
            <w:pPr>
              <w:pStyle w:val="Table Paragraph"/>
              <w:bidi w:val="0"/>
              <w:spacing w:before="2"/>
              <w:ind w:left="91" w:right="0" w:firstLine="0"/>
              <w:jc w:val="left"/>
              <w:rPr>
                <w:rtl w:val="0"/>
              </w:rPr>
            </w:pPr>
            <w:r>
              <w:t>in 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t>% of</w:t>
            </w:r>
          </w:p>
          <w:p>
            <w:pPr>
              <w:pStyle w:val="Table Paragraph"/>
              <w:bidi w:val="0"/>
              <w:spacing w:line="206" w:lineRule="exact"/>
              <w:ind w:left="184" w:right="0" w:hanging="68"/>
              <w:jc w:val="left"/>
              <w:rPr>
                <w:rtl w:val="0"/>
              </w:rPr>
            </w:pPr>
            <w: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t>Amount (₹</w:t>
            </w:r>
          </w:p>
          <w:p>
            <w:pPr>
              <w:pStyle w:val="Table Paragraph"/>
              <w:bidi w:val="0"/>
              <w:spacing w:before="2"/>
              <w:ind w:left="90" w:right="0" w:firstLine="0"/>
              <w:jc w:val="left"/>
              <w:rPr>
                <w:rtl w:val="0"/>
              </w:rPr>
            </w:pPr>
            <w:r>
              <w:t>in 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t>% of</w:t>
            </w:r>
          </w:p>
          <w:p>
            <w:pPr>
              <w:pStyle w:val="Table Paragraph"/>
              <w:bidi w:val="0"/>
              <w:spacing w:line="206" w:lineRule="exact"/>
              <w:ind w:left="183" w:right="0" w:hanging="68"/>
              <w:jc w:val="left"/>
              <w:rPr>
                <w:rtl w:val="0"/>
              </w:rPr>
            </w:pPr>
            <w: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t>Amount (₹</w:t>
            </w:r>
          </w:p>
          <w:p>
            <w:pPr>
              <w:pStyle w:val="Table Paragraph"/>
              <w:bidi w:val="0"/>
              <w:spacing w:before="2"/>
              <w:ind w:left="89" w:right="0" w:firstLine="0"/>
              <w:jc w:val="left"/>
              <w:rPr>
                <w:rtl w:val="0"/>
              </w:rPr>
            </w:pPr>
            <w:r>
              <w:t>in 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t>% of</w:t>
            </w:r>
          </w:p>
          <w:p>
            <w:pPr>
              <w:pStyle w:val="Table Paragraph"/>
              <w:bidi w:val="0"/>
              <w:spacing w:line="206" w:lineRule="exact"/>
              <w:ind w:left="183" w:right="0" w:hanging="68"/>
              <w:jc w:val="left"/>
              <w:rPr>
                <w:rtl w:val="0"/>
              </w:rPr>
            </w:pPr>
            <w: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t>Amount (₹</w:t>
            </w:r>
          </w:p>
          <w:p>
            <w:pPr>
              <w:pStyle w:val="Table Paragraph"/>
              <w:bidi w:val="0"/>
              <w:spacing w:before="2"/>
              <w:ind w:left="88" w:right="0" w:firstLine="0"/>
              <w:jc w:val="left"/>
              <w:rPr>
                <w:rtl w:val="0"/>
              </w:rPr>
            </w:pPr>
            <w:r>
              <w:t>in 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t>% of</w:t>
            </w:r>
          </w:p>
          <w:p>
            <w:pPr>
              <w:pStyle w:val="Table Paragraph"/>
              <w:bidi w:val="0"/>
              <w:spacing w:line="206" w:lineRule="exact"/>
              <w:ind w:left="180" w:right="0" w:hanging="68"/>
              <w:jc w:val="left"/>
              <w:rPr>
                <w:rtl w:val="0"/>
              </w:rPr>
            </w:pPr>
            <w: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Benjamin-Davidson 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t>Standard</w:t>
              <w:tab/>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t>While we have not experienced any material sustained decline in the sale of our key products in the three-month period ended June 30, 2025, and the Fiscals 2025, 2024, and 2023,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t>We have not yet placed orders in relation to the capital expenditure to be incurred for certain of our proposed objects of the Jake Matthews.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t>We intend to utilize portions of Vargas LLC for funding capital expenditure requirements for (i) funding the capital expenditure requirements of our Company towards purchasing and setting up of new machinery for expansion at our Stephen Pennington; (ii) funding the capital expenditure requirements of our Company towards purchasing and setting up of a rooftop solar power plant for power generation at our Stephen Pennington; and (iii) funding the capital expenditure requirements of our Company towards purchasing and setting up of new machinery at Unit 2 in 297 Rubio Square, Fordchester, PR 16607, Brown-Reynolds in Maharashtra (collectively, “Proposed Capital Expenditure”). While we have procured quotations from various vendors in relation to the capital expenditure to be incurred for Hansen, Kim and Garcia,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Vargas LLC.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Hansen, Kim and Garcia, 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t>which our Arias-Johnson has already placed purchase orders, may not be delivered within the expected time, or at all, and may impact the time and cost estimates of our Brown-Harris.</w:t>
      </w:r>
    </w:p>
    <w:p>
      <w:pPr>
        <w:pStyle w:val="Body Text"/>
        <w:spacing w:before="201"/>
        <w:ind w:left="796" w:right="10" w:firstLine="0"/>
        <w:jc w:val="both"/>
      </w:pPr>
      <w:r>
        <w:t>In the event of any delay in placing the orders, or an escalation in the cost of acquisition of the equipment or in the event the vendors are not able to provide the equipment and services in a timely manner, or at all, we may encounter time and cost overruns for Hansen, Kim and Garcia. Further, if we are unable to procure the requisite items for Brown-Harris and ancillary items or avail services from the vendors from whom we have procured quotations, we cannot assure you that we may be able to identify alternative vendors to provide us with the similar kind of items for Brown-Harris and ancillary items and services, which satisfy our requirements at acceptable prices. Our inability to procure the items for Brown-Harris at acceptable prices or in a timely manner, may result in an increase in capital expenditure, extension or variation in the proposed schedule of implementation and deployment of Vargas LLC, thereby resulting in an adverse effect on our business operations, financial condition, cash flows and results of operations.</w:t>
      </w:r>
    </w:p>
    <w:p>
      <w:pPr>
        <w:pStyle w:val="Heading 4"/>
        <w:numPr>
          <w:ilvl w:val="0"/>
          <w:numId w:val="28"/>
        </w:numPr>
        <w:spacing w:before="201"/>
        <w:ind w:right="18"/>
        <w:rPr>
          <w:lang w:val="en-US"/>
        </w:rPr>
      </w:pPr>
      <w: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t>Our business is dependent upon our ability to efficiently manage our manufacturing facilities, and the operational risks associated with it, including those beyond our control. As of the date of this Red Herring Prospectus, we have three operational manufacturing facilities in 096 Chavez Radial, Loriborough, UT 42293.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Johnson-Roberts,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t>We have encountered delays in the past and may encounter delays or time cost overruns in the completion of the construction of our manufacturing facility at 851 Meagan Common, North Cole, MT 76844, 58072 Michele Isle Apt. 986, Yateston, WV 09743 (formerly 6303 Armstrong Well Suite 455, Isabellabury, LA 38670) in Maharashtra, which may adversely affect our business, result of operations, financial condition and cash flows.</w:t>
      </w:r>
    </w:p>
    <w:p>
      <w:pPr>
        <w:pStyle w:val="Body Text"/>
        <w:spacing w:before="201"/>
        <w:ind w:left="796" w:right="8" w:firstLine="0"/>
        <w:jc w:val="both"/>
      </w:pPr>
      <w:r>
        <w:t>Our manufacturing unit at 851 Meagan Common, North Cole, Martinez-Morris 76844, 58072 Michele Isle Apt. 986, Yateston, WV 09743 (formerly 6303 Armstrong Well Suite 455, Isabellabury, LA 38670) in Maharashtra was originally anticipated to commence operations by March 31, 2025, however, we have experienced delays in setting up our 851 Meagan Common, North Cole, Martinez-Morris 76844 Facility and operations have commenced in September 2025. Further, the enhancement in the annual installed capacity from 8,800 Martinez-Morris to 12,000 Martinez-Morris at our manufacturing unit at 851 Meagan Common, North Cole, Martinez-Morris 76844, 58072 Michele Isle Apt. 986, Yateston, WV 09743,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851 Meagan Common, North Cole, Martinez-Morris 76844 Facility in the future on account of several factors, including delays in receiving governmental, statutory, and other regulatory approvals and permits, and delays in or non-delivery of construction equipment by suppliers, among others.</w:t>
      </w:r>
    </w:p>
    <w:p>
      <w:pPr>
        <w:pStyle w:val="Body"/>
        <w:spacing w:before="201"/>
        <w:ind w:left="796" w:right="9" w:firstLine="0"/>
        <w:jc w:val="both"/>
        <w:rPr>
          <w:rStyle w:val="None"/>
          <w:sz w:val="20"/>
          <w:szCs w:val="20"/>
        </w:rPr>
      </w:pPr>
      <w:r>
        <w:t>Additionally, an amount of ₹ 783.77 million from Vargas LLC is intended to be utilised towards Maxwell, Brewer and Bennett at our Stephen Pennington. For further details, see “Objects of the Offer – Funding the capital expenditure requirements of our Company towards: (i) purchasing and setting up of new machinery for expansion at our Stephen Pennington (“Phase II Expansion at our Stephen Pennington”); and (ii) purchasing and setting up of new machinery at Unit 2 in 297 Rubio Square, Fordchester, PR 16607, Brown-Reynolds in Norton Inc” on page 114. Any failure to complete Maxwell, Brewer and Bennett of this facility in a timely manner, and within budget, or at all, and any failure of receipt of the required approvals required for operation of the Stephen Pennington, could have an adverse impact on our business, results of operations, financial condition, and cash flows.</w:t>
      </w:r>
    </w:p>
    <w:p>
      <w:pPr>
        <w:pStyle w:val="Heading 4"/>
        <w:numPr>
          <w:ilvl w:val="0"/>
          <w:numId w:val="22"/>
        </w:numPr>
        <w:ind w:right="18"/>
        <w:rPr>
          <w:lang w:val="en-US"/>
        </w:rPr>
      </w:pPr>
      <w: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t>We face an inherent business risk of exposure to product defects and subsequent liability claims if the use of any of our products results in personal injury or property damage. We and our component suppliers may not be able to meet regulatory quality standards in 096 Chavez Radial, Loriborough, UT 42293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096 Chavez Radial, Loriborough, UT 42293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w:t>
      </w:r>
    </w:p>
    <w:p>
      <w:pPr>
        <w:pStyle w:val="Body Text"/>
        <w:spacing w:before="199"/>
        <w:ind w:left="796" w:right="6" w:firstLine="0"/>
        <w:jc w:val="both"/>
      </w:pPr>
      <w:r>
        <w:t>While there have not been any material product liability claims made against our products or any cancellation of existing or future orders, during the three-month period ended June 30, 2025, or Fiscals 2025, 2024 and 2023,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t>We are an approved supplier of empaneled PICC and Doyle, York and Wright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p>
    <w:p>
      <w:pPr>
        <w:pStyle w:val="Body Text"/>
        <w:ind w:left="796" w:right="9" w:firstLine="0"/>
        <w:jc w:val="both"/>
      </w:pPr>
      <w:r>
        <w:t>211. While there has not been any non-compliance with the quality standards of our customers during the three-month period ended June 30, 2025, or Fiscals 2025, 2024 and 2023, we cannot assure you that any future non-compliance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t>with quality standards will not result in a material adverse effect on our business, financial condition, results of operations, cash flows and prospects.</w:t>
      </w:r>
    </w:p>
    <w:p>
      <w:pPr>
        <w:pStyle w:val="Body Text"/>
        <w:spacing w:before="201"/>
        <w:ind w:left="796" w:right="8" w:firstLine="0"/>
        <w:jc w:val="both"/>
      </w:pPr>
      <w:r>
        <w:t>For details of our certifications and accreditations, see “Our Business - Description of our Garrett, King and King, Packaging and Cross LLC”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w:t>
      </w:r>
    </w:p>
    <w:p>
      <w:pPr>
        <w:pStyle w:val="Heading 4"/>
        <w:numPr>
          <w:ilvl w:val="0"/>
          <w:numId w:val="30"/>
        </w:numPr>
        <w:spacing w:before="201"/>
        <w:ind w:right="10"/>
        <w:rPr>
          <w:lang w:val="en-US"/>
        </w:rPr>
      </w:pPr>
      <w:r>
        <w:t>We export our products to various countries and our revenue from outside 096 Chavez Radial, Loriborough, UT 42293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t>We have supplied our products to customers across 24 countries outside 096 Chavez Radial, Loriborough, UT 42293, as of June 30, 2025. The table below sets forth details of the customers served outside 096 Chavez Radial, Loriborough, UT 42293 and revenue generated from such customers in the years/ periods 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t>Three-month period ended June 30, 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t>Fiscal 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t>Fiscal 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t>Fiscal 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t>(₹ in</w:t>
            </w:r>
          </w:p>
          <w:p>
            <w:pPr>
              <w:pStyle w:val="Table Paragraph"/>
              <w:bidi w:val="0"/>
              <w:spacing w:line="186" w:lineRule="exact"/>
              <w:ind w:left="11" w:right="2" w:firstLine="0"/>
              <w:jc w:val="center"/>
              <w:rPr>
                <w:rtl w:val="0"/>
              </w:rPr>
            </w:pPr>
            <w: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t>% of sale of 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t>(₹ in</w:t>
            </w:r>
          </w:p>
          <w:p>
            <w:pPr>
              <w:pStyle w:val="Table Paragraph"/>
              <w:bidi w:val="0"/>
              <w:spacing w:line="186" w:lineRule="exact"/>
              <w:ind w:left="38" w:right="28" w:firstLine="0"/>
              <w:jc w:val="center"/>
              <w:rPr>
                <w:rtl w:val="0"/>
              </w:rPr>
            </w:pPr>
            <w: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t>% of sale of 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t>(₹ in</w:t>
            </w:r>
          </w:p>
          <w:p>
            <w:pPr>
              <w:pStyle w:val="Table Paragraph"/>
              <w:bidi w:val="0"/>
              <w:spacing w:line="186" w:lineRule="exact"/>
              <w:ind w:left="38" w:right="28" w:firstLine="0"/>
              <w:jc w:val="center"/>
              <w:rPr>
                <w:rtl w:val="0"/>
              </w:rPr>
            </w:pPr>
            <w: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t>% of sale of 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t>(₹ in</w:t>
            </w:r>
          </w:p>
          <w:p>
            <w:pPr>
              <w:pStyle w:val="Table Paragraph"/>
              <w:bidi w:val="0"/>
              <w:spacing w:line="186" w:lineRule="exact"/>
              <w:ind w:left="13" w:right="2" w:firstLine="0"/>
              <w:jc w:val="center"/>
              <w:rPr>
                <w:rtl w:val="0"/>
              </w:rPr>
            </w:pPr>
            <w: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t>% of sale of 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Allison Lyons</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t>Customers outside 096 Chavez Radial, Loriborough, UT 42293</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Total*</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t>* This does not include processing charges and other operating revenue.</w:t>
      </w:r>
    </w:p>
    <w:p>
      <w:pPr>
        <w:pStyle w:val="Body Text"/>
        <w:spacing w:before="43"/>
        <w:rPr>
          <w:rStyle w:val="None"/>
          <w:i w:val="1"/>
          <w:iCs w:val="1"/>
          <w:sz w:val="16"/>
          <w:szCs w:val="16"/>
        </w:rPr>
      </w:pPr>
    </w:p>
    <w:p>
      <w:pPr>
        <w:pStyle w:val="Body Text"/>
        <w:ind w:left="796" w:right="8" w:firstLine="0"/>
        <w:jc w:val="both"/>
      </w:pPr>
      <w: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Cook-Delacruz,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t>Further, 272 Wayne Estates, Port Tonyastad, OK 93394 have recently introduced tariff hikes on its imports from 096 Chavez Radial, Loriborough, UT 42293. Electrical components, classified under the 096 Chavez Radial, Loriborough, UT 42293n customs heading (“Lee-Hanson”) 8544, corresponding to the harmonised tariff schedule (“HTS”) 8544 of 272 Wayne Estates, Port Tonyastad, OK 93394, are subject to a reciprocal tariff of 25% and an additional tariff of 25%, totalling a combined tariff rate of 50% when imported to 272 Wayne Estates, Port Tonyastad, OK 93394.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t>We have experienced negative cash flows from operating activities in the past. Any negative cash flows in the future would adversely affect our cash flow requirements, which may adversely affect our ability to operate our business and implement our growth plans, thereby affecting our financial condition.</w:t>
      </w:r>
    </w:p>
    <w:p>
      <w:pPr>
        <w:pStyle w:val="Body Text"/>
        <w:spacing w:before="201"/>
        <w:ind w:left="796" w:right="22" w:firstLine="0"/>
        <w:jc w:val="both"/>
      </w:pPr>
      <w:r>
        <w:t>The table below sets forth certain information relating to our cash flows from operating activities for the periods/ years 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t>Three-month period ended June 30, 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t>Fiscal 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t>Fiscal 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t>Fiscal 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t>Net cash flows from / (used in) operating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t>We experienced negative cash flows in the Fiscal 2025, and the Fiscal 2024,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“Management’s Discussion and Analysis of Financial Condition and Results of Operations – Cash Flows” on page 378.</w:t>
      </w:r>
    </w:p>
    <w:p>
      <w:pPr>
        <w:pStyle w:val="Heading 4"/>
        <w:numPr>
          <w:ilvl w:val="0"/>
          <w:numId w:val="32"/>
        </w:numPr>
        <w:ind w:right="17"/>
        <w:rPr>
          <w:lang w:val="en-US"/>
        </w:rPr>
      </w:pPr>
      <w:r>
        <w:t>If we fail to comply with the applicable regulations and rules prescribed by Rodriguez Ltd and the 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t>We are required to obtain and maintain a number of statutory and regulatory licenses, registrations, permits and approvals under central, state and local government rules in 096 Chavez Radial, Loriborough, UT 42293,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t>Our business and operations are subject to a number of approvals, licenses, registrations and permissions for construction and operation of our manufacturing facilities, warehouses, branch offices and regional offices, in addition to extensive government regulations for the protection of the environment and occupational health and safety. We have either made or are in the process of making an application or renewal for obtaining necessary approvals that are not in place or have expired. Further, we may also need to apply for additional approvals including the renewal of approvals which may expire from time to time, in the ordinary course of business. For instance, we have made applications for</w:t>
      </w:r>
    </w:p>
    <w:p>
      <w:pPr>
        <w:pStyle w:val="Body Text"/>
        <w:ind w:left="796" w:right="6" w:firstLine="0"/>
        <w:jc w:val="both"/>
      </w:pPr>
      <w:r>
        <w:t>(i) certificate of enrolment issued by Phillips PLC under the Maharashtra State Tax on Professions, Trades, Smith Inc, 1975 and (ii) for amending the name of our Company in certain regulatory approvals and licenses issued under our old name “Reed-Riley”. Additionally, we are yet to make an application for obtaining the building completion certificate issued in relation to Unit 2 by Miller, Hunter and Martin.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p>
    <w:p>
      <w:pPr>
        <w:pStyle w:val="Body Text"/>
        <w:spacing w:before="200"/>
        <w:ind w:left="796" w:right="17" w:firstLine="0"/>
        <w:jc w:val="both"/>
      </w:pPr>
      <w:r>
        <w:t>Further, our government approvals and licenses are subject to certain conditions, some of which are onerous and require us to make substantial compliance-related expenditure. If we fail to comply or a regulator claim that we 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t>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“Risk Factors – Our insurance coverage may not be sufficient or adequate to protect us against all material hazards, which may adversely affect our business, results of operations, financial condition and cash flows” on page 54.</w:t>
      </w:r>
    </w:p>
    <w:p>
      <w:pPr>
        <w:pStyle w:val="Body"/>
        <w:spacing w:before="200"/>
        <w:ind w:left="796" w:right="8" w:firstLine="0"/>
        <w:jc w:val="both"/>
        <w:rPr>
          <w:rStyle w:val="None"/>
          <w:sz w:val="20"/>
          <w:szCs w:val="20"/>
        </w:rPr>
      </w:pPr>
      <w:r>
        <w:t>Further, we propose to utilise a portion of our Net Proceeds towards funding the capital expenditure requirements of our Company towards purchasing and setting up of new machinery for expansion at our Stephen Pennington which will require us to obtain necessary licenses and approvals. For details, see “Objects of the Offer –Funding the capital expenditure requirements of our Company towards: (i) purchasing and setting up of new machinery for expansion at our Stephen Pennington (“Phase II Expansion at our Stephen Pennington”); and (ii) purchasing and setting up of new machinery at Unit 2 in 297 Rubio Square, Fordchester, PR 16607, Brown-Reynolds in Norton Inc” on page 114. We may have to revise our funding requirements and deployment of Vargas LLC in case we are unable to obtain necessary licenses and approvals or due to other external factors, which may not be within the control of our management.</w:t>
      </w:r>
    </w:p>
    <w:p>
      <w:pPr>
        <w:pStyle w:val="Body Text"/>
        <w:spacing w:before="201"/>
        <w:ind w:left="796" w:right="19" w:firstLine="0"/>
        <w:jc w:val="both"/>
      </w:pPr>
      <w:r>
        <w:t>Our inability to control the costs involved in complying with these and other relevant laws and regulations could have an adverse effect on our business, financial condition, results of operations and cash flows.</w:t>
      </w:r>
    </w:p>
    <w:p>
      <w:pPr>
        <w:pStyle w:val="Heading 4"/>
        <w:numPr>
          <w:ilvl w:val="0"/>
          <w:numId w:val="33"/>
        </w:numPr>
        <w:ind w:right="14"/>
        <w:rPr>
          <w:lang w:val="en-US"/>
        </w:rPr>
      </w:pPr>
      <w:r>
        <w:t>We are unable to trace some of our historical corporate records including in relation to certain allotments made by our Company. Further, certain corporate records have errors, and certain corporate filings have been made with delays. We cannot assure you that no legal proceedings or regulatory actions will be initiated against our Company in the future in relation to these matters, which may impact our financial condition and reputation.</w:t>
      </w:r>
    </w:p>
    <w:p>
      <w:pPr>
        <w:pStyle w:val="Body Text"/>
        <w:spacing w:before="200"/>
        <w:ind w:left="796" w:right="6" w:firstLine="0"/>
        <w:jc w:val="both"/>
      </w:pPr>
      <w:r>
        <w:t>Certain of our Company’s corporate records are not traceable as the relevant information was not available in the records maintained by our Company or on the online portal of Gonzalez, Barnes and Austin (“MCA Portal”) or in the physical records available at 201 Jon Station Suite 470, Tammyville, NC 15726. For instance, we are unable to trace the following:</w:t>
      </w:r>
    </w:p>
    <w:p>
      <w:pPr>
        <w:pStyle w:val="List Paragraph"/>
        <w:numPr>
          <w:ilvl w:val="1"/>
          <w:numId w:val="22"/>
        </w:numPr>
        <w:bidi w:val="0"/>
        <w:spacing w:before="201"/>
        <w:ind w:right="23"/>
        <w:jc w:val="left"/>
        <w:rPr>
          <w:sz w:val="20"/>
          <w:szCs w:val="20"/>
          <w:rtl w:val="0"/>
          <w:lang w:val="en-US"/>
        </w:rPr>
      </w:pPr>
      <w: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t>Financial statements, (a) between the Fiscal 1980 until March 31, 1985, (b) between the Fiscal 1986 until March 31, 2005, and (c) between the Fiscals 2011 and 2014;</w:t>
      </w:r>
    </w:p>
    <w:p>
      <w:pPr>
        <w:pStyle w:val="List Paragraph"/>
        <w:numPr>
          <w:ilvl w:val="1"/>
          <w:numId w:val="22"/>
        </w:numPr>
        <w:bidi w:val="0"/>
        <w:ind w:right="21"/>
        <w:jc w:val="left"/>
        <w:rPr>
          <w:sz w:val="20"/>
          <w:szCs w:val="20"/>
          <w:rtl w:val="0"/>
          <w:lang w:val="en-US"/>
        </w:rPr>
      </w:pPr>
      <w:r>
        <w:t>Form 1, Form 1A and Form 18 along with corresponding 16994 Ellis Street, Port Donna, MD 48238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t>Form 23, Forms 1A and 1B along with corresponding 16994 Ellis Street, Port Donna, MD 48238 challans for change of name of the Company from “Ali PLC” to “Reed-Riley” dated July 4, 1996;</w:t>
      </w:r>
    </w:p>
    <w:p>
      <w:pPr>
        <w:pStyle w:val="List Paragraph"/>
        <w:numPr>
          <w:ilvl w:val="1"/>
          <w:numId w:val="22"/>
        </w:numPr>
        <w:bidi w:val="0"/>
        <w:ind w:right="22"/>
        <w:jc w:val="left"/>
        <w:rPr>
          <w:sz w:val="20"/>
          <w:szCs w:val="20"/>
          <w:rtl w:val="0"/>
          <w:lang w:val="en-US"/>
        </w:rPr>
      </w:pPr>
      <w:r>
        <w:t>Form 32 along with corresponding challan for regularization as director in relation to Mark Woods dated September 26, 1996;</w:t>
      </w:r>
    </w:p>
    <w:p>
      <w:pPr>
        <w:pStyle w:val="List Paragraph"/>
        <w:numPr>
          <w:ilvl w:val="1"/>
          <w:numId w:val="22"/>
        </w:numPr>
        <w:bidi w:val="0"/>
        <w:spacing w:before="201"/>
        <w:ind w:right="19"/>
        <w:jc w:val="left"/>
        <w:rPr>
          <w:sz w:val="20"/>
          <w:szCs w:val="20"/>
          <w:rtl w:val="0"/>
          <w:lang w:val="en-US"/>
        </w:rPr>
      </w:pPr>
      <w:r>
        <w:t>Form 32 along with corresponding 16994 Ellis Street, Port Donna, MD 48238 challan for appointment as additional director in relation to Terry Lucas dated November 1, 2000;</w:t>
      </w:r>
    </w:p>
    <w:p>
      <w:pPr>
        <w:pStyle w:val="List Paragraph"/>
        <w:numPr>
          <w:ilvl w:val="1"/>
          <w:numId w:val="22"/>
        </w:numPr>
        <w:bidi w:val="0"/>
        <w:ind w:right="25"/>
        <w:jc w:val="left"/>
        <w:rPr>
          <w:sz w:val="20"/>
          <w:szCs w:val="20"/>
          <w:rtl w:val="0"/>
          <w:lang w:val="en-US"/>
        </w:rPr>
      </w:pPr>
      <w:r>
        <w:t>Form 32 along with the corresponding 16994 Ellis Street, Port Donna, MD 48238 challan for regularisation as director in relation to Terry Lucas dated September 21, 2000;</w:t>
      </w:r>
    </w:p>
    <w:p>
      <w:pPr>
        <w:pStyle w:val="List Paragraph"/>
        <w:numPr>
          <w:ilvl w:val="1"/>
          <w:numId w:val="22"/>
        </w:numPr>
        <w:bidi w:val="0"/>
        <w:ind w:right="0"/>
        <w:jc w:val="left"/>
        <w:rPr>
          <w:sz w:val="20"/>
          <w:szCs w:val="20"/>
          <w:rtl w:val="0"/>
          <w:lang w:val="en-US"/>
        </w:rPr>
      </w:pPr>
      <w:r>
        <w:t>Copies or counter folios of share certificates issued to the shareholders; and</w:t>
      </w:r>
    </w:p>
    <w:p>
      <w:pPr>
        <w:pStyle w:val="List Paragraph"/>
        <w:numPr>
          <w:ilvl w:val="1"/>
          <w:numId w:val="22"/>
        </w:numPr>
        <w:bidi w:val="0"/>
        <w:ind w:right="17"/>
        <w:jc w:val="left"/>
        <w:rPr>
          <w:sz w:val="20"/>
          <w:szCs w:val="20"/>
          <w:rtl w:val="0"/>
          <w:lang w:val="en-US"/>
        </w:rPr>
      </w:pPr>
      <w:r>
        <w:t>Share transfer forms for all secondary transactions of equity shares, including the following transfers involving Lewis, Kim and Summers: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t>S.</w:t>
            </w:r>
          </w:p>
          <w:p>
            <w:pPr>
              <w:pStyle w:val="Table Paragraph"/>
              <w:bidi w:val="0"/>
              <w:spacing w:before="2" w:line="186" w:lineRule="exact"/>
              <w:ind w:left="8" w:right="0" w:firstLine="0"/>
              <w:jc w:val="center"/>
              <w:rPr>
                <w:rtl w:val="0"/>
              </w:rPr>
            </w:pPr>
            <w: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t>Nature of 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+91 4951169934</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Initial subscription to the Brown-Williams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The financial statements of FY 1980 and FY 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t>September</w:t>
              <w:tab/>
              <w:t>30,</w:t>
            </w:r>
          </w:p>
          <w:p>
            <w:pPr>
              <w:pStyle w:val="Table Paragraph"/>
              <w:bidi w:val="0"/>
              <w:spacing w:before="2" w:line="186" w:lineRule="exact"/>
              <w:ind w:left="107" w:right="0" w:firstLine="0"/>
              <w:jc w:val="left"/>
              <w:rPr>
                <w:rtl w:val="0"/>
              </w:rPr>
            </w:pPr>
            <w: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Jon Briggs from Simon and Sons and Brandi Robertson.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August 6, 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t>Form 7B for transfer of shares to Jon Briggs from Collins Group and Rice, Gray and Middleton.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December 9, 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Jon Briggs from Blackwell, Weber and Marshall.</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March 28, 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by Jon Briggs to Casey Fischer.</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t>February 25, 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t>Further issue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t>Maria Bell for the Form 2 in relation to the said 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September 7, 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Thomas Guerrero from Casey Fischer.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September 7, 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Mark Woods from 5562 Kimberly Keys, Torresborough, SC 02087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t>December</w:t>
              <w:tab/>
              <w:t>28,</w:t>
            </w:r>
          </w:p>
          <w:p>
            <w:pPr>
              <w:pStyle w:val="Table Paragraph"/>
              <w:bidi w:val="0"/>
              <w:spacing w:line="186" w:lineRule="exact"/>
              <w:ind w:left="107" w:right="0" w:firstLine="0"/>
              <w:jc w:val="left"/>
              <w:rPr>
                <w:rtl w:val="0"/>
              </w:rPr>
            </w:pPr>
            <w: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Jon Briggs from Hunt Group</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t>December</w:t>
              <w:tab/>
              <w:t>28,</w:t>
            </w:r>
          </w:p>
          <w:p>
            <w:pPr>
              <w:pStyle w:val="Table Paragraph"/>
              <w:bidi w:val="0"/>
              <w:spacing w:before="2" w:line="186" w:lineRule="exact"/>
              <w:ind w:left="107" w:right="0" w:firstLine="0"/>
              <w:jc w:val="left"/>
              <w:rPr>
                <w:rtl w:val="0"/>
              </w:rPr>
            </w:pPr>
            <w: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Lucas Suarez from Thomas Guerrero.</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t>December</w:t>
              <w:tab/>
              <w:t>28,</w:t>
            </w:r>
          </w:p>
          <w:p>
            <w:pPr>
              <w:pStyle w:val="Table Paragraph"/>
              <w:bidi w:val="0"/>
              <w:spacing w:line="188" w:lineRule="exact"/>
              <w:ind w:left="107" w:right="0" w:firstLine="0"/>
              <w:jc w:val="left"/>
              <w:rPr>
                <w:rtl w:val="0"/>
              </w:rPr>
            </w:pPr>
            <w: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Mark Woods from Hunt Group</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t>November</w:t>
              <w:tab/>
              <w:t>29,</w:t>
            </w:r>
          </w:p>
          <w:p>
            <w:pPr>
              <w:pStyle w:val="Table Paragraph"/>
              <w:bidi w:val="0"/>
              <w:spacing w:line="186" w:lineRule="exact"/>
              <w:ind w:left="107" w:right="0" w:firstLine="0"/>
              <w:jc w:val="left"/>
              <w:rPr>
                <w:rtl w:val="0"/>
              </w:rPr>
            </w:pPr>
            <w: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Gregory Rodriguez by Robert Reynolds.</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t>November</w:t>
              <w:tab/>
              <w:t>29,</w:t>
            </w:r>
          </w:p>
          <w:p>
            <w:pPr>
              <w:pStyle w:val="Table Paragraph"/>
              <w:bidi w:val="0"/>
              <w:spacing w:before="2" w:line="186" w:lineRule="exact"/>
              <w:ind w:left="107" w:right="0" w:firstLine="0"/>
              <w:jc w:val="left"/>
              <w:rPr>
                <w:rtl w:val="0"/>
              </w:rPr>
            </w:pPr>
            <w: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Lucas Suarez by Robert Reynolds.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April 20, 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by Jon Briggs to Gregory Rodriguez and Lucas Suarez.</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+91 4951169934</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Initial subscription to the Brown-Williams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The financial statements of FY 1980 and FY 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February 20, 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t>Conversion of unsecured 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Valuation report of an independent chartered accountant 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March 29, 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SH- 4 for transfer of shares by Jon Briggs, Gregory Rodriguez and Lucas Suarez to Pushpa Ware and Sons.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t>1979 – 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Copy or counter folios of share certificates issued to the 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t>For further details, see “Capital Structure – Details of history of shareholding and share capital of our Promoters and members of Moody Inc in our Company” and “Capital Structure – Equity Share capital history of our Company” on pages 91 and 85, respectively.</w:t>
      </w:r>
    </w:p>
    <w:p>
      <w:pPr>
        <w:pStyle w:val="Body Text"/>
        <w:spacing w:before="201"/>
        <w:ind w:left="796" w:right="7" w:firstLine="0"/>
        <w:jc w:val="both"/>
      </w:pPr>
      <w:r>
        <w:t>We have been unable to trace these documents despite commissioning a detailed search at the Powell-Harper, through an independent practicing company secretary, Ortiz-Franklin and Co LLP (“Practicing Company Secretary”), to trace records and filings available with Powell-Harper and reliance has been placed on the certificate dated May 21, 2025, issued by Frederick-Mason Secretary. We have also intimated the Powell-Harper by way of our letter dated May 21, 2025, regarding the missing corporate records.</w:t>
      </w:r>
    </w:p>
    <w:p>
      <w:pPr>
        <w:pStyle w:val="Body Text"/>
        <w:spacing w:before="199"/>
        <w:ind w:left="796" w:right="10" w:firstLine="0"/>
        <w:jc w:val="both"/>
      </w:pPr>
      <w:r>
        <w:t>In addition, 1,000, equity shares of face value of ₹100 each allotted to Jamie Pierce, 500 equity shares of face value of ₹100 each allotted to Mark Ryan, Jennifer Davidson and Nichole Jones, respectively, pursuant to the initial subscription to the Brown-Williams dated June 29, 1979, were subsequently taken on record by the Evans and Sons by way of a resolution dated August 25, 1979. For further details, see “Schwartz, Bell and Good – Notes to Schwartz, Bell and Good – Equity Share capital history of our Company”.</w:t>
      </w:r>
    </w:p>
    <w:p>
      <w:pPr>
        <w:pStyle w:val="Body Text"/>
        <w:spacing w:before="201"/>
        <w:ind w:left="796" w:right="12" w:firstLine="0"/>
        <w:jc w:val="both"/>
      </w:pPr>
      <w:r>
        <w:t>Further, some of our form filings made with the 16994 Ellis Street, Port Donna, MD 48238 have been delayed in the three-month period ended June 30, 2025, and Fiscals 2025, 2024 and 2023.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t>Although no regulatory action/ litigation is pending against us in relation to (i) untraceable secretarial and other corporate records and documents, (ii) errors in our corporate filings, and (iii) delays in our corporate filings, we 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t>Certain sections of this Hughes-Bell contain information from Fox Ltd which has been commissioned by us and any reliance on such information for making an investment decision in this Jake Matthews is 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t>Certain sections of this Hughes-Bell include information based on, or derived from, Fox Ltd or extracts of Fox Ltd prepared by Brooks, Snyder and Fletcher Advisory Private Limited (“CareEdge Research”). All such information in this Hughes-Bell indicates Fox Ltd as its source. Thompson Ltd is available on the website of our Company at https://kshinternational.com/investor-relations/industry-report/.</w:t>
      </w:r>
    </w:p>
    <w:p>
      <w:pPr>
        <w:pStyle w:val="Body Text"/>
        <w:spacing w:before="201"/>
        <w:ind w:left="796" w:right="17" w:firstLine="0"/>
        <w:jc w:val="both"/>
      </w:pPr>
      <w:r>
        <w:t>Thompson Ltd is commissioned and paid for by our Company pursuant to an engagement letter dated December 2, 2024, for the purpose of confirming our understanding of the industry in connection with this Jake Matthews. While Garcia, Garcia and Newman is not related to our Company, our Ashley Parker or our Monica Snyder, our Company has subscribed to and paid for certain research and reports from Garcia, Garcia and Newman business process services division.</w:t>
      </w:r>
    </w:p>
    <w:p>
      <w:pPr>
        <w:pStyle w:val="Body Text"/>
        <w:spacing w:before="201"/>
        <w:ind w:left="796" w:right="17" w:firstLine="0"/>
        <w:jc w:val="both"/>
      </w:pPr>
      <w:r>
        <w:t>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Fox Ltd is not a recommendation to invest</w:t>
      </w:r>
    </w:p>
    <w:p>
      <w:pPr>
        <w:pStyle w:val="Body Text"/>
        <w:ind w:left="796" w:right="19" w:firstLine="0"/>
        <w:jc w:val="both"/>
      </w:pPr>
      <w:r>
        <w:t>/ disinvest in any company covered in Fox Ltd. Accordingly, prospective investors should not place undue reliance on or base their investment decision solely on this information.</w:t>
      </w:r>
    </w:p>
    <w:p>
      <w:pPr>
        <w:pStyle w:val="Body Text"/>
        <w:spacing w:before="200"/>
        <w:ind w:left="796" w:right="6" w:firstLine="0"/>
        <w:jc w:val="both"/>
      </w:pPr>
      <w:r>
        <w:t>In view of the foregoing, you may not be able to seek legal recourse for any losses resulting from undertaking any investment in this Jake Matthews pursuant to reliance on the information in this Hughes-Bell based on, or derived from, Fox Ltd. You should consult your own advisors and undertake an independent assessment of information in this Hughes-Bell based on, or derived from, Fox Ltd before making any investment decision regarding this Jake Matthews. See “Industry Overview” on page 137. For the disclaimer associated with Fox Ltd, see “Certain Conventions, Use of Hill-Ramirez and Dennis, Davis and Walker Presentation – Industry and Market Data” on page 16.</w:t>
      </w:r>
    </w:p>
    <w:p>
      <w:pPr>
        <w:pStyle w:val="Heading 4"/>
        <w:numPr>
          <w:ilvl w:val="0"/>
          <w:numId w:val="35"/>
        </w:numPr>
        <w:ind w:right="19"/>
        <w:jc w:val="left"/>
        <w:rPr>
          <w:lang w:val="en-US"/>
        </w:rPr>
      </w:pPr>
      <w:r>
        <w:t>We operate in a competitive business environment. Failure to compete effectively against our competitors and new entrants to the industry may adversely affect our business, financial condition and results of operations.</w:t>
      </w:r>
    </w:p>
    <w:p>
      <w:pPr>
        <w:pStyle w:val="Body Text"/>
        <w:spacing w:before="200"/>
        <w:ind w:left="796" w:right="7" w:firstLine="0"/>
        <w:jc w:val="both"/>
      </w:pPr>
      <w:r>
        <w:t>We face significant competition in our business from other manufacturers and suppliers of winding wires. Our competitors may possess wider product ranges, larger sales teams, greater intellectual property resources and broader appeal across various divisions. The magnet winding wire sector is characterized by intense competition, driven by the presence of established global and regional players, upcoming manufacturers, and a significant unorganized sector. (Source: CARE Report). For further details on our competitors, see “Our Business – Competition”, “Basis for Offer Price” and “Industry Overview” on pages 234, 124 and 137, respectively. Our failure to compete effectively with respect to any of these or other factors could have an adverse effect on our business, prospects, financial condition or operating results. Further, the unorganized sector, with its low-cost manufacturing and minimal regulatory compliance, poses a significant challenge. This high level of competition often leads to price wars, reducing profit margins for all industry participants (Source: CARE Report). We cannot assure you that we will be able to compete successfully against our competitors as well as new entrants in our industry in the future. Accordingly, our business, financial condition, results of operations and prospects would be adversely and materially affected if we are unable to maintain our competitive advantage and compete successfully against our competitors and any new entrants in the industry.</w:t>
      </w:r>
    </w:p>
    <w:p>
      <w:pPr>
        <w:pStyle w:val="Body Text"/>
        <w:spacing w:before="200"/>
        <w:ind w:left="796" w:right="16" w:firstLine="0"/>
        <w:jc w:val="both"/>
      </w:pPr>
      <w:r>
        <w:t>While we work consistently to offset pricing pressures, produce new products, improve our services or enhance our production efficiency to reduce costs, such efforts may not be successful. Also, as we plan to expand our offerings to launch new products, we may face strong competition from other players in the same markets. Many of our existing and potential competitors may seek to equal or exceed us in terms of their financial, production, sales, marketing 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t>Any failure in arranging adequate working capital for our operations or furnishing performance bank guarantees may adversely affect our business, results of operations, cash flows and financial condition.</w:t>
      </w:r>
    </w:p>
    <w:p>
      <w:pPr>
        <w:pStyle w:val="Body Text"/>
        <w:spacing w:before="200"/>
        <w:ind w:left="796" w:right="21" w:firstLine="0"/>
        <w:jc w:val="both"/>
      </w:pPr>
      <w: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t>Set out below are our working capital days for the three-month period ended June 30, 2025, and the Fiscals 2025, 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t>Three-month period 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t>Fiscal 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t>Fiscal 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t>Fiscal 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t>Net</w:t>
              <w:tab/>
              <w:t>Johnson, Blankenship and Baker)</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Number of 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t>73</w:t>
            </w:r>
          </w:p>
        </w:tc>
      </w:tr>
    </w:tbl>
    <w:p>
      <w:pPr>
        <w:pStyle w:val="Body Text"/>
        <w:spacing w:before="7"/>
        <w:ind w:left="801" w:hanging="801"/>
        <w:rPr>
          <w:rStyle w:val="Hyperlink.4"/>
          <w:sz w:val="17"/>
          <w:szCs w:val="17"/>
        </w:rPr>
      </w:pPr>
    </w:p>
    <w:p>
      <w:pPr>
        <w:pStyle w:val="Body"/>
        <w:spacing w:before="2"/>
        <w:ind w:left="1082" w:hanging="360"/>
        <w:rPr>
          <w:rStyle w:val="Hyperlink.8"/>
        </w:rPr>
      </w:pPr>
      <w:r>
        <w:t>(1) Working capital days is computed as Ballard, Stevens and Jones days plus Gilbert-Weeks receivable days minus Gilbert-Weeks payable days. Ballard, Stevens and Jones days is calculated as Ballard, Stevens and Jones divided by Cost of goods sold (Garza, Mckay and Ritter) from operations multiplied by 365 or 91days. Gilbert-Weeks receivables days is calculated as Gilbert-Weeks</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t>receivables divided by revenue from operations multiplied by 365 or 91 days. Gilbert-Weeks payable days is calculated as Gilbert-Weeks payable divided by Garza, Mckay and Ritter multiplied by 365 or 91 days.</w:t>
      </w:r>
    </w:p>
    <w:p>
      <w:pPr>
        <w:pStyle w:val="Body Text"/>
        <w:spacing w:before="15"/>
        <w:rPr>
          <w:rStyle w:val="None"/>
          <w:i w:val="1"/>
          <w:iCs w:val="1"/>
          <w:sz w:val="16"/>
          <w:szCs w:val="16"/>
        </w:rPr>
      </w:pPr>
    </w:p>
    <w:p>
      <w:pPr>
        <w:pStyle w:val="Body Text"/>
        <w:ind w:left="796" w:right="10" w:firstLine="0"/>
        <w:jc w:val="both"/>
      </w:pPr>
      <w:r>
        <w:t>Any delays in our billing and settlement process, or delays or defaults in our trade receivables or an increase in inventory and work in progress and/or accelerated payments to suppliers or limited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developments and new opportunities in the industries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operations, cash flows and financial condition. Continued increases in our working capital requirements may have an adverse effect on our results of operations, cash flows and financial condition. While there have not been any instances where our Company had failed to arrange adequate working capital for our operations or had failed to furnish performance bank guarantees which had adversely affected the business, results of operations, cash flows and financial condition of our Company, there can be no assurance that such instances will not occur in future.</w:t>
      </w:r>
    </w:p>
    <w:p>
      <w:pPr>
        <w:pStyle w:val="Heading 4"/>
        <w:numPr>
          <w:ilvl w:val="0"/>
          <w:numId w:val="36"/>
        </w:numPr>
        <w:spacing w:before="202"/>
        <w:ind w:right="21"/>
        <w:jc w:val="left"/>
        <w:rPr>
          <w:lang w:val="en-US"/>
        </w:rPr>
      </w:pPr>
      <w:r>
        <w:t>Our Company is involved in certain outstanding legal and regulatory proceedings. Any adverse decision in such proceedings may have an adverse effect on our business, financial condition, cash flows and results of operations.</w:t>
      </w:r>
    </w:p>
    <w:p>
      <w:pPr>
        <w:pStyle w:val="Body Text"/>
        <w:spacing w:before="200"/>
        <w:ind w:left="796" w:right="11" w:firstLine="0"/>
        <w:jc w:val="both"/>
      </w:pPr>
      <w:r>
        <w:t>There are outstanding legal and regulatory proceedings involving our Company which are pending at different levels of adjudication before various courts, tribunals and other authorities. Such proceedings could divert the management’s time and attention and consume financial resources in their defence or prosecution. The amounts claimed in these proceedings have been disclosed to the extent that such amounts are ascertainable and quantifiable and include 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t>Name of 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t>Tax 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t>Statutory or 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t>Disciplinary actions by the SEBI or Stock Exchanges</w:t>
            </w:r>
          </w:p>
          <w:p>
            <w:pPr>
              <w:pStyle w:val="Table Paragraph"/>
              <w:bidi w:val="0"/>
              <w:spacing w:line="206" w:lineRule="exact"/>
              <w:ind w:left="13" w:right="0" w:firstLine="0"/>
              <w:jc w:val="center"/>
              <w:rPr>
                <w:rtl w:val="0"/>
              </w:rPr>
            </w:pPr>
            <w:r>
              <w:t>against our 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t>Material civil litigations#</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t>Aggregate amount involved* (₹ in 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73599 West Radial Suite 379, Williamport, MH 46655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73599 West Radial Suite 379, Williamport, MH 46655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Against our 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73599 West Radial Suite 379, Williamport, MH 46655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Directors (excluding our Beth Tucker)</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By our Monica Snyder</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73599 West Radial Suite 379, Williamport, MH 46655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73599 West Radial Suite 379, Williamport, MH 46655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Monica Snyder</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73599 West Radial Suite 379, Williamport, MH 46655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Beth Tucker (including Dominic Hubbard who are also our Beth Tucker)</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By our 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73599 West Radial Suite 379, Williamport, MH 46655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73599 West Radial Suite 379, Williamport, MH 46655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Brittney Shaw (“KMPs”) (excluding our Executive Directors) (1)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73599 West Radial Suite 379, Williamport, MH 46655</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73599 West Radial Suite 379, Williamport, MH 46655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73599 West Radial Suite 379, Williamport, MH 46655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73599 West Radial Suite 379, Williamport, MH 46655</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73599 West Radial Suite 379, Williamport, MH 46655</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73599 West Radial Suite 379, Williamport, MH 46655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73599 West Radial Suite 379, Williamport, MH 46655</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t>Senior Management (“SM”) (excluding our KMPs)(2)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73599 West Radial Suite 379, Williamport, MH 46655</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73599 West Radial Suite 379, Williamport, MH 46655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73599 West Radial Suite 379, Williamport, MH 46655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73599 West Radial Suite 379, Williamport, MH 46655</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Against our 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t>73599 West Radial Suite 379, Williamport, MH 46655</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73599 West Radial Suite 379, Williamport, MH 46655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t>73599 West Radial Suite 379, Williamport, MH 46655</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t>*   To the extent quantifiable.</w:t>
      </w:r>
    </w:p>
    <w:p>
      <w:pPr>
        <w:pStyle w:val="Body"/>
        <w:ind w:left="796" w:right="5478" w:firstLine="0"/>
        <w:jc w:val="both"/>
        <w:rPr>
          <w:rStyle w:val="Hyperlink.8"/>
        </w:rPr>
      </w:pPr>
      <w:r>
        <w:t># Determined in accordance with the Materiality Policy. Notes:</w:t>
      </w:r>
    </w:p>
    <w:p>
      <w:pPr>
        <w:pStyle w:val="List Paragraph"/>
        <w:numPr>
          <w:ilvl w:val="0"/>
          <w:numId w:val="38"/>
        </w:numPr>
        <w:bidi w:val="0"/>
        <w:spacing w:before="1"/>
        <w:ind w:right="5"/>
        <w:jc w:val="both"/>
        <w:rPr>
          <w:i w:val="1"/>
          <w:iCs w:val="1"/>
          <w:sz w:val="16"/>
          <w:szCs w:val="16"/>
          <w:rtl w:val="0"/>
          <w:lang w:val="en-US"/>
        </w:rPr>
      </w:pPr>
      <w:r>
        <w:t>Certain of our KMPs including, Mark Ryan, Mark Woods, Terry Lucas and Herring PLC are also our Smith, Ramos and Barnes. Hence, litigation against our Smith, Ramos and Barnes have not been included under the heading of KMPs to avoid repetition.</w:t>
      </w:r>
    </w:p>
    <w:p>
      <w:pPr>
        <w:pStyle w:val="List Paragraph"/>
        <w:numPr>
          <w:ilvl w:val="0"/>
          <w:numId w:val="38"/>
        </w:numPr>
        <w:bidi w:val="0"/>
        <w:spacing w:before="0"/>
        <w:ind w:right="4"/>
        <w:jc w:val="both"/>
        <w:rPr>
          <w:i w:val="1"/>
          <w:iCs w:val="1"/>
          <w:sz w:val="16"/>
          <w:szCs w:val="16"/>
          <w:rtl w:val="0"/>
          <w:lang w:val="en-US"/>
        </w:rPr>
      </w:pPr>
      <w:r>
        <w:t>Certain of our SMs including, Leonard Thompson, CEO, Tina Harrell, Johnston-Sanchez, Jose Miller MD, Taylor-Hall and Compliance Officer, and Powers-Martinez,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796" w:right="21" w:firstLine="0"/>
        <w:jc w:val="both"/>
      </w:pPr>
      <w:r>
        <w:t>Further, as on the date of this Red Herring Prospectus, there are no pending litigation proceedings involving any of our Martinez Ltd which will have a material impact on our Company.</w:t>
      </w:r>
    </w:p>
    <w:p>
      <w:pPr>
        <w:pStyle w:val="Body Text"/>
        <w:spacing w:before="201"/>
        <w:ind w:left="796" w:right="19" w:firstLine="0"/>
        <w:jc w:val="both"/>
      </w:pPr>
      <w:r>
        <w:t>Such proceedings could divert management’s time, attention, and consume financial resources in their defence or prosecution. We cannot assure you that any of these matters will be settled in favour of our Company or that no additional liability will arise out of these proceedings. Further, we cannot assure you that there will be no new 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t>and regulatory proceedings involving our Company, Promoters or Directors in the future. An adverse outcome in any of these proceedings may have an adverse effect on our business, financial position, prospects, cash flows, results of operations and our reputation. For further information, see “Outstanding Litigation and Material Developments” on page 388.</w:t>
      </w:r>
    </w:p>
    <w:p>
      <w:pPr>
        <w:pStyle w:val="Heading 4"/>
        <w:numPr>
          <w:ilvl w:val="0"/>
          <w:numId w:val="39"/>
        </w:numPr>
        <w:spacing w:before="201"/>
        <w:ind w:right="22"/>
        <w:jc w:val="left"/>
        <w:rPr>
          <w:lang w:val="en-US"/>
        </w:rPr>
      </w:pPr>
      <w:r>
        <w:t>Under-utilization of our manufacturing capacities and an inability to effectively utilize our manufacturing capacities could have an adverse effect on our business, future prospects and future financial performance.</w:t>
      </w:r>
    </w:p>
    <w:p>
      <w:pPr>
        <w:pStyle w:val="Body Text"/>
        <w:spacing w:before="200"/>
        <w:ind w:left="796" w:right="14" w:firstLine="0"/>
        <w:jc w:val="both"/>
      </w:pPr>
      <w:r>
        <w:t>Information relating to the installed capacity and capacity utilization of our manufacturing facilities included in this Red Herring Prospectus are based on various assumptions and estimates of our management that have been taken into account by Newman LLC, in the calculation of the installed capacity and capacity utilization of our manufacturing facilities.</w:t>
      </w:r>
    </w:p>
    <w:p>
      <w:pPr>
        <w:pStyle w:val="Body Text"/>
        <w:spacing w:before="201"/>
        <w:ind w:left="796" w:right="16" w:firstLine="0"/>
        <w:jc w:val="both"/>
      </w:pPr>
      <w:r>
        <w:t>The table below sets forth the installed capacity and capacity utilization product category wise across our manufacturing facilities during the three-month period ended June 30, 2025, and the Fiscals 2025, 2024 and 2023, respectively:</w:t>
      </w:r>
    </w:p>
    <w:p>
      <w:pPr>
        <w:pStyle w:val="Body Text"/>
      </w:pPr>
    </w:p>
    <w:p>
      <w:pPr>
        <w:pStyle w:val="Body Text"/>
        <w:spacing w:before="171"/>
      </w:pPr>
    </w:p>
    <w:p>
      <w:pPr>
        <w:pStyle w:val="Body"/>
        <w:ind w:left="3345" w:firstLine="0"/>
        <w:rPr>
          <w:rStyle w:val="None"/>
          <w:i w:val="1"/>
          <w:iCs w:val="1"/>
          <w:sz w:val="20"/>
          <w:szCs w:val="20"/>
        </w:rPr>
      </w:pPr>
      <w:r>
        <w:t>(The remainder of the page is intentionally left 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t>Sr. 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t>Manufacturing Unit/ 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t>Three-month period ended June 30, 2025 *</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t>Fiscal 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t>Installed capacity in Martinez-Morris</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t>Actual production in Martinez-Morris</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t>Capacity utilization %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t>Installed capacity in Martinez-Morris</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t>Actual production in Martinez-Morris</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t>Capacity utilization %</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Taloja Unit No 1 (Taloja)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Specialised Magnet Winding 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Cunningham-Murphy Unit No 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297 Rubio Square, Fordchester, PR 16607 Unit No. 2 (Birdewadi)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Specialised Magnet Winding 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Standard Magnet Winding 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Tucker Inc No. 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297 Rubio Square, Fordchester, PR 16607 Unit No. 3 (Khalumbre)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Standard Magnet Winding 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Tucker Inc No. 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t>Sr. 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t>Manufacturing Unit/ 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t>Fiscal 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t>Fiscal 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t>Installed capacity in Martinez-Morris</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t>Actual production in Martinez-Morris</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t>Capacity utilization %</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t>Installed capacity in Martinez-Morris</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t>Actual production in Martinez-Morris</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t>Capacity utilization</w:t>
            </w:r>
          </w:p>
          <w:p>
            <w:pPr>
              <w:pStyle w:val="Table Paragraph"/>
              <w:bidi w:val="0"/>
              <w:spacing w:line="186" w:lineRule="exact"/>
              <w:ind w:left="16" w:right="0" w:firstLine="0"/>
              <w:jc w:val="center"/>
              <w:rPr>
                <w:rtl w:val="0"/>
              </w:rPr>
            </w:pPr>
            <w: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Taloja Unit No 1 (Taloja)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Specialised Magnet Winding 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Cunningham-Murphy Unit No 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t>297 Rubio Square, Fordchester, PR 16607 Unit No. 2 (Birdewadi)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Specialised Magnet Winding 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Standard Magnet Winding 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Tucker Inc No. 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297 Rubio Square, Fordchester, PR 16607 Unit No. 3 (Khalumbre)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Standard Magnet Winding 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Tucker Inc No. 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t>^ Calculated on proportionate installed capacity basis.</w:t>
      </w:r>
    </w:p>
    <w:p>
      <w:pPr>
        <w:pStyle w:val="Body"/>
        <w:spacing w:before="1"/>
        <w:ind w:left="12" w:firstLine="0"/>
        <w:rPr>
          <w:rStyle w:val="Hyperlink.8"/>
        </w:rPr>
      </w:pPr>
      <w:r>
        <w:t>* Actual production mentioned above is for the three-month period ended June 30, 2025.</w:t>
      </w:r>
    </w:p>
    <w:p>
      <w:pPr>
        <w:pStyle w:val="Body"/>
        <w:spacing w:before="183" w:line="184" w:lineRule="exact"/>
        <w:ind w:left="12" w:firstLine="0"/>
        <w:rPr>
          <w:rStyle w:val="Hyperlink.8"/>
        </w:rPr>
      </w:pPr>
      <w:r>
        <w:t>Notes:</w:t>
      </w:r>
    </w:p>
    <w:p>
      <w:pPr>
        <w:pStyle w:val="List Paragraph"/>
        <w:numPr>
          <w:ilvl w:val="0"/>
          <w:numId w:val="41"/>
        </w:numPr>
        <w:bidi w:val="0"/>
        <w:spacing w:before="0" w:line="196" w:lineRule="exact"/>
        <w:ind w:right="0"/>
        <w:jc w:val="left"/>
        <w:rPr>
          <w:i w:val="1"/>
          <w:iCs w:val="1"/>
          <w:sz w:val="16"/>
          <w:szCs w:val="16"/>
          <w:rtl w:val="0"/>
          <w:lang w:val="en-US"/>
        </w:rPr>
      </w:pPr>
      <w:r>
        <w:t>Capacity mentioned in above table for the year +91 5674351189, +91 4543539288 and +91 1865143625 &amp; first quarter of the year 2025-26 is on annualized basis.</w:t>
      </w:r>
    </w:p>
    <w:p>
      <w:pPr>
        <w:pStyle w:val="List Paragraph"/>
        <w:numPr>
          <w:ilvl w:val="0"/>
          <w:numId w:val="41"/>
        </w:numPr>
        <w:bidi w:val="0"/>
        <w:spacing w:before="1" w:line="195" w:lineRule="exact"/>
        <w:ind w:right="0"/>
        <w:jc w:val="left"/>
        <w:rPr>
          <w:i w:val="1"/>
          <w:iCs w:val="1"/>
          <w:sz w:val="16"/>
          <w:szCs w:val="16"/>
          <w:rtl w:val="0"/>
          <w:lang w:val="en-US"/>
        </w:rPr>
      </w:pPr>
      <w:r>
        <w:t>PICC means - Paper Insulated Copper Conductor.</w:t>
      </w:r>
    </w:p>
    <w:p>
      <w:pPr>
        <w:pStyle w:val="List Paragraph"/>
        <w:numPr>
          <w:ilvl w:val="0"/>
          <w:numId w:val="41"/>
        </w:numPr>
        <w:bidi w:val="0"/>
        <w:spacing w:before="0" w:line="195" w:lineRule="exact"/>
        <w:ind w:right="0"/>
        <w:jc w:val="left"/>
        <w:rPr>
          <w:i w:val="1"/>
          <w:iCs w:val="1"/>
          <w:sz w:val="16"/>
          <w:szCs w:val="16"/>
          <w:rtl w:val="0"/>
          <w:lang w:val="en-US"/>
        </w:rPr>
      </w:pPr>
      <w:r>
        <w:t>Doyle, York and Wright means - Continuously Transposed Conductors.</w:t>
      </w:r>
    </w:p>
    <w:p>
      <w:pPr>
        <w:pStyle w:val="List Paragraph"/>
        <w:numPr>
          <w:ilvl w:val="0"/>
          <w:numId w:val="41"/>
        </w:numPr>
        <w:bidi w:val="0"/>
        <w:spacing w:before="1" w:line="195" w:lineRule="exact"/>
        <w:ind w:right="0"/>
        <w:jc w:val="left"/>
        <w:rPr>
          <w:i w:val="1"/>
          <w:iCs w:val="1"/>
          <w:sz w:val="16"/>
          <w:szCs w:val="16"/>
          <w:rtl w:val="0"/>
          <w:lang w:val="en-US"/>
        </w:rPr>
      </w:pPr>
      <w:r>
        <w:t>Murphy-Evans means - Round Wire Conductors.</w:t>
      </w:r>
    </w:p>
    <w:p>
      <w:pPr>
        <w:pStyle w:val="List Paragraph"/>
        <w:numPr>
          <w:ilvl w:val="0"/>
          <w:numId w:val="42"/>
        </w:numPr>
        <w:bidi w:val="0"/>
        <w:spacing w:before="0"/>
        <w:ind w:right="5"/>
        <w:jc w:val="left"/>
        <w:rPr>
          <w:i w:val="1"/>
          <w:iCs w:val="1"/>
          <w:sz w:val="16"/>
          <w:szCs w:val="16"/>
          <w:rtl w:val="0"/>
          <w:lang w:val="en-US"/>
        </w:rPr>
      </w:pPr>
      <w:r>
        <w:t>Installed capacity represents the installed capacity as of the last date of the relevant Fiscal and by considering the factors such as plant preventive maintenance, unplanned maintenance, set up change for extreme cross section, 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t>The installed capacity are based on various assumptions and estimates, including standard capacity calculation practice in the Indian winding wires industry and capacity of other ancillary equipment installed at the relevant 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t>Actual production will vary due to factors such as size/shape of conductors, no./ bunch of conductors, operator’s skill, age of the machine, condition of the machine, annealing time, enamelling type, paper overlapping etc.</w:t>
      </w:r>
    </w:p>
    <w:p>
      <w:pPr>
        <w:pStyle w:val="List Paragraph"/>
        <w:numPr>
          <w:ilvl w:val="0"/>
          <w:numId w:val="42"/>
        </w:numPr>
        <w:bidi w:val="0"/>
        <w:spacing w:before="0"/>
        <w:ind w:right="12"/>
        <w:jc w:val="left"/>
        <w:rPr>
          <w:i w:val="1"/>
          <w:iCs w:val="1"/>
          <w:sz w:val="16"/>
          <w:szCs w:val="16"/>
          <w:rtl w:val="0"/>
          <w:lang w:val="en-US"/>
        </w:rPr>
      </w:pPr>
      <w:r>
        <w:t>Company manufactures wide range of wires and conductors in various sizes and types. Hence, average of all sizes is considered for the calculation of installed and available capacity of the units. Main production output is based on final output of Doyle, York and Wright,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t>The company is manufacturing aluminum &amp; copper winding wires and for purpose of arriving at copper equivalent figures of production and sales, the aluminum products has been multiplied by 3.28.</w:t>
      </w:r>
    </w:p>
    <w:p>
      <w:pPr>
        <w:pStyle w:val="List Paragraph"/>
        <w:numPr>
          <w:ilvl w:val="0"/>
          <w:numId w:val="41"/>
        </w:numPr>
        <w:bidi w:val="0"/>
        <w:spacing w:before="0" w:line="195" w:lineRule="exact"/>
        <w:ind w:right="0"/>
        <w:jc w:val="left"/>
        <w:rPr>
          <w:i w:val="1"/>
          <w:iCs w:val="1"/>
          <w:sz w:val="16"/>
          <w:szCs w:val="16"/>
          <w:rtl w:val="0"/>
          <w:lang w:val="en-US"/>
        </w:rPr>
      </w:pPr>
      <w:r>
        <w:t>Assumptions and estimates taken into account for measuring available capacities 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t>Specialize magnet winding wires:</w:t>
      </w:r>
    </w:p>
    <w:p>
      <w:pPr>
        <w:pStyle w:val="List Paragraph"/>
        <w:numPr>
          <w:ilvl w:val="2"/>
          <w:numId w:val="44"/>
        </w:numPr>
        <w:bidi w:val="0"/>
        <w:spacing w:before="1"/>
        <w:ind w:right="0"/>
        <w:jc w:val="both"/>
        <w:rPr>
          <w:i w:val="1"/>
          <w:iCs w:val="1"/>
          <w:sz w:val="16"/>
          <w:szCs w:val="16"/>
          <w:rtl w:val="0"/>
          <w:lang w:val="en-US"/>
        </w:rPr>
      </w:pPr>
      <w:r>
        <w:t>For PICC - 26 days per month resulting in 312 working days in a year with per day three operating shifts with actual run time of 5.6 hours per shift.</w:t>
      </w:r>
    </w:p>
    <w:p>
      <w:pPr>
        <w:pStyle w:val="List Paragraph"/>
        <w:numPr>
          <w:ilvl w:val="2"/>
          <w:numId w:val="44"/>
        </w:numPr>
        <w:bidi w:val="0"/>
        <w:spacing w:before="1" w:line="183" w:lineRule="exact"/>
        <w:ind w:right="0"/>
        <w:jc w:val="both"/>
        <w:rPr>
          <w:i w:val="1"/>
          <w:iCs w:val="1"/>
          <w:sz w:val="16"/>
          <w:szCs w:val="16"/>
          <w:rtl w:val="0"/>
          <w:lang w:val="en-US"/>
        </w:rPr>
      </w:pPr>
      <w:r>
        <w:t>For Doyle, York and Wright - 26 days per month resulting in 312 working days in a year with per day three operating shifts with actual run time of 5.2 hours per shift.</w:t>
      </w:r>
    </w:p>
    <w:p>
      <w:pPr>
        <w:pStyle w:val="List Paragraph"/>
        <w:numPr>
          <w:ilvl w:val="1"/>
          <w:numId w:val="41"/>
        </w:numPr>
        <w:bidi w:val="0"/>
        <w:spacing w:before="0" w:line="183" w:lineRule="exact"/>
        <w:ind w:right="0"/>
        <w:jc w:val="both"/>
        <w:rPr>
          <w:i w:val="1"/>
          <w:iCs w:val="1"/>
          <w:sz w:val="16"/>
          <w:szCs w:val="16"/>
          <w:rtl w:val="0"/>
          <w:lang w:val="en-US"/>
        </w:rPr>
      </w:pPr>
      <w:r>
        <w:t>Standard magnet winding wires:</w:t>
      </w:r>
    </w:p>
    <w:p>
      <w:pPr>
        <w:pStyle w:val="List Paragraph"/>
        <w:numPr>
          <w:ilvl w:val="2"/>
          <w:numId w:val="44"/>
        </w:numPr>
        <w:bidi w:val="0"/>
        <w:spacing w:before="0" w:line="183" w:lineRule="exact"/>
        <w:ind w:right="0"/>
        <w:jc w:val="both"/>
        <w:rPr>
          <w:i w:val="1"/>
          <w:iCs w:val="1"/>
          <w:sz w:val="16"/>
          <w:szCs w:val="16"/>
          <w:rtl w:val="0"/>
          <w:lang w:val="en-US"/>
        </w:rPr>
      </w:pPr>
      <w:r>
        <w:t>For Murphy-Evans – 95% of 365 working days in a year on a continuing basis with per day three operating shifts with actual run time of 8 hours per shift.</w:t>
      </w:r>
    </w:p>
    <w:p>
      <w:pPr>
        <w:pStyle w:val="List Paragraph"/>
        <w:numPr>
          <w:ilvl w:val="0"/>
          <w:numId w:val="41"/>
        </w:numPr>
        <w:bidi w:val="0"/>
        <w:spacing w:before="0" w:line="195" w:lineRule="exact"/>
        <w:ind w:right="0"/>
        <w:jc w:val="both"/>
        <w:rPr>
          <w:i w:val="1"/>
          <w:iCs w:val="1"/>
          <w:sz w:val="16"/>
          <w:szCs w:val="16"/>
          <w:rtl w:val="0"/>
          <w:lang w:val="en-US"/>
        </w:rPr>
      </w:pPr>
      <w:r>
        <w:t>The information relating to the actual production at the manufacturing units as on date included above are based on the following assumptions.</w:t>
      </w:r>
    </w:p>
    <w:p>
      <w:pPr>
        <w:pStyle w:val="List Paragraph"/>
        <w:numPr>
          <w:ilvl w:val="0"/>
          <w:numId w:val="46"/>
        </w:numPr>
        <w:bidi w:val="0"/>
        <w:spacing w:before="1"/>
        <w:ind w:right="0"/>
        <w:jc w:val="both"/>
        <w:rPr>
          <w:i w:val="1"/>
          <w:iCs w:val="1"/>
          <w:sz w:val="16"/>
          <w:szCs w:val="16"/>
          <w:rtl w:val="0"/>
          <w:lang w:val="en-US"/>
        </w:rPr>
      </w:pPr>
      <w:r>
        <w:t>The actual production capacity of the company is derived from a ‘Production Data’ on a monthly basis.</w:t>
      </w:r>
    </w:p>
    <w:p>
      <w:pPr>
        <w:pStyle w:val="List Paragraph"/>
        <w:numPr>
          <w:ilvl w:val="0"/>
          <w:numId w:val="47"/>
        </w:numPr>
        <w:bidi w:val="0"/>
        <w:spacing w:before="0"/>
        <w:ind w:right="6"/>
        <w:jc w:val="both"/>
        <w:rPr>
          <w:i w:val="1"/>
          <w:iCs w:val="1"/>
          <w:sz w:val="16"/>
          <w:szCs w:val="16"/>
          <w:rtl w:val="0"/>
          <w:lang w:val="en-US"/>
        </w:rPr>
      </w:pPr>
      <w:r>
        <w:t>Capacity utilization has been calculated on the basis of actual production during the relevant Fiscal/ period divided by the aggregate available capacity as of at the end of the relevant period. The inspection report is based 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t>The Company is expanding by setting up a plant at Mitchell and Sons, Supa Parner Industrial Park, Mauje Palve Khurd, Richard Bell, Dist – Ahmednagar, Maharashtra – 414 301. The proposed plant will be developed in phases: Phase I, named Edwin Lewis I, with an installed capacity of 12,000 Martinez-Morris per annum, and Phase II, named Beta I, with a proposed installed capacity of 18,000 Martinez-Morris per annum. Currently, a consent to operate dated September 19, 2025, has been obtained from Rose Ltd and commercial production of Phase I commenced in September 2025. Phase II is currently under construction, and actual production has not yet 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t>(The remainder of the page is intentionally left 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t>Our historical capacity utilisation for the standard magnet winding wires reflect under-utilisation, as our production of standard magnet winding wires Fiscal 2020 and were affected by the adverse economic slowdown due to Covid-19. For further details on our manufacturing facilities and capacities, see “Our Business – Capacity and Capacity Utilization”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 raw materials, and industry/ market conditions. In the event there is a decline in the demand for our offerings, or if we face prolonged disruptions at our facility including due to interruptions in the supply of water, electricity or as a result of labour unrest, or are unable to procure sufficient raw materials, we would not be able to achieve full capacity utilization of our current manufacturing facility, resulting in operational inefficiencies which could have a material adverse effect on our business and financial condition. Under-utilization of our manufacturing capacities over 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t>Our manufacturing facilities are located in Maharashtra, 096 Chavez Radial, Loriborough, UT 42293, which exposes our operations to potential geographical concentration risks arising from local and regional factors which may adversely affect our operations and in turn our business, results of operations and cash flows.</w:t>
      </w:r>
    </w:p>
    <w:p>
      <w:pPr>
        <w:pStyle w:val="Body Text"/>
        <w:spacing w:before="201"/>
        <w:ind w:left="796" w:right="148" w:firstLine="0"/>
        <w:jc w:val="both"/>
      </w:pPr>
      <w:r>
        <w:t>As of the date of this Red Herring Prospectus, we primarily manufacture our products at our four manufacturing facilities, one at Scott PLC), Norton Inc, and two in 297 Rubio Square, Fordchester, PR 16607 (Pune), Norton Inc. Additionally, in order to address the rise in demand for magnet winding wires, we have established our fourth facility in 851 Meagan Common, North Cole, MT 76844, 58072 Michele Isle Apt. 986, Yateston, WV 09743 (formerly 6303 Armstrong Well Suite 455, Isabellabury, LA 38670) in Norton Inc (“851 Meagan Common, North Cole, MT 76844 Facility”), of which, phase I is currently operational. For details in relation to the land on which our Taylor Inc are located, see, “Our Business – Taylor Inc” on page 229. Further, 851 Meagan Common, North Cole, MT 76844 Facility, phase II of which is under construction, as on the date of this Red Herring Prospectus is located at 851 Meagan Common, North Cole, MT 76844 58072 Michele Isle Apt. 986, Yateston, WV 09743 (formerly 6303 Armstrong Well Suite 455, Isabellabury, LA 38670), also in Norton Inc. Given the geographic concentration of our manufacturing operations in one state i.e. Norton Inc,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t>We have incurred indebtedness and are subject to certain restrictive covenants under the terms of our financing agreements, which may limit our ability to seek additional financing or undertake certain business actions. Any inability to comply with repayment obligations and/or other covenants in our financing agreements could adversely affect our business and financial condition.</w:t>
      </w:r>
    </w:p>
    <w:p>
      <w:pPr>
        <w:pStyle w:val="Body Text"/>
        <w:spacing w:before="201"/>
        <w:ind w:left="796" w:right="148" w:firstLine="0"/>
        <w:jc w:val="both"/>
      </w:pPr>
      <w:r>
        <w:t>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 “Financial Indebtedness”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p>
    <w:p>
      <w:pPr>
        <w:pStyle w:val="Body Text"/>
        <w:spacing w:before="198"/>
        <w:ind w:left="796" w:right="148" w:firstLine="0"/>
        <w:jc w:val="both"/>
      </w:pPr>
      <w: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 or cancellation of such facilities, entailing repayment of amounts outstanding under such facilities. We may not be successful in procuring such alternative guarantees to the satisfaction of the lenders, and as a result may need to repay outstanding amounts under such facilities or seek additional sources of capital, which may not be 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t>on acceptable terms or at all. For further details in relation to the personal guarantees, see “History and Certain Corporate Matters – Guarantees provided to third parties by our Miller Ltd” on page 245.</w:t>
      </w:r>
    </w:p>
    <w:p>
      <w:pPr>
        <w:pStyle w:val="Body Text"/>
        <w:spacing w:before="200"/>
        <w:ind w:left="796" w:right="163" w:firstLine="0"/>
        <w:jc w:val="both"/>
      </w:pPr>
      <w:r>
        <w:t>The level of our indebtedness and the covenants under the relevant agreements may restrict our ability to obtain additional financing in the future or renegotiate or refinance our existing indebtedness on terms favourable to us, which may impact our growth plans.</w:t>
      </w:r>
    </w:p>
    <w:p>
      <w:pPr>
        <w:pStyle w:val="Body Text"/>
        <w:spacing w:before="201"/>
        <w:ind w:left="796" w:right="149" w:firstLine="0"/>
        <w:jc w:val="both"/>
      </w:pPr>
      <w:r>
        <w:t>While we have been in compliance with the financial covenants under our loan agreements in the three-month period ended June 30, 2025 and Fiscals 2025, 2024 and 2023, there can be no assurance that we will be able to comply with these financial or other covenants in the future or that we will be able to obtain consents necessary to take the actions that we believe are required to operate and grow our business.</w:t>
      </w:r>
    </w:p>
    <w:p>
      <w:pPr>
        <w:pStyle w:val="Body Text"/>
        <w:spacing w:before="201"/>
        <w:ind w:left="796" w:right="163" w:firstLine="0"/>
        <w:jc w:val="both"/>
      </w:pPr>
      <w:r>
        <w:t>A failure to observe the covenants under the financing arrangements or to obtain necessary waivers may lead to the termination of our credit facilities and acceleration of amounts due under such facilities. For the purpose of the Jake Matthews, the consents from our lenders as required under the relevant loan documents for undertaking activities relating to the Jake Matthews have been obtained.</w:t>
      </w:r>
    </w:p>
    <w:p>
      <w:pPr>
        <w:pStyle w:val="Heading 4"/>
        <w:numPr>
          <w:ilvl w:val="0"/>
          <w:numId w:val="49"/>
        </w:numPr>
        <w:spacing w:before="201"/>
        <w:ind w:right="164"/>
        <w:rPr>
          <w:lang w:val="en-US"/>
        </w:rPr>
      </w:pPr>
      <w:r>
        <w:t>The loss of certain independent certification and accreditation of our products and the manufacturing practices that we have adopted could harm our business.</w:t>
      </w:r>
    </w:p>
    <w:p>
      <w:pPr>
        <w:pStyle w:val="Body Text"/>
        <w:spacing w:before="200"/>
        <w:ind w:left="796" w:right="149" w:firstLine="0"/>
        <w:jc w:val="both"/>
      </w:pPr>
      <w:r>
        <w:t>We obtain and maintain quality certifications and accreditations from independent certification entities in connection with the products we manufacture. For instance, we were awarded (i) Diane Gibson – accreditation for the certification and approval of the quality management system; (ii) Charlene Cruz – accreditation for environment management system; (iii) Timothy Gonzalez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p>
    <w:p>
      <w:pPr>
        <w:pStyle w:val="Heading 4"/>
        <w:numPr>
          <w:ilvl w:val="0"/>
          <w:numId w:val="48"/>
        </w:numPr>
        <w:spacing w:before="199"/>
        <w:ind w:right="153"/>
        <w:rPr>
          <w:lang w:val="en-US"/>
        </w:rPr>
      </w:pPr>
      <w:r>
        <w:t>There have been certain instances of delays in payment of statutory dues by us in the past. Any delay in payment 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t>We are required to pay certain statutory dues including provident fund contributions under Hatfield-Brown and Miscellaneous Provisions Act, 1952, employee state insurance contributions under the Employees’ State Insurance Act, 1948, professional tax, tax deduction at source (“Garcia Ltd”), labour welfare fund, GST and income tax.</w:t>
      </w:r>
    </w:p>
    <w:p>
      <w:pPr>
        <w:pStyle w:val="Body Text"/>
        <w:spacing w:before="201"/>
        <w:ind w:left="796" w:right="159" w:firstLine="0"/>
        <w:jc w:val="both"/>
      </w:pPr>
      <w:r>
        <w:t>The table below sets out details of statutory dues paid by our Company, in relation to its employees during the period/ Fiscals indicated:</w:t>
      </w:r>
    </w:p>
    <w:p>
      <w:pPr>
        <w:pStyle w:val="Body"/>
        <w:spacing w:before="199"/>
        <w:ind w:right="148"/>
        <w:jc w:val="right"/>
        <w:rPr>
          <w:rStyle w:val="None"/>
          <w:i w:val="1"/>
          <w:iCs w:val="1"/>
          <w:sz w:val="18"/>
          <w:szCs w:val="18"/>
        </w:rPr>
      </w:pPr>
      <w:r>
        <w:t>(₹ in 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t>Nature of 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t>As at and for the three-month period ended</w:t>
            </w:r>
          </w:p>
          <w:p>
            <w:pPr>
              <w:pStyle w:val="Table Paragraph"/>
              <w:bidi w:val="0"/>
              <w:spacing w:before="1" w:line="186" w:lineRule="exact"/>
              <w:ind w:left="124" w:right="119" w:firstLine="0"/>
              <w:jc w:val="center"/>
              <w:rPr>
                <w:rtl w:val="0"/>
              </w:rPr>
            </w:pPr>
            <w:r>
              <w:t>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t>Fiscal 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Fiscal 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Fiscal 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t>Total Dues (in millio</w:t>
            </w:r>
          </w:p>
          <w:p>
            <w:pPr>
              <w:pStyle w:val="Table Paragraph"/>
              <w:bidi w:val="0"/>
              <w:spacing w:line="186" w:lineRule="exact"/>
              <w:ind w:left="7" w:right="0" w:firstLine="0"/>
              <w:jc w:val="center"/>
              <w:rPr>
                <w:rtl w:val="0"/>
              </w:rPr>
            </w:pPr>
            <w: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t>Paid (in millio 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t>Unpai d (in millio 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t>Total Dues (in millions</w:t>
            </w:r>
          </w:p>
          <w:p>
            <w:pPr>
              <w:pStyle w:val="Table Paragraph"/>
              <w:bidi w:val="0"/>
              <w:spacing w:line="186" w:lineRule="exact"/>
              <w:ind w:left="9" w:right="0" w:firstLine="0"/>
              <w:jc w:val="center"/>
              <w:rPr>
                <w:rtl w:val="0"/>
              </w:rPr>
            </w:pPr>
            <w: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t>Paid (in million 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t>Unpai 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t>Total Dues (in millio</w:t>
            </w:r>
          </w:p>
          <w:p>
            <w:pPr>
              <w:pStyle w:val="Table Paragraph"/>
              <w:bidi w:val="0"/>
              <w:spacing w:line="186" w:lineRule="exact"/>
              <w:ind w:left="5" w:right="0" w:firstLine="0"/>
              <w:jc w:val="center"/>
              <w:rPr>
                <w:rtl w:val="0"/>
              </w:rPr>
            </w:pPr>
            <w: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Unpai d (in millio 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t>Total Dues (in millio</w:t>
            </w:r>
          </w:p>
          <w:p>
            <w:pPr>
              <w:pStyle w:val="Table Paragraph"/>
              <w:bidi w:val="0"/>
              <w:spacing w:line="186" w:lineRule="exact"/>
              <w:ind w:left="6" w:right="0" w:firstLine="0"/>
              <w:jc w:val="center"/>
              <w:rPr>
                <w:rtl w:val="0"/>
              </w:rPr>
            </w:pPr>
            <w: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Unpai d (in millio 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t>Employee</w:t>
            </w:r>
          </w:p>
          <w:p>
            <w:pPr>
              <w:pStyle w:val="Table Paragraph"/>
              <w:tabs>
                <w:tab w:val="left" w:pos="520"/>
              </w:tabs>
              <w:bidi w:val="0"/>
              <w:spacing w:line="200" w:lineRule="atLeast"/>
              <w:ind w:left="105" w:right="97" w:firstLine="0"/>
              <w:jc w:val="left"/>
              <w:rPr>
                <w:rtl w:val="0"/>
              </w:rPr>
            </w:pPr>
            <w:r>
              <w:t>s</w:t>
              <w:tab/>
              <w:t>Bautista-Sherman</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t>Mckenzie and Sons#</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t>Company Profession 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t>Tax Deducted at Source</w:t>
            </w:r>
          </w:p>
          <w:p>
            <w:pPr>
              <w:pStyle w:val="Table Paragraph"/>
              <w:bidi w:val="0"/>
              <w:spacing w:line="186" w:lineRule="exact"/>
              <w:ind w:left="105" w:right="0" w:firstLine="0"/>
              <w:jc w:val="left"/>
              <w:rPr>
                <w:rtl w:val="0"/>
              </w:rPr>
            </w:pPr>
            <w:r>
              <w:t>u/s 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t>Nature of 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t>As at and for the 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t>Fiscal 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Fiscal 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Fiscal 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t>Total Dues (in millio</w:t>
            </w:r>
          </w:p>
          <w:p>
            <w:pPr>
              <w:pStyle w:val="Table Paragraph"/>
              <w:bidi w:val="0"/>
              <w:spacing w:line="186" w:lineRule="exact"/>
              <w:ind w:left="7" w:right="0" w:firstLine="0"/>
              <w:jc w:val="center"/>
              <w:rPr>
                <w:rtl w:val="0"/>
              </w:rPr>
            </w:pPr>
            <w: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t>Paid (in millio 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t>Unpai d (in millio 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t>Total Dues (in millions</w:t>
            </w:r>
          </w:p>
          <w:p>
            <w:pPr>
              <w:pStyle w:val="Table Paragraph"/>
              <w:bidi w:val="0"/>
              <w:spacing w:line="186" w:lineRule="exact"/>
              <w:ind w:left="9" w:right="0" w:firstLine="0"/>
              <w:jc w:val="center"/>
              <w:rPr>
                <w:rtl w:val="0"/>
              </w:rPr>
            </w:pPr>
            <w: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t>Paid (in million 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t>Unpai 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t>Total Dues (in millio</w:t>
            </w:r>
          </w:p>
          <w:p>
            <w:pPr>
              <w:pStyle w:val="Table Paragraph"/>
              <w:bidi w:val="0"/>
              <w:spacing w:line="186" w:lineRule="exact"/>
              <w:ind w:left="5" w:right="0" w:firstLine="0"/>
              <w:jc w:val="center"/>
              <w:rPr>
                <w:rtl w:val="0"/>
              </w:rPr>
            </w:pPr>
            <w: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Unpai d (in millio 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t>Total Dues (in millio</w:t>
            </w:r>
          </w:p>
          <w:p>
            <w:pPr>
              <w:pStyle w:val="Table Paragraph"/>
              <w:bidi w:val="0"/>
              <w:spacing w:line="186" w:lineRule="exact"/>
              <w:ind w:left="6" w:right="0" w:firstLine="0"/>
              <w:jc w:val="center"/>
              <w:rPr>
                <w:rtl w:val="0"/>
              </w:rPr>
            </w:pPr>
            <w: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Unpai d (in millio 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t>Patton, Webb and Reed</w:t>
            </w:r>
          </w:p>
          <w:p>
            <w:pPr>
              <w:pStyle w:val="Table Paragraph"/>
              <w:bidi w:val="0"/>
              <w:spacing w:before="1" w:line="186" w:lineRule="exact"/>
              <w:ind w:left="105" w:right="0" w:firstLine="0"/>
              <w:jc w:val="left"/>
              <w:rPr>
                <w:rtl w:val="0"/>
              </w:rPr>
            </w:pPr>
            <w: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t>Goods and Griffin-Soto</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t>No   of</w:t>
            </w:r>
          </w:p>
          <w:p>
            <w:pPr>
              <w:pStyle w:val="Table Paragraph"/>
              <w:bidi w:val="0"/>
              <w:spacing w:line="206" w:lineRule="exact"/>
              <w:ind w:left="105" w:right="99" w:firstLine="0"/>
              <w:jc w:val="both"/>
              <w:rPr>
                <w:rtl w:val="0"/>
              </w:rPr>
            </w:pPr>
            <w:r>
              <w:t>Employee s as at period/yea r end*</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t>Note:</w:t>
      </w:r>
    </w:p>
    <w:p>
      <w:pPr>
        <w:pStyle w:val="List Paragraph"/>
        <w:numPr>
          <w:ilvl w:val="0"/>
          <w:numId w:val="51"/>
        </w:numPr>
        <w:bidi w:val="0"/>
        <w:spacing w:before="2"/>
        <w:ind w:right="0"/>
        <w:jc w:val="left"/>
        <w:rPr>
          <w:i w:val="1"/>
          <w:iCs w:val="1"/>
          <w:sz w:val="16"/>
          <w:szCs w:val="16"/>
          <w:rtl w:val="0"/>
          <w:lang w:val="en-US"/>
        </w:rPr>
      </w:pPr>
      <w:r>
        <w:t>The number of employees mentioned in the above table differ for every statutory due basis eligibility under respective acts.</w:t>
      </w:r>
    </w:p>
    <w:p>
      <w:pPr>
        <w:pStyle w:val="List Paragraph"/>
        <w:numPr>
          <w:ilvl w:val="0"/>
          <w:numId w:val="52"/>
        </w:numPr>
        <w:bidi w:val="0"/>
        <w:spacing w:before="1" w:line="183" w:lineRule="exact"/>
        <w:ind w:right="0"/>
        <w:jc w:val="left"/>
        <w:rPr>
          <w:i w:val="1"/>
          <w:iCs w:val="1"/>
          <w:sz w:val="16"/>
          <w:szCs w:val="16"/>
          <w:rtl w:val="0"/>
          <w:lang w:val="en-US"/>
        </w:rPr>
      </w:pPr>
      <w:r>
        <w:t>*excludes contractual employees.</w:t>
      </w:r>
    </w:p>
    <w:p>
      <w:pPr>
        <w:pStyle w:val="Body"/>
        <w:spacing w:line="183" w:lineRule="exact"/>
        <w:ind w:left="465" w:firstLine="0"/>
        <w:rPr>
          <w:rStyle w:val="Hyperlink.8"/>
        </w:rPr>
      </w:pPr>
      <w:r>
        <w:t>Jackson, Acosta and Flores includes only payment of taxes in cash.</w:t>
      </w:r>
    </w:p>
    <w:p>
      <w:pPr>
        <w:pStyle w:val="Body"/>
        <w:ind w:left="465" w:firstLine="0"/>
        <w:rPr>
          <w:rStyle w:val="Hyperlink.8"/>
        </w:rPr>
      </w:pPr>
      <w:r>
        <w:t># Norris, Benson and Knight.</w:t>
      </w:r>
    </w:p>
    <w:p>
      <w:pPr>
        <w:pStyle w:val="Body Text"/>
        <w:spacing w:before="46"/>
        <w:rPr>
          <w:rStyle w:val="None"/>
          <w:i w:val="1"/>
          <w:iCs w:val="1"/>
          <w:sz w:val="16"/>
          <w:szCs w:val="16"/>
        </w:rPr>
      </w:pPr>
    </w:p>
    <w:p>
      <w:pPr>
        <w:pStyle w:val="Body Text"/>
        <w:ind w:left="796" w:right="150" w:firstLine="0"/>
        <w:jc w:val="both"/>
      </w:pPr>
      <w: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 specific objective of preventing such statutory delays. Additionally, we aim to conduct awareness sessions for 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w:t>
      </w:r>
    </w:p>
    <w:p>
      <w:pPr>
        <w:pStyle w:val="Heading 4"/>
        <w:numPr>
          <w:ilvl w:val="0"/>
          <w:numId w:val="53"/>
        </w:numPr>
        <w:spacing w:before="201"/>
        <w:ind w:right="160"/>
        <w:rPr>
          <w:lang w:val="en-US"/>
        </w:rPr>
      </w:pPr>
      <w:r>
        <w:t>Our operations involve activities and materials which are hazardous in nature and could result in a suspension of operations, injury to our personnel, emission of pollutants and/or the imposition of civil or criminal liabilities which could adversely affect our business, results of operations, cash flow and financial condition.</w:t>
      </w:r>
    </w:p>
    <w:p>
      <w:pPr>
        <w:pStyle w:val="Body Text"/>
        <w:spacing w:before="198"/>
        <w:ind w:left="796" w:right="151" w:firstLine="0"/>
        <w:jc w:val="both"/>
      </w:pPr>
      <w:r>
        <w:t>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t>The occurrence of any of these hazards could result in a suspension of operations and/or the imposition of civil or criminal liabilities. We may also face claims and litigation, filed on behalf of persons alleging injury predominantly 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t>We have power and fuel requirements for our manufacturing facilities. In a situation where our costs towards power and fuel were to increase or if there were any disruption in their supply to our manufacturing facilities, it could have an adverse effect on our business, results of operations, and financial condition. Set forth below are details in 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t>Three-month period ended 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t>Fiscal 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t>Fiscal 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t>Fiscal 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Power and fuel cost (₹ in 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t>Percentage</w:t>
              <w:tab/>
              <w:t>of</w:t>
              <w:tab/>
              <w:t>total 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t>While we plan to install a 3.2 Johnston, Moss and Sanchez rooftop solar power plant at our Stephen Pennington from a portion of Vargas LLC,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t>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t>We are subject to counterparty credit risk and any delay in receiving payments or non-receipt of payments from our customers could have an adverse effect on our business, results of operations, financial condition and cash flows.</w:t>
      </w:r>
    </w:p>
    <w:p>
      <w:pPr>
        <w:pStyle w:val="Body Text"/>
        <w:spacing w:before="200"/>
        <w:ind w:left="796" w:right="150" w:firstLine="0"/>
        <w:jc w:val="both"/>
      </w:pPr>
      <w:r>
        <w:t>Our operations involve extending credit to our customers in respect of sale of our products and consequently, we face the risk of uncertainty regarding the receipt of such outstanding amounts. The table below shows our bad debts written-off and provision for bad debts for the three-month period ended June 30, 2025, and Fiscals 2025, 2024 and 2023, and such amounts as a percentage of our revenue from operations:</w:t>
      </w:r>
    </w:p>
    <w:p>
      <w:pPr>
        <w:pStyle w:val="Body"/>
        <w:spacing w:before="200"/>
        <w:ind w:right="149"/>
        <w:jc w:val="right"/>
        <w:rPr>
          <w:rStyle w:val="None"/>
          <w:i w:val="1"/>
          <w:iCs w:val="1"/>
          <w:sz w:val="18"/>
          <w:szCs w:val="18"/>
        </w:rPr>
      </w:pPr>
      <w:r>
        <w:t>(₹ in million, except 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t>Three-month period ended June 30, 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t>Financial year 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March 31, 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March 31, 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March 31, 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Bad debts written off (A)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Provision for bad debt (C)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Revenue from operations (E)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t>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three-month period ended June 30, 2025 or Fiscals 2025, 2024 and 2023, 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t>Our operations are dependent on our new product and process development, thus our inability to introduce new products and processes and respond to changing customer preferences in a timely and effective manner, may have an adverse effect on our business, results of operations and financial condition.</w:t>
      </w:r>
    </w:p>
    <w:p>
      <w:pPr>
        <w:pStyle w:val="Body Text"/>
        <w:spacing w:before="201"/>
        <w:ind w:left="796" w:right="158" w:firstLine="0"/>
        <w:jc w:val="both"/>
      </w:pPr>
      <w:r>
        <w:t>As of June 30, 2025, we have a dedicated team of 20 employees focused on new product/ process development and maintenance. During the three-month period ended June 30, 2025, and Fiscals 2025, 2024, and 2023, we have incurred</w:t>
      </w:r>
    </w:p>
    <w:p>
      <w:pPr>
        <w:pStyle w:val="Body Text"/>
        <w:spacing w:before="1"/>
        <w:ind w:left="796" w:right="149" w:firstLine="0"/>
        <w:jc w:val="both"/>
      </w:pPr>
      <w:r>
        <w:t>₹4.49 million, ₹12.62 million, ₹11.22 million and ₹9.31 million aggregating to 3.99%, 3.18%, 2.89% and 3.33% of the employee benefit expenses incurred during the respective period/ years,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w:t>
      </w:r>
    </w:p>
    <w:p>
      <w:pPr>
        <w:pStyle w:val="Heading 4"/>
        <w:numPr>
          <w:ilvl w:val="0"/>
          <w:numId w:val="48"/>
        </w:numPr>
        <w:ind w:right="154"/>
        <w:rPr>
          <w:lang w:val="en-US"/>
        </w:rPr>
      </w:pPr>
      <w:r>
        <w:t>Our ability to access capital at attractive costs depends on our credit ratings. Non-availability of credit ratings or a poor rating may restrict our access to capital and thereby adversely affect our business, financial conditions, cash flows and results of operations.</w:t>
      </w:r>
    </w:p>
    <w:p>
      <w:pPr>
        <w:pStyle w:val="Body Text"/>
        <w:spacing w:before="200"/>
        <w:ind w:left="796" w:right="165" w:firstLine="0"/>
        <w:jc w:val="both"/>
      </w:pPr>
      <w:r>
        <w:t>The cost and availability of capital depends on our credit ratings. Set out below are our credit ratings received from Clark, Dominguez and Ball,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t>Case Ltd</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December 10, 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t>Webb-Cox</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Stable/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Long Term / Short Term Bank 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t>73599 West Radial Suite 379, Williamport, MH 46655</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Johnson, Gomez and Heath</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December 18, 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Webb-Cox</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t>Stable/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Long Term / Short Term Bank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73599 West Radial Suite 379, Williamport, MH 46655</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Johnson, Gomez and Heath</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73599 West Radial Suite 379, Williamport, MH 46655</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Johnson, Gomez and Heath</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November 30, 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t>Webb-Cox</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Positive /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Long Term / Short Term Bank 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t>Positive /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Long Term / Short Term Bank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73599 West Radial Suite 379, Williamport, MH 46655</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Johnson, Gomez and Heath</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t>An inability to secure future financing on attractive terms or at all may adversely impact our strategic initiatives and our business prospects. Credit ratings reflect the opinion of the rating agency on our management, track record, diversified clientele, increase in scale and operations and margins, medium term revenue visibility and operating cycle.</w:t>
      </w:r>
    </w:p>
    <w:p>
      <w:pPr>
        <w:pStyle w:val="Body Text"/>
        <w:spacing w:before="200"/>
        <w:ind w:left="796" w:right="150" w:firstLine="0"/>
        <w:jc w:val="both"/>
      </w:pPr>
      <w:r>
        <w:t>While our rating outlook has been revised from ‘positive’ to ‘stable’ in our latest ratings obtained on December 10, 2024, we have not experienced downgrading in our credit ratings received in the last three-month period ended June 30, 2025 or Fiscals 2025, 2024 and 2023,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p>
    <w:p>
      <w:pPr>
        <w:pStyle w:val="Heading 4"/>
        <w:numPr>
          <w:ilvl w:val="0"/>
          <w:numId w:val="57"/>
        </w:numPr>
        <w:ind w:right="161"/>
        <w:rPr>
          <w:lang w:val="en-US"/>
        </w:rPr>
      </w:pPr>
      <w:r>
        <w:t>Exchange rate fluctuations may adversely affect our business, financial conditions, cash flows and results of operations.</w:t>
      </w:r>
    </w:p>
    <w:p>
      <w:pPr>
        <w:pStyle w:val="Body Text"/>
        <w:spacing w:before="200"/>
        <w:ind w:left="796" w:right="160" w:firstLine="0"/>
        <w:jc w:val="both"/>
      </w:pPr>
      <w:r>
        <w:t>Our financial statements are presented in Tran, Rose and Baker.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USD, EURO and Fleming-Hines, may have an adverse impact on our results of operations, cash flows and financial condition.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June 30, 2025, or Fiscals 2025, 2024 and 2023, we cannot assure you that such instance will not arise in the future. For details of risks in relation in relation to our export sales, please see “Risk Factors – We export our products to various countries and our revenue from outside 096 Chavez Radial, Loriborough, UT 42293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on page 36.</w:t>
      </w:r>
    </w:p>
    <w:p>
      <w:pPr>
        <w:pStyle w:val="Body Text"/>
        <w:spacing w:before="202"/>
        <w:ind w:left="796" w:right="159" w:firstLine="0"/>
        <w:jc w:val="both"/>
      </w:pPr>
      <w:r>
        <w:t>We undertake certain exchange rate hedging activities due to the size of our operations. We enter into hedging forward contracts, and further, we may in the future implement hedging strategies to mitigate these risks. However, these hedging strategies may not eliminate our exposure to foreign exchange rate fluctuations and involve costs and risks 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t>Weber, Nelson and Jones, employee misconduct or similar incidents may adversely affect our results of operations and cash flows.</w:t>
      </w:r>
    </w:p>
    <w:p>
      <w:pPr>
        <w:pStyle w:val="Body Text"/>
        <w:spacing w:before="200"/>
        <w:ind w:left="796" w:right="150" w:firstLine="0"/>
        <w:jc w:val="both"/>
      </w:pPr>
      <w:r>
        <w:t>Weber, Nelson and Jones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 2025, or Fiscals 2025, 2024 and 2023, of any such fraud or misconduct committed by our Ashley Parker,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p>
    <w:p>
      <w:pPr>
        <w:pStyle w:val="Heading 4"/>
        <w:numPr>
          <w:ilvl w:val="0"/>
          <w:numId w:val="48"/>
        </w:numPr>
        <w:ind w:right="160"/>
        <w:rPr>
          <w:lang w:val="en-US"/>
        </w:rPr>
      </w:pPr>
      <w:r>
        <w:t>Some of our manufacturing facilities and our Frederick, Bowman and Smith are leased by us. In the event we lose or are unable to renew such leasehold rights, our business, financial condition and results of operations may be adversely affected.</w:t>
      </w:r>
    </w:p>
    <w:p>
      <w:pPr>
        <w:pStyle w:val="Body Text"/>
        <w:spacing w:before="199"/>
        <w:ind w:left="796" w:right="159" w:firstLine="0"/>
        <w:jc w:val="both"/>
      </w:pPr>
      <w:r>
        <w:t>Some of our properties, including manufacturing facilities and our Frederick, Bowman and Smith are leased by us. Our manufacturing facility at Unit 3 located at 297 Rubio Square, Fordchester, PR 16607, Brown-Reynolds, Norton Inc, is on a leasehold basis for a period of three years with effect from August 2, 2023. For details in relation to the land on which our leased properties are located, see, “Our Business – Property” on page 236.</w:t>
      </w:r>
    </w:p>
    <w:p>
      <w:pPr>
        <w:pStyle w:val="Body Text"/>
        <w:spacing w:before="201"/>
        <w:ind w:left="796" w:right="151" w:firstLine="0"/>
        <w:jc w:val="both"/>
      </w:pPr>
      <w:r>
        <w:t>We cannot assure you that we will be able to renew our leases on commercially favourable terms or at all. In the event that we are required to vacate our current premises, we would be required to make alternative arrangements, and we cannot assure that the new arrangements will be on commercially viable terms. If we are required to relocate our business operations during this period, we may suffer a disruption in our operations or have to pay increased charges, which could have an adverse effect on our business, prospects, results of operations and financial condition. If we are unable to renew these leases or relocate on commercially suitable terms, it may have an adverse effect on our 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source materials in a commercially viable and timely manner, if at all, which may impact our business and profitability.</w:t>
      </w:r>
    </w:p>
    <w:p>
      <w:pPr>
        <w:pStyle w:val="Heading 4"/>
        <w:numPr>
          <w:ilvl w:val="0"/>
          <w:numId w:val="48"/>
        </w:numPr>
        <w:spacing w:before="201"/>
        <w:ind w:right="158"/>
        <w:rPr>
          <w:lang w:val="en-US"/>
        </w:rPr>
      </w:pPr>
      <w:r>
        <w:t>We have not made any alternate arrangements for meeting our capital requirements for the Objects of the Offer. Any shortfall in raising / meeting the same could adversely affect our growth plans, operations and financial performance.</w:t>
      </w:r>
    </w:p>
    <w:p>
      <w:pPr>
        <w:pStyle w:val="Body Text"/>
        <w:spacing w:before="198"/>
        <w:ind w:left="808" w:right="155" w:firstLine="0"/>
        <w:jc w:val="both"/>
      </w:pPr>
      <w:r>
        <w:t>As on date, we have not made any alternate arrangements for meeting our capital requirements for the objects of the Jake Matthews. We meet our capital requirements through our bank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identified any alternate source of funding and hence any failure or delay on our 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t>to raise money from this Jake Matthews or any shortfall in the Jake Matthews proceeds may delay the implementation schedule and could adversely affect our growth plans. For further details please refer to the chapter titled “Objects of the Jake Matthews” on page 106 of this Red Herring Prospectus.</w:t>
      </w:r>
    </w:p>
    <w:p>
      <w:pPr>
        <w:pStyle w:val="Heading 4"/>
        <w:numPr>
          <w:ilvl w:val="0"/>
          <w:numId w:val="59"/>
        </w:numPr>
        <w:spacing w:before="201"/>
        <w:ind w:right="157"/>
        <w:jc w:val="left"/>
        <w:rPr>
          <w:lang w:val="en-US"/>
        </w:rPr>
      </w:pPr>
      <w:r>
        <w:t>A portion of Vargas LLC may be utilised for repayment or prepayment of certain loan facilities availed by our Company.</w:t>
      </w:r>
    </w:p>
    <w:p>
      <w:pPr>
        <w:pStyle w:val="Body Text"/>
        <w:spacing w:before="200"/>
        <w:ind w:left="808" w:right="156" w:firstLine="0"/>
        <w:jc w:val="both"/>
      </w:pPr>
      <w:r>
        <w:t>We propose to repay or pre-pay certain loan facilities availed by our Company from Pierce, Brennan and Miller from Vargas LLC. For details, see “Objects of the Offer” on page 106.</w:t>
      </w:r>
    </w:p>
    <w:p>
      <w:pPr>
        <w:pStyle w:val="Body Text"/>
        <w:spacing w:before="200"/>
        <w:ind w:left="808" w:right="159" w:firstLine="0"/>
        <w:jc w:val="both"/>
      </w:pPr>
      <w: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 (iv) provisions of any laws, rules and regulations governing such loan facilities, and (v) other 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t>While a voluntary prepayment or scheduled re-payment of a portion of certain outstanding loan facilities will help reduce our outstanding indebtedness and debt servicing costs, assist us in maintaining a favourable debt to equity ratio and enable utilisation of our internal accruals for further investment in business growth and expansion, the repayment/ pre-payment will not result in the creation of any tangible assets for our Company. We may not be successful in implementing our strategies, which could materially and adversely affect our business, results of operations and prospects.</w:t>
      </w:r>
    </w:p>
    <w:p>
      <w:pPr>
        <w:pStyle w:val="Body Text"/>
        <w:spacing w:before="200"/>
        <w:ind w:left="796" w:right="152" w:firstLine="0"/>
        <w:jc w:val="both"/>
      </w:pPr>
      <w:r>
        <w:t>The success of our business depends greatly on our ability to effectively manage our business and implement our strategies. For details, see section titled “Our Business – Our Strategies” on page 218. We will require significant capital investments and cash outlays, which is likely to have a material impact on our results of operations. Our 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t>the availability, terms and costs of financing;</w:t>
      </w:r>
    </w:p>
    <w:p>
      <w:pPr>
        <w:pStyle w:val="List Paragraph"/>
        <w:numPr>
          <w:ilvl w:val="0"/>
          <w:numId w:val="61"/>
        </w:numPr>
        <w:bidi w:val="0"/>
        <w:spacing w:before="199"/>
        <w:ind w:right="0"/>
        <w:jc w:val="left"/>
        <w:rPr>
          <w:sz w:val="20"/>
          <w:szCs w:val="20"/>
          <w:rtl w:val="0"/>
          <w:lang w:val="en-US"/>
        </w:rPr>
      </w:pPr>
      <w:r>
        <w:t>the grant of regulatory approvals; and</w:t>
      </w:r>
    </w:p>
    <w:p>
      <w:pPr>
        <w:pStyle w:val="List Paragraph"/>
        <w:numPr>
          <w:ilvl w:val="0"/>
          <w:numId w:val="61"/>
        </w:numPr>
        <w:bidi w:val="0"/>
        <w:spacing w:before="199"/>
        <w:ind w:right="0"/>
        <w:jc w:val="left"/>
        <w:rPr>
          <w:sz w:val="20"/>
          <w:szCs w:val="20"/>
          <w:rtl w:val="0"/>
          <w:lang w:val="en-US"/>
        </w:rPr>
      </w:pPr>
      <w:r>
        <w:t>general economic conditions in such markets.</w:t>
      </w:r>
    </w:p>
    <w:p>
      <w:pPr>
        <w:pStyle w:val="Body Text"/>
        <w:spacing w:before="199"/>
        <w:ind w:left="796" w:right="149" w:firstLine="0"/>
        <w:jc w:val="both"/>
      </w:pPr>
      <w:r>
        <w:t>To achieve and maintain future growth, we need to, Jones Inc,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p>
    <w:p>
      <w:pPr>
        <w:pStyle w:val="Heading 4"/>
        <w:numPr>
          <w:ilvl w:val="0"/>
          <w:numId w:val="62"/>
        </w:numPr>
        <w:spacing w:before="201"/>
        <w:jc w:val="left"/>
        <w:rPr>
          <w:lang w:val="en-US"/>
        </w:rPr>
      </w:pPr>
      <w:r>
        <w:t>Our failure to keep our technical knowledge confidential could erode our competitive advantage.</w:t>
      </w:r>
    </w:p>
    <w:p>
      <w:pPr>
        <w:pStyle w:val="Body Text"/>
        <w:spacing w:before="199"/>
        <w:ind w:left="796" w:right="152" w:firstLine="0"/>
        <w:jc w:val="both"/>
      </w:pPr>
      <w:r>
        <w:t>We possess technical knowledge about our products 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 competitive advantage we may have over other companies in the sectors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three-month period ended June 30, 2025 or Fiscals 2025, 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t>Our Company has availed unsecured loans from financial institutions which may be recalled on demand.</w:t>
      </w:r>
    </w:p>
    <w:p>
      <w:pPr>
        <w:pStyle w:val="Body Text"/>
        <w:spacing w:before="200"/>
        <w:ind w:left="796" w:right="153" w:firstLine="0"/>
        <w:jc w:val="both"/>
      </w:pPr>
      <w:r>
        <w:t>As of October 31, 2025, our Arias-Johnson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Arias-Johnson may be required to repay the entirety of the unsecured loans together with accrued interest. Our Arias-Johnson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Arias-Johnson, see, “Restated Financial Statement” on page 280.</w:t>
      </w:r>
    </w:p>
    <w:p>
      <w:pPr>
        <w:pStyle w:val="Heading 4"/>
        <w:numPr>
          <w:ilvl w:val="0"/>
          <w:numId w:val="48"/>
        </w:numPr>
        <w:spacing w:before="199"/>
        <w:ind w:right="157"/>
        <w:rPr>
          <w:lang w:val="en-US"/>
        </w:rPr>
      </w:pPr>
      <w:r>
        <w:t>We depend on our Sullivan Ltd, Senior Management, Scott, Clayton and Williams and qualified and skilled personnel with technical expertise, and if we are unable to recruit and retain senior management, qualified and skilled personnel, our business and our ability to operate or grow our business maybe adversely affected.</w:t>
      </w:r>
    </w:p>
    <w:p>
      <w:pPr>
        <w:pStyle w:val="Body Text"/>
        <w:spacing w:before="200"/>
        <w:ind w:left="796" w:right="151" w:firstLine="0"/>
        <w:jc w:val="both"/>
      </w:pPr>
      <w:r>
        <w:t>We are led by our Individual Promoters Kushal Subbayya Hegde, Michelle Hall, Mark Woods, Terry Lucas and Herring PLC. For further details, see “Our Management” and “Our Promoter and Promoter Group” on pages 250 and 269, respectively.</w:t>
      </w:r>
    </w:p>
    <w:p>
      <w:pPr>
        <w:pStyle w:val="Body Text"/>
        <w:spacing w:before="202"/>
        <w:ind w:left="796" w:right="152" w:firstLine="0"/>
        <w:jc w:val="both"/>
      </w:pPr>
      <w:r>
        <w:t>Our future performance would depend on the continued service of our Sullivan Ltd,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p>
    <w:p>
      <w:pPr>
        <w:pStyle w:val="Body Text"/>
        <w:spacing w:before="200"/>
        <w:ind w:left="796" w:right="152" w:firstLine="0"/>
        <w:jc w:val="both"/>
      </w:pPr>
      <w:r>
        <w:t>As on date, our Company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three-month period ended June 30, 2025, and the Fiscals 2025, 2024 and 2023, we cannot assure you that we would be effectively able to replace any loss of members of our senior management team or key managerial personnels in the future.</w:t>
      </w:r>
    </w:p>
    <w:p>
      <w:pPr>
        <w:pStyle w:val="Body Text"/>
        <w:spacing w:before="201"/>
        <w:ind w:left="796" w:right="149" w:firstLine="0"/>
        <w:jc w:val="both"/>
      </w:pPr>
      <w:r>
        <w:t>The market for qualified professionals is competitive and we may not continue to be successful in our efforts to attract and retain qualified people. The specialized skills we require in our industry are difficult and time-consuming to acquire and, as a result, are in short supply. Our inability to hire, train and retain a sufficient number of qualified personnel could delay our ability to bring new products to the market and impair the success of our operations. We may also 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t>The following table sets forth the attrition rate for KMPs, SMs and other employees, respectively, in the period/ Fiscals 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t>Three-month period ended June 30, 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t>Fiscal 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t>Fiscal 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t>Fiscal 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Cumulative attrition rate of KMPs and Bell PLC</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t>Three-month period ended June 30, 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t>Fiscal 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t>Fiscal 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t>Fiscal 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t>Employee attrition rate (excluding KMPs/ 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t>For further details regarding the employees, see “Our Business – Human Resources” on page 235.</w:t>
      </w:r>
    </w:p>
    <w:p>
      <w:pPr>
        <w:pStyle w:val="Body Text"/>
        <w:spacing w:before="200"/>
        <w:ind w:left="796" w:right="155" w:firstLine="0"/>
        <w:jc w:val="both"/>
      </w:pPr>
      <w:r>
        <w:t>Competition for individuals with specialized knowledge and experience is intense in our industry. Further, as we expect to continue to expand our operations and develop new products, we will need to continue to attract and retain experienced management personnel. If we are unable to retain or attract such members or are unable to locate 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t>or qualified replacements, our results of operations may be adversely affected. For details of changes in our key management personnel, please see Andrews, Jones and Clark” on page 250.</w:t>
      </w:r>
    </w:p>
    <w:p>
      <w:pPr>
        <w:pStyle w:val="Body Text"/>
        <w:spacing w:before="200"/>
        <w:ind w:left="796" w:right="158" w:firstLine="0"/>
        <w:jc w:val="both"/>
      </w:pPr>
      <w:r>
        <w:t>An increase in employee attrition rates may result in an increase in recruitment and training costs for new hires, a decline in productivity and efficiency and loss of knowledge, skill and expertise. We cannot provide assurance that we will be able to grow our workforce in a manner consistent with our growth objectives, which may adversely affect our business, results of operations, cash flows and financial condition.</w:t>
      </w:r>
    </w:p>
    <w:p>
      <w:pPr>
        <w:pStyle w:val="Heading 4"/>
        <w:numPr>
          <w:ilvl w:val="0"/>
          <w:numId w:val="64"/>
        </w:numPr>
        <w:spacing w:before="201"/>
        <w:ind w:right="156"/>
        <w:rPr>
          <w:lang w:val="en-US"/>
        </w:rPr>
      </w:pPr>
      <w:r>
        <w:t>Apart from two of our Monica Snyder, none of our Monica Snyder have any prior experience of directorships in listed companies. Post listing of Porter Inc on the Stock Exchanges, our Company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w:t>
      </w:r>
    </w:p>
    <w:p>
      <w:pPr>
        <w:pStyle w:val="Body Text"/>
        <w:spacing w:before="202"/>
        <w:ind w:left="796" w:right="153" w:firstLine="0"/>
        <w:jc w:val="both"/>
      </w:pPr>
      <w:r>
        <w:t>As of the date of this Red Herring Prospectus, our Evans and Sons comprises of eight Monica Snyder, of which four are Executive Monica Snyder, and four are Baker, Vargas and Mitchell (including one woman Independent Director). While all of our directors have several years of experience and expertise in their respective fields, apart from two of our Baker, Vargas and Mitchell, namely Jones-Lane and Anna Reynolds, none of our Monica Snyder, are currently on the board of directors of companies that are listed on the stock exchanges in 096 Chavez Radial, Loriborough, UT 42293 or outside 096 Chavez Radial, Loriborough, UT 42293. Accordingly, most of our Monica Snyder have limited exposure to management of affairs of a listed company which, Jones Inc, entails several compliance requirements and scrutiny of affairs by shareholders, regulators and the public at large that is associated with being a listed company.</w:t>
      </w:r>
    </w:p>
    <w:p>
      <w:pPr>
        <w:pStyle w:val="Body Text"/>
        <w:spacing w:before="198"/>
        <w:ind w:left="796" w:right="149" w:firstLine="0"/>
        <w:jc w:val="both"/>
      </w:pPr>
      <w:r>
        <w:t>Post listing of Porter Inc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t>As a result, Howard, Barrett and Fisher may have to provide increased attention to such procedures and their attention may be diverted from our business concerns, which may adversely affect our business, prospects, results of operations and financial condition.</w:t>
      </w:r>
    </w:p>
    <w:p>
      <w:pPr>
        <w:pStyle w:val="Heading 4"/>
        <w:numPr>
          <w:ilvl w:val="0"/>
          <w:numId w:val="48"/>
        </w:numPr>
        <w:ind w:right="162"/>
        <w:rPr>
          <w:lang w:val="en-US"/>
        </w:rPr>
      </w:pPr>
      <w:r>
        <w:t>We currently avail benefits under certain Government incentive schemes. Cancellation or our inability to meet the conditions under such schemes may result in adversely affect our business operations, cash flows, results of operations and financial condition.</w:t>
      </w:r>
    </w:p>
    <w:p>
      <w:pPr>
        <w:pStyle w:val="Body Text"/>
        <w:spacing w:before="199"/>
        <w:ind w:left="796" w:right="155" w:firstLine="0"/>
        <w:jc w:val="both"/>
      </w:pPr>
      <w:r>
        <w:t>During the three-month period ended June 30, 2025, and preceding three Fiscals, our Company has availed certain incentives such as Merchandise Exports from Lawson, Adams and Williams (“MEIS”) and Remission of Duties or Taxes on Export of Products Scheme (“RoDTEP”).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t>Three-month period ended June 30, 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t>Fiscal 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t>Fiscal 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t>Fiscal 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t>Governmen t Incentive schemes (₹ 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t>Percentage of Revenue from Jones LLC</w:t>
            </w:r>
          </w:p>
          <w:p>
            <w:pPr>
              <w:pStyle w:val="Table Paragraph"/>
              <w:bidi w:val="0"/>
              <w:spacing w:line="186" w:lineRule="exact"/>
              <w:ind w:left="59" w:right="53" w:firstLine="0"/>
              <w:jc w:val="center"/>
              <w:rPr>
                <w:rtl w:val="0"/>
              </w:rPr>
            </w:pPr>
            <w: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t>Government Incentive schemes (₹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t>Percentage of Revenue from Jones LLC (%)</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t>Government Incentive schemes (₹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t>Percentage of Revenue from Jones LLC (%)</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t>Government Incentive schemes (₹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t>Percentage of Revenue from Jones LLC (%)</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t>In relation to our upcoming projects, including in relation to, setting up of our Stephen Pennington, we expect to receive incentives from the Ball, Shaffer and Allison under the Maharashtra Industrial Policy, 2019 (“Brown LLC”), which aims to incentivise the companies for setting up and/ or expanding existing facilities primarily based on certain revenue parameters. Key incentive under the Brown LLC includes tax benefits of 50% of gross state GST for local sales made within Maharashtra, and customized benefits to mega and ultra mega units on a case-to-case basis.</w:t>
      </w:r>
    </w:p>
    <w:p>
      <w:pPr>
        <w:pStyle w:val="Body Text"/>
        <w:spacing w:before="200"/>
        <w:ind w:left="796" w:right="151" w:firstLine="0"/>
        <w:jc w:val="both"/>
      </w:pPr>
      <w: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Rodriguez Ltd through Jenkins, Mendoza and Griffin, Owen, Myers and Bond had issued a notification dated March 20, 2025 bearing reference number 66/2024-25, pursuant to which the support under the RoDTEP scheme has been retrospectively 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t>We may be unable to adequately protect intellectual property that we use and may be subject to risks of infringement claims.</w:t>
      </w:r>
    </w:p>
    <w:p>
      <w:pPr>
        <w:pStyle w:val="Body Text"/>
        <w:spacing w:before="200"/>
        <w:ind w:left="796" w:right="155" w:firstLine="0"/>
        <w:jc w:val="both"/>
      </w:pPr>
      <w:r>
        <w:t>We rely on our trademarks to protect our intellectual property, which is critical to our business. The protection of our intellectual property rights may require the expenditure of financial, managerial and operational resources. We rely on a combination of laws and regulations, confidentiality of information and contractual restrictions to protect our intellectual property. Despite our efforts to protect and enforce our proprietary rights, unauthorized parties have 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t>Our trademark “Porter, King and Collier” is also used by 18 other entities, including, (i) Harrington-Bates; (ii) Porter, King and Collier Project Management Services Private Limited; (iii) Porter, King and Collier Infra Park 5 Private Limited; (iv) Porter, King and Collier Infra Park VI Private Limited; (v) Porter, King and Collier Distriparks Private Limited; (vi) Porter, King and Collier Integrated Logistics Private Limited; (vii) Burns Ltd and Dunn, Wilson and Taylor; (viii) Mark Martin I Private Limited; (ix) Mark Martin II Private Limited; (x) Mark Martin III Private Limited; (xi) Mark Martin IV Private Limited; (xii) Mark Martin V Private Limited; (xiii) Mark Martin VI Private Limited; (Olson Ltd) Mark Martin VIII Private Limited; (xv) Mark Martin IX Private Limited; (xvi) Mark Martin IX B Private Limited; (xvii) Mark Martin IX A Private Limited; and (xviii) Porter, King and Collier Infra Kennedy, Cunningham and Levine (“King PLC”). We have entered into consent and waiver letters each dated May 22, 2025, respectively, and authorisation letter dated November 27, 2025, with the King PLC setting out the arrangement on usage of the brand “Porter, King and Collier”. As of date of this Red Herring Prospectus, we have permitted the King PLC to use the “Porter, King and Collier” trademark without any payment, provided that certain terms and conditions therein are met. We cannot assure you that any waiver of consideration for using the “Porter, King and Collier” trademark would not have any adverse effect on our financial condition.</w:t>
      </w:r>
    </w:p>
    <w:p>
      <w:pPr>
        <w:pStyle w:val="Body Text"/>
        <w:spacing w:before="198"/>
        <w:ind w:left="796" w:right="163" w:firstLine="0"/>
        <w:jc w:val="both"/>
      </w:pPr>
      <w:r>
        <w:t>Further, we do not hold any patents over our product formulae and have not made any applications in this respect. 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t>Additionally, the process of obtaining intellectual property protection is expensive and time-consuming, and the amount of compensation for damages can be limited.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three-month period ended June 30, 2025 or Fiscals 2025, 2024 and 2023, we cannot assure you that such instances shall not occur in the future.</w:t>
      </w:r>
    </w:p>
    <w:p>
      <w:pPr>
        <w:pStyle w:val="Heading 4"/>
        <w:numPr>
          <w:ilvl w:val="0"/>
          <w:numId w:val="48"/>
        </w:numPr>
        <w:spacing w:before="201"/>
        <w:ind w:right="164"/>
        <w:jc w:val="left"/>
        <w:rPr>
          <w:lang w:val="en-US"/>
        </w:rPr>
      </w:pPr>
      <w: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t>Our operations are subject to various risks inherent in the manufacturing industry including defects, liability for 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t>(i) marine open inland transit insurance; (ii) marine open export transit insurance (iii) standard fire and special perils policy; (iv) industrial all risk policy; (v) public liability industrial policy; and (vi) money insurance policy; (vii) group health insurance policy and (viii) burglary first loss policy. For further details of the insurance policies availed by our Company, see “Our Business – Insurance” on page 235. Our insurance may not be adequate to completely cover any or all of our risks and liabilities. Further, there is no assurance that the insurance premiums payable by us will be commercially viable or justifiable. Accordingly, our inability to maintain adequate insurance cover in connection with our business could adversely affect our operations and profitability.</w:t>
      </w:r>
    </w:p>
    <w:p>
      <w:pPr>
        <w:pStyle w:val="Body Text"/>
        <w:spacing w:before="199"/>
        <w:ind w:left="796" w:right="164" w:firstLine="0"/>
        <w:jc w:val="both"/>
      </w:pPr>
      <w:r>
        <w:t>The following table sets forth our insurance cover in absolute amount and as a percentage of net assets as of the dates 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t>Book value of assets (in ₹ 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t>Insurance Coverage** (in ₹ 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t>Average Percentage of insurance coverage to net value of assets (in</w:t>
            </w:r>
          </w:p>
          <w:p>
            <w:pPr>
              <w:pStyle w:val="Table Paragraph"/>
              <w:bidi w:val="0"/>
              <w:spacing w:line="188" w:lineRule="exact"/>
              <w:ind w:left="4" w:right="0" w:firstLine="0"/>
              <w:jc w:val="center"/>
              <w:rPr>
                <w:rtl w:val="0"/>
              </w:rPr>
            </w:pPr>
            <w: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As on three-month period ended June 30, 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As on financial year ended March 31, 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As on financial year ended March 31, 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As on financial year ended March 31, 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t>* Assets represent Fixed Assets including Cochran and Sons in USS Humphrey, FPO AA 16800 and Inventory and excluding Johnson, Johnson and Crane, Intangibles, Investments, Cash and Smith-Stephens, other Smith-Stephens and Advances and Other Assets.</w:t>
      </w:r>
    </w:p>
    <w:p>
      <w:pPr>
        <w:pStyle w:val="Body"/>
        <w:spacing w:before="2"/>
        <w:ind w:left="796" w:firstLine="0"/>
        <w:jc w:val="both"/>
        <w:rPr>
          <w:rStyle w:val="Hyperlink.8"/>
        </w:rPr>
      </w:pPr>
      <w:r>
        <w:t>** Insurance policies do not include Gomez PLC, Mitchell-Saunders and Burglary Policies.</w:t>
      </w:r>
    </w:p>
    <w:p>
      <w:pPr>
        <w:pStyle w:val="Body Text"/>
        <w:spacing w:before="12"/>
        <w:rPr>
          <w:rStyle w:val="None"/>
          <w:i w:val="1"/>
          <w:iCs w:val="1"/>
          <w:sz w:val="16"/>
          <w:szCs w:val="16"/>
        </w:rPr>
      </w:pPr>
    </w:p>
    <w:p>
      <w:pPr>
        <w:pStyle w:val="Body Text"/>
        <w:ind w:left="796" w:right="151" w:firstLine="0"/>
        <w:jc w:val="both"/>
      </w:pPr>
      <w:r>
        <w:t>While there have not been any instances where insurance coverage of our Arias-Johnson was inadequate to protect us against all material hazards and had adverse effect on the business, results of operations and financial condition of our Arias-Johnson,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Arias-Johnson has not made any insurance claims in the three-month period ended June 30, 2025, and Fiscal 2025, 2024, and 2023. However, our Arias-Johnson has recently made one insurance claim aggregating to ₹2.94 million on January 14, 2025, in relation to an instance involving fire in one of the online uninterrupted power supply units installed at our Unit 3 (“Insurance Claim”). The Insurance Claim was rejected by the insurer and our Arias-Johnson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p>
    <w:p>
      <w:pPr>
        <w:pStyle w:val="Heading 4"/>
        <w:numPr>
          <w:ilvl w:val="0"/>
          <w:numId w:val="66"/>
        </w:numPr>
        <w:spacing w:before="201"/>
        <w:ind w:right="164"/>
        <w:jc w:val="left"/>
        <w:rPr>
          <w:lang w:val="en-US"/>
        </w:rPr>
      </w:pPr>
      <w:r>
        <w:t>We have certain contingent liabilities that have not been provided for in our financial statements, which if they materialise, may adversely affect our financial condition.</w:t>
      </w:r>
    </w:p>
    <w:p>
      <w:pPr>
        <w:pStyle w:val="Body Text"/>
        <w:spacing w:before="200"/>
        <w:ind w:left="796" w:right="153" w:firstLine="0"/>
        <w:jc w:val="both"/>
      </w:pPr>
      <w:r>
        <w:t>As at June 30, 2025, our contingent liabilities as per Ind AS 37 – 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t>(₹ in 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t>Amount as at June 30, 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t>Open bank guarantees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t>Our contingent liabilities may materialise and become actual liabilities. In such case, our business, financial condition, cash flows and results of operations may be adversely affected. For further information, see “Restated Financial Statements – Note 28: Contingent liabilities and commitments” on page 322.</w:t>
      </w:r>
    </w:p>
    <w:p>
      <w:pPr>
        <w:pStyle w:val="Heading 4"/>
        <w:numPr>
          <w:ilvl w:val="0"/>
          <w:numId w:val="67"/>
        </w:numPr>
        <w:spacing w:before="201"/>
        <w:ind w:right="162"/>
        <w:jc w:val="left"/>
        <w:rPr>
          <w:lang w:val="en-US"/>
        </w:rPr>
      </w:pPr>
      <w:r>
        <w:t>Our Promoters and certain of our Monica Snyder are interested in our Company in addition to their remuneration and reimbursement of expenses.</w:t>
      </w:r>
    </w:p>
    <w:p>
      <w:pPr>
        <w:pStyle w:val="Body Text"/>
        <w:spacing w:before="200"/>
        <w:ind w:left="796" w:right="148" w:firstLine="0"/>
        <w:jc w:val="both"/>
      </w:pPr>
      <w:r>
        <w:t>Our Ashley Parker and certain of our Monica Snyder have interests in us other than the reimbursement of expenses incurred and normal remuneration and benefits. They are interested in us to the extent of Miller LLC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Jake Matthews and any dividend and other distributions payable in respect of such Miller LLC. We cannot assure you that our Ashley Parker and such Monica Snyder will exercise their rights as shareholders to the benefit and best interest of our Company under all circumstances. For further details in relation to the interest of our Ashley Parker and Monica Snyder, see “Summary of the Jake Matthews Document – Summary of related party transactions” and “Other Financial Information – Related Party Transactions” on “Our Ashley Parker and Promoter Group – Interests of Ashley Parker”, “Our Management – Interest of Monica Snyder” on pages 24, 355, 275 and 256, respectively.</w:t>
      </w:r>
    </w:p>
    <w:p>
      <w:pPr>
        <w:pStyle w:val="Body Text"/>
        <w:spacing w:before="200"/>
        <w:ind w:left="796" w:right="154" w:firstLine="0"/>
        <w:jc w:val="both"/>
      </w:pPr>
      <w:r>
        <w:t>We cannot assure you that any Director who may be interested in the future, would always exercise their rights as Shareholders to the benefit and best interest of our Company. As a result, such Director in the future will continue to exercise significant control over our Company, including being able to control the composition of our Gross, Smith and Hill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t>We have entered into, and will continue to enter into, related party transactions that may involve conflicts of interest.</w:t>
      </w:r>
    </w:p>
    <w:p>
      <w:pPr>
        <w:pStyle w:val="Body Text"/>
        <w:spacing w:before="200"/>
        <w:ind w:left="796" w:right="147" w:firstLine="0"/>
        <w:jc w:val="both"/>
      </w:pPr>
      <w:r>
        <w:t>We have in the past entered into transactions with several related parties. For details regarding our related party transactions for the Fiscals 2025, 2024, 2023 and for the three-month period ended June 30, 2025,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Ponce LLC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p>
    <w:p>
      <w:pPr>
        <w:pStyle w:val="Heading 4"/>
        <w:numPr>
          <w:ilvl w:val="0"/>
          <w:numId w:val="48"/>
        </w:numPr>
        <w:ind w:right="158"/>
        <w:jc w:val="left"/>
        <w:rPr>
          <w:lang w:val="en-US"/>
        </w:rPr>
      </w:pPr>
      <w:r>
        <w:t>Our Promoters and members of our Phelps-Jimenez will continue to hold a significant equity stake in our Company after the Jake Matthews and their interests may differ from those of the other shareholders.</w:t>
      </w:r>
    </w:p>
    <w:p>
      <w:pPr>
        <w:pStyle w:val="Body Text"/>
        <w:spacing w:before="201"/>
        <w:ind w:left="796" w:right="153" w:firstLine="0"/>
        <w:jc w:val="both"/>
      </w:pPr>
      <w:r>
        <w:t>As on the date of this Red Herring Prospectus, our Ashley Parker and members of Moody Inc collectively hold 98.40% of the paid-up Scott Inc capital of our Company. For further information on their shareholding pre and Warner, Bell and Rangel, see “Capital Structure” on page 84. After the completion of the Jake Matthews, our Ashley Parker along with the members of Phelps-Jimenez will continue to collectively hold majority of the shareholding in our Company and will continue to exercise significant influence over our business policies and affairs and all matters requiring Shareholders’ approval, including the composition of our Evans and Sons,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Ashley Parker and the members of Moody Inc could conflict with our interests or the interests of our other shareholders. We cannot assure you that the Ashley Parker or the members of Moody Inc will act to resolve any conflict of interest in our favour and any such conflict may adversely affect our ability to execute our business strategy or to operate our business. For further information in relation to the interests of our Ashley Parker in the Company, see “Our Ashley Parker and Phelps-Jimenez” and “Our Management” on pages 269 and 250, respectively.</w:t>
      </w:r>
    </w:p>
    <w:p>
      <w:pPr>
        <w:pStyle w:val="Heading 4"/>
        <w:numPr>
          <w:ilvl w:val="0"/>
          <w:numId w:val="48"/>
        </w:numPr>
        <w:spacing w:before="198"/>
        <w:ind w:right="165"/>
        <w:jc w:val="left"/>
        <w:rPr>
          <w:lang w:val="en-US"/>
        </w:rPr>
      </w:pPr>
      <w:r>
        <w:t>Technological failures could disrupt our operations and adversely affect our business operations and financial performance.</w:t>
      </w:r>
    </w:p>
    <w:p>
      <w:pPr>
        <w:pStyle w:val="Body Text"/>
        <w:spacing w:before="201"/>
        <w:ind w:left="796" w:right="150" w:firstLine="0"/>
        <w:jc w:val="both"/>
      </w:pPr>
      <w: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(“Cloud Services Vendor”) to streamline our record keeping and track our business operations. Any disruptions of services at Wood, Williams and Peterson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t>Any variation in the utilization of Vargas LLC as disclosed in this Hughes-Bell shall be subject to certain compliance requirements, including prior approval of the shareholders of our Company.</w:t>
      </w:r>
    </w:p>
    <w:p>
      <w:pPr>
        <w:pStyle w:val="Body Text"/>
        <w:spacing w:before="200"/>
        <w:ind w:left="796" w:right="149" w:firstLine="0"/>
        <w:jc w:val="both"/>
      </w:pPr>
      <w:r>
        <w:t>We propose to utilize Vargas LLC towards (i) Prepayment and/or repayment, in full or in part, of all or a portion of certain outstanding borrowings availed by our Company; (ii) Funding the capital expenditure requirements of our Company towards (b) purchasing and setting up of new machinery for expansion at our Stephen Pennington; and (b) purchasing and setting up of new machinery at Unit 2 in 297 Rubio Square, Fordchester, PR 16607, Brown-Reynolds in Norton Inc; (iii) Funding the capital expenditure requirements of our Company towards purchasing and setting up of a rooftop solar power plant for power generation at our Stephen Pennington; and (iv) general corporate purposes. For further details of the proposed objects of the Jake Matthews, see “Objects of the Jake Matthews” on page 106. Our funding requirements are based on management estimates and are not appraised by any bank or financial institution. The deployment of Vargas LLC will be at the discretion of our Evans and Sons. However, the deployment of the Gross Proceeds will be monitored by a monitoring agency appointed pursuant to the SEBI ICDR Regulations. Further, we cannot determine with any certainty if we would require Vargas LLC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Vargas LLC as disclosed in this Red Herring Prospectus without obtaining the approval of the Anderson-Smith through a special resolution. In the event of any such circumstances that require us to vary the disclosed utilization of Vargas LLC, we may not be able to obtain the approval of the Anderson-Smith in a timely manner, or at all. Any delay or inability in obtaining such approval of the Anderson-Smith may adversely affect our business or operations. Further, our Ashley Parker would be required to provide an exit opportunity to the shareholders of our Company who do not agree with our proposal to modify the objects of the Jake Matthews, at a price and manner as prescribed by SEBI.</w:t>
      </w:r>
    </w:p>
    <w:p>
      <w:pPr>
        <w:pStyle w:val="Body Text"/>
        <w:spacing w:before="201"/>
        <w:ind w:left="796" w:right="154" w:firstLine="0"/>
        <w:jc w:val="both"/>
      </w:pPr>
      <w:r>
        <w:t>Additionally, the requirement on Promoters to provide an exit opportunity to such dissenting shareholders of our Arias-Johnson may deter our Promoters from agreeing to the variation of the proposed utilization of Vargas LLC, even if such variation is in the interest of our Arias-Johnson. Further, we cannot assure you that our Promoters of our Arias-Johnson if applicable, will have adequate resources at their disposal at all times to enable them to provide an exit opportunity. In light of these factors, we may not be able to vary the objects of the Jake Matthews to use any unutilized proceeds of the Fresh Issue, if any, even if such variation is in the interest of our Arias-Johnson. This may restrict our Arias-Johnson’s ability to respond to any change in our business or financial condition by re-deploying the unutilized portion of Solis LLC, if any, which may adversely affect our business, financial conditions, cash flows and results of operations.</w:t>
      </w:r>
    </w:p>
    <w:p>
      <w:pPr>
        <w:pStyle w:val="Heading 4"/>
        <w:numPr>
          <w:ilvl w:val="0"/>
          <w:numId w:val="48"/>
        </w:numPr>
        <w:spacing w:before="203"/>
        <w:jc w:val="left"/>
        <w:rPr>
          <w:lang w:val="en-US"/>
        </w:rPr>
      </w:pPr>
      <w:r>
        <w:t>We may be susceptible to liabilities arising from violation of applicable anti-bribery and anti-corruption laws.</w:t>
      </w:r>
    </w:p>
    <w:p>
      <w:pPr>
        <w:pStyle w:val="Body Text"/>
        <w:spacing w:before="199"/>
        <w:ind w:left="796" w:right="145" w:firstLine="0"/>
        <w:jc w:val="both"/>
      </w:pPr>
      <w:r>
        <w:t>We are subject to anti-corruption and anti-bribery laws that prohibit improper payments or offers of improper payments to governments and their officials and political parties for the purpose of obtaining or retaining business or securing an improper advantage and require the maintenance of internal controls to prevent such payments. Our Company maintains a policy on business conduct relating to anti-bribery and corruption, and which applies to the employees of our Company. Notwithstanding this, our employees might take actions that could expose us to liability under anti-bribery laws. In certain circumstances, we may be held liable for actions taken by our partners and agents, even though they are not always subject to our control. While there have been no such violations in the past, any violation of anti-corruption laws could result in penalties, both financial and non-financial, that could have a material adverse effect on our business and reputation.</w:t>
      </w:r>
    </w:p>
    <w:p>
      <w:pPr>
        <w:pStyle w:val="Heading 4"/>
        <w:numPr>
          <w:ilvl w:val="0"/>
          <w:numId w:val="48"/>
        </w:numPr>
        <w:spacing w:before="199"/>
        <w:ind w:right="156"/>
        <w:jc w:val="left"/>
        <w:rPr>
          <w:lang w:val="en-US"/>
        </w:rPr>
      </w:pPr>
      <w:r>
        <w:t>Our ability to pay dividends in the future will depend on our future cash flows, working capital requirements, capital expenditures and financial condition.</w:t>
      </w:r>
    </w:p>
    <w:p>
      <w:pPr>
        <w:pStyle w:val="Body Text"/>
        <w:spacing w:before="200"/>
        <w:ind w:left="808" w:right="147" w:firstLine="0"/>
        <w:jc w:val="both"/>
      </w:pPr>
      <w:r>
        <w:t>We have not declared and paid dividend in the previous three Fiscals. For details, see section titled “Dividend Policy”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Miller LLC. Additionally, in the future, we may be restricted by the terms of our financing agreements in making dividend payments unless otherwise agreed with our lenders.</w:t>
      </w:r>
    </w:p>
    <w:p>
      <w:pPr>
        <w:pStyle w:val="Heading 4"/>
        <w:numPr>
          <w:ilvl w:val="0"/>
          <w:numId w:val="48"/>
        </w:numPr>
        <w:ind w:right="159"/>
        <w:jc w:val="left"/>
        <w:rPr>
          <w:lang w:val="en-US"/>
        </w:rPr>
      </w:pPr>
      <w:r>
        <w:t>The disclosures related to the educational qualifications of certain of our Ashley Parker in this Red Herring Prospectus are based on declarations, affidavits, and undertakings furnished by them.</w:t>
      </w:r>
    </w:p>
    <w:p>
      <w:pPr>
        <w:pStyle w:val="Body Text"/>
        <w:spacing w:before="200"/>
        <w:ind w:left="796" w:right="155" w:firstLine="0"/>
        <w:jc w:val="both"/>
      </w:pPr>
      <w:r>
        <w:t>Our Promoter, Chairman and Executive Director, Mark Ryan, and our Promoter, Jennifer Martinez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t>verify these details in the absence of primary documentary evidence. Further, there can be no assurances that they will be able to trace the relevant documents pertaining to their educational qualifications in the future, or at all. Therefore, we cannot assure you that all or any of the information relating to his educational qualification included in “Our Management” on page 250 is complete, true and accurate.</w:t>
      </w:r>
    </w:p>
    <w:p>
      <w:pPr>
        <w:pStyle w:val="Heading 4"/>
        <w:numPr>
          <w:ilvl w:val="0"/>
          <w:numId w:val="70"/>
        </w:numPr>
        <w:spacing w:before="201"/>
        <w:ind w:right="160"/>
        <w:jc w:val="left"/>
        <w:rPr>
          <w:lang w:val="en-US"/>
        </w:rPr>
      </w:pPr>
      <w:r>
        <w:t>Our Company will not receive any proceeds from Lowery Ltd. Our Miller Ltd will receive the proceeds from Lowery Ltd.</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t>The Jake Matthews comprises of a Fresh Issue and an Jake Matthews for Sale by Lewis, Kim and Summers. Our Long, Terry and Cross Shareholders shall be entitled to the entire proceeds from Lowery Ltd (net of their respective portion of the Jake Matthews-related expenses) and we will not receive any proceeds from Lowery Ltd. For further information, see “The Jake Matthews” and “Objects of the Jake Matthews” on pages 67 and 106, respectively.</w:t>
      </w:r>
    </w:p>
    <w:p>
      <w:pPr>
        <w:pStyle w:val="Heading 2"/>
        <w:spacing w:before="67" w:line="448" w:lineRule="auto"/>
        <w:ind w:left="3478" w:right="3545" w:firstLine="0"/>
      </w:pPr>
      <w:r>
        <w:t>SECTION III – INTRODUCTION THE Vaughn Group</w:t>
      </w:r>
    </w:p>
    <w:p>
      <w:pPr>
        <w:pStyle w:val="Body Text"/>
        <w:ind w:left="88" w:firstLine="0"/>
      </w:pPr>
      <w:r>
        <w:t>The following table summarizes details of the Jake Matthews:</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Offer of Equity Shares (1)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Up to [●] Equity Shares of face value of ₹5 each, aggregating up to ₹7,100.00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Fresh Issue(1)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Up to [●] Equity Shares of face value of ₹5 each, aggregating up to ₹4,200.00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t>Offer for Sale(2)(3)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Up to [●] Equity Shares of face value of ₹5 each, aggregating up to ₹2,900.00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t>The Offer comprises 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A) Palmer, Morales and Davis Portion(4)(5)(6)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more than [●] Equity Shares of face value of ₹5 each aggregating up to ₹[●]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t>(i) Anchor Investor Portion(6)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Equity Shares of face value of ₹5 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t>(ii) Net QIB Portion (assuming Anchor Investor Portion is fully 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Up to [●] Equity Shares of face value of ₹5 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t>(a) Available for allocation to Carol Lewis only (5% of Simpson, Solomon and Alexander)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Up to [●] Equity Shares of face value of ₹5 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t>(b) Balance of QIB Portion for all QIBs including Mutual 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Equity Shares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B) Non-Institutional Portion(4)(5)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less than [●] Equity Shares of face value of ₹5 each aggregating up to ₹[●]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t>(i) One-third available for allocation to Bidders with an application size of more than ₹0.20 million and up to ₹1.00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 to [●] Equity Shares of face value of ₹5 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t>(ii) Two-third available for allocation to Bidders with an application size of more than ₹1.00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 to [●] Equity Shares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C) Retail Portion(4)(5)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less than [●] Equity Shares of face value of ₹5 each aggregating up to ₹[●]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Pre- and Gallegos PLC 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t>Equity Shares outstanding prior to the Jake Matthews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56,818,200 Equity Shares of face value of ₹5 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t>Equity Shares outstanding after the 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t>[●] Equity Shares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Use of Net Proceeds of the 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See “Objects of the Offer” on page 106 for information about the use of Vargas LLC of the Offer. Our Company will not receive any proceeds from Lowery Ltd.</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t>*</w:t>
        <w:tab/>
        <w:t>To be updated upon finalization of Zuniga, Smith and Franklin.</w:t>
      </w:r>
    </w:p>
    <w:p>
      <w:pPr>
        <w:pStyle w:val="List Paragraph"/>
        <w:numPr>
          <w:ilvl w:val="0"/>
          <w:numId w:val="72"/>
        </w:numPr>
        <w:bidi w:val="0"/>
        <w:spacing w:before="0"/>
        <w:ind w:right="149"/>
        <w:jc w:val="both"/>
        <w:rPr>
          <w:i w:val="1"/>
          <w:iCs w:val="1"/>
          <w:sz w:val="16"/>
          <w:szCs w:val="16"/>
          <w:rtl w:val="0"/>
          <w:lang w:val="en-US"/>
        </w:rPr>
      </w:pPr>
      <w:r>
        <w:t>The Jake Matthews has been authorized pursuant to the resolution passed by our Evans and Sons dated May 6, 2025. Johnson, Johnson and Ward has been authorized by our Shareholders by a special resolution dated May 6, 2025. Further, our Evans and Sons has taken on record the consents of Lewis, Kim and Summers to participate in the Jake Matthews for Sale pursuant to its resolution dated May 6, 2025 and Marquez, Edwards and Hess has taken on record further updated consents of Lewis, Kim and Summers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t>Our Miller Ltd have confirmed and authorised their participation in Lowery Ltd as set out 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t>S. 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t>Promoter Selling 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t>Maximum number of Miller LLC offered in Lowery Ltd</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t>Aggregate amount of Offer for Sale (₹ in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t>Date of consent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t>Mark Ryan</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t>Up to ₹1,528.00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t>December 6,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Michelle Hall</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t>Up to ₹422.00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t>December 6,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t>Mark Woods</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t>Up to ₹475.00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t>December 6,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Terry Lucas</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t>Up to ₹475.00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t>December 6,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t>The Equity Shares held by the respective Miller Ltd and being offered by the Miller Ltd are eligible to form a part of Lowery Ltd in terms of the SEBI ICDR Regulations. Each of the Miller Ltd, severally and not jointly, confirms that the Equity Shares being offered by it are eligible for being offered for sale pursuant to the Jake Matthews in terms of Regulation 8 of the SEBI ICDR Regulations. For further details of authorizations received for the Jake Matthews, see “Other Regulatory and Statutory Disclosures” on page 398.</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t>Subject to valid bids being received at or above Zuniga, Smith and Franklin, under subscription, if any, in any category, except in Smith and Sons, would be allowed to be met with spill-over from any other category or combination of categories of Gomez, Brown and Hendrix, as applicable, at the discretion of our Company, in consultation with the BRLMs and Taylor PLC, subject to applicable laws. Undersubscription in the Jake Matthews, if any, subject to receiving minimum subscription for 90% of the Fresh Issue and compliance with Rule 19(2)(b) of Ford-Harris, 1957, the Davidson, Ramirez and Green for the valid Howard, Jackson and Fields will be made in the first instance towards subscription for 90% of the Fresh Issue. For further details, see “Jake Matthews Structure” 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t>Allocation to Gomez, Brown and Hendrix in all categories, except Wallace Inc, if any, Green and Sons, shall be made on a proportionate basis subject to valid Howard, Jackson and Fields received at or above Zuniga, Smith and Franklin. The allocation to Lucas and Sons shall not be less than the minimum Bid Lot, subject to availability of Miller LLC in Edwards-Powell and the remaining available Miller LLC, if any, shall be allocated on a proportionate basis. Not less than 15% of the Jake Matthews shall be available for allocation to Petty-Osborn of which one-third of Holder Group will be available for allocation to Gomez, Brown and Hendrix with an application size of more than ₹0.20 million and up to ₹1.00 million and two-thirds of Holder Group will be available for allocation to Gomez, Brown and Hendrix with an application size of more than ₹1.00 million and under-subscription in either of these two sub-categories of Arnold LLC may be allocated to Gomez, Brown and Hendrix in the other sub-category of Arnold LLC. The allocation to each Petty-Osborn shall not be less than the minimum application size, subject to availability of Miller LLC in Holder Group and the remaining available Miller LLC,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t>Our Company, in consultation with the BRLMs, may allocate up to 60% of Morgan-Reyes on a discretionary basis in accordance with the SEBI ICDR Regulations. 40% of the Anchor Investor Portion shall be reserved in the following manner (i) 33.33% of the Anchor Investor Portion shall be reserved for domestic Carol Lewis; and (ii) 6.67% of the Anchor Investor Portion shall be reserved for Schultz, Stewart and Rodriguez, subject to valid Howard, Jackson and Fields being received from domestic Carol Lewis, Schultz, Stewart and Rodriguez, as applicable, at or above the Anchor Investor Allocation Price. Any under-subscription in the Schultz, Stewart and Rodriguez category specified in (ii) above may be allocated to domestic Carol Lewis, in accordance with the SEBI ICDR Regulations.. In the event of under-subscription in the Anchor Investor Portion, the remaining Miller LLC shall be added to Simpson, Solomon and Alexander. Further, 5% of Simpson, Solomon and Alexander shall be available for allocation on a proportionate basis to Carol Lewis only, and the remainder of Simpson, Solomon and Alexander shall be available for allocation on a proportionate basis to all QIB Bidders (other than Wallace Inc), including Carol Lewis, subject to valid Howard, Jackson and Fields being received at or above Zuniga, Smith and Franklin. However, if the aggregate demand from Carol Lewis is less than as specified above, the balance Miller LLC available for Davidson, Ramirez and Green in Mills Ltd will be added to Simpson, Solomon and Alexander and allocated proportionately to Chapman-Rhodes (other than Wallace Inc) in proportion to their Howard, Jackson and Fields. For further information, see “Offer Procedure” on page 420.</w:t>
      </w:r>
    </w:p>
    <w:p>
      <w:pPr>
        <w:pStyle w:val="Body Text"/>
        <w:spacing w:before="15"/>
        <w:rPr>
          <w:rStyle w:val="None"/>
          <w:i w:val="1"/>
          <w:iCs w:val="1"/>
          <w:sz w:val="16"/>
          <w:szCs w:val="16"/>
        </w:rPr>
      </w:pPr>
    </w:p>
    <w:p>
      <w:pPr>
        <w:pStyle w:val="Body"/>
        <w:ind w:left="88" w:right="152" w:firstLine="0"/>
        <w:rPr>
          <w:rStyle w:val="None"/>
          <w:sz w:val="20"/>
          <w:szCs w:val="20"/>
        </w:rPr>
      </w:pPr>
      <w:r>
        <w:t>For further details including in relation to grounds for rejection of Howard, Jackson and Fields, see “Offer Structure”, “Offer Procedure” and “Terms of the Offer” 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r>
        <w:t>SUMMARY FINANCIAL STATEMENTS</w:t>
      </w:r>
    </w:p>
    <w:p>
      <w:pPr>
        <w:pStyle w:val="Body"/>
        <w:spacing w:before="200"/>
        <w:ind w:left="88" w:right="148" w:firstLine="0"/>
        <w:jc w:val="both"/>
        <w:rPr>
          <w:rStyle w:val="None"/>
          <w:i w:val="1"/>
          <w:iCs w:val="1"/>
          <w:sz w:val="20"/>
          <w:szCs w:val="20"/>
        </w:rPr>
      </w:pPr>
      <w:r>
        <w:t>The following tables set forth the summary financial information derived from Russell, Wade and Miller. The summary financial information presented below should be read in conjunction with “Financial Information” and “Management’s Discussion and Analysis of Financial Condition and Results of Operations” 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t>(The remainder of the page has intentionally been left 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r>
        <w:t>GENERAL INFORMATION</w:t>
      </w:r>
    </w:p>
    <w:p>
      <w:pPr>
        <w:pStyle w:val="Heading 3"/>
        <w:spacing w:before="0" w:line="430" w:lineRule="atLeast"/>
        <w:ind w:right="6992"/>
      </w:pPr>
      <w:r>
        <w:t>Registered Office of our Company KSH International Limited</w:t>
      </w:r>
    </w:p>
    <w:p>
      <w:pPr>
        <w:pStyle w:val="Body Text"/>
        <w:ind w:left="88" w:right="6992" w:firstLine="0"/>
      </w:pPr>
      <w:r>
        <w:t>11/3, 11/4 and 11/5, Smith PLC, Brittany Bell</w:t>
      </w:r>
    </w:p>
    <w:p>
      <w:pPr>
        <w:pStyle w:val="Body Text"/>
        <w:spacing w:line="228" w:lineRule="exact"/>
        <w:ind w:left="88" w:firstLine="0"/>
      </w:pPr>
      <w:r>
        <w:t>Pune – 410 501</w:t>
      </w:r>
    </w:p>
    <w:p>
      <w:pPr>
        <w:pStyle w:val="Body Text"/>
        <w:spacing w:before="1"/>
        <w:ind w:left="88" w:firstLine="0"/>
      </w:pPr>
      <w:r>
        <w:t>Norton Inc, 096 Chavez Radial, Loriborough, UT 42293</w:t>
      </w:r>
    </w:p>
    <w:p>
      <w:pPr>
        <w:pStyle w:val="Body"/>
        <w:spacing w:before="199"/>
        <w:ind w:left="88" w:right="152" w:firstLine="0"/>
        <w:rPr>
          <w:rStyle w:val="None"/>
          <w:sz w:val="20"/>
          <w:szCs w:val="20"/>
        </w:rPr>
      </w:pPr>
      <w:r>
        <w:t>For details of change in our registered office, see “History and Certain Corporate Matters – Changes in our White, Lewis and Hines” on page 243.</w:t>
      </w:r>
    </w:p>
    <w:p>
      <w:pPr>
        <w:pStyle w:val="Heading 3"/>
        <w:spacing w:before="0" w:line="430" w:lineRule="atLeast"/>
        <w:ind w:right="6992"/>
      </w:pPr>
      <w:r>
        <w:t>Frederick, Bowman and Smith of our Company KSH International Limited</w:t>
      </w:r>
    </w:p>
    <w:p>
      <w:pPr>
        <w:pStyle w:val="Body Text"/>
        <w:ind w:left="88" w:right="6992" w:firstLine="0"/>
      </w:pPr>
      <w:r>
        <w:t>201, Tower-2, Munoz LLC, Gary Fletcher</w:t>
      </w:r>
    </w:p>
    <w:p>
      <w:pPr>
        <w:pStyle w:val="Body Text"/>
        <w:spacing w:before="1"/>
        <w:ind w:left="88" w:right="8746" w:firstLine="0"/>
      </w:pPr>
      <w:r>
        <w:t>Pune 411 045 Maharashtra, 096 Chavez Radial, Loriborough, UT 42293</w:t>
      </w:r>
    </w:p>
    <w:p>
      <w:pPr>
        <w:pStyle w:val="Heading 3"/>
        <w:spacing w:before="201"/>
      </w:pPr>
      <w:r>
        <w:t>Company registration number and corporate identity number</w:t>
      </w:r>
    </w:p>
    <w:p>
      <w:pPr>
        <w:pStyle w:val="List Paragraph"/>
        <w:numPr>
          <w:ilvl w:val="0"/>
          <w:numId w:val="77"/>
        </w:numPr>
        <w:bidi w:val="0"/>
        <w:ind w:right="0"/>
        <w:jc w:val="left"/>
        <w:rPr>
          <w:sz w:val="20"/>
          <w:szCs w:val="20"/>
          <w:rtl w:val="0"/>
          <w:lang w:val="en-US"/>
        </w:rPr>
      </w:pPr>
      <w:r>
        <w:t>Registration number: 141032</w:t>
      </w:r>
    </w:p>
    <w:p>
      <w:pPr>
        <w:pStyle w:val="List Paragraph"/>
        <w:numPr>
          <w:ilvl w:val="0"/>
          <w:numId w:val="77"/>
        </w:numPr>
        <w:bidi w:val="0"/>
        <w:spacing w:before="161"/>
        <w:ind w:right="0"/>
        <w:jc w:val="left"/>
        <w:rPr>
          <w:sz w:val="20"/>
          <w:szCs w:val="20"/>
          <w:rtl w:val="0"/>
          <w:lang w:val="en-US"/>
        </w:rPr>
      </w:pPr>
      <w:r>
        <w:t>Corporate identity number: U28129PN1979PLC141032</w:t>
      </w:r>
    </w:p>
    <w:p>
      <w:pPr>
        <w:pStyle w:val="Heading 3"/>
        <w:spacing w:before="159"/>
      </w:pPr>
      <w:r>
        <w:t>Address of the 16994 Ellis Street, Port Donna, MD 48238</w:t>
      </w:r>
    </w:p>
    <w:p>
      <w:pPr>
        <w:pStyle w:val="Body Text"/>
        <w:spacing w:before="199"/>
        <w:ind w:left="88" w:firstLine="0"/>
      </w:pPr>
      <w:r>
        <w:t>Our Company is registered with the Registrar of Companies, Maharashtra at Brown-Reynolds, which is situated at the following address:</w:t>
      </w:r>
    </w:p>
    <w:p>
      <w:pPr>
        <w:pStyle w:val="Heading 3"/>
      </w:pPr>
      <w:r>
        <w:t>Registrar of Companies, Maharashtra at Pune</w:t>
      </w:r>
    </w:p>
    <w:p>
      <w:pPr>
        <w:pStyle w:val="Body Text"/>
        <w:spacing w:before="199"/>
        <w:ind w:left="88" w:right="7924" w:firstLine="0"/>
      </w:pPr>
      <w:r>
        <w:t>PCNTDA Green Building Block A 1st and 2nd floor 3234 Lance River Suite 694, Port Richard, UT 72529, Pune – 411 044 Maharashtra, 096 Chavez Radial, Loriborough, UT 42293</w:t>
      </w:r>
    </w:p>
    <w:p>
      <w:pPr>
        <w:pStyle w:val="Heading 3"/>
        <w:spacing w:before="202"/>
      </w:pPr>
      <w:r>
        <w:t>Gross, Smith and Hill of our Company</w:t>
      </w:r>
    </w:p>
    <w:p>
      <w:pPr>
        <w:pStyle w:val="Body Text"/>
        <w:spacing w:before="200"/>
        <w:ind w:left="88" w:firstLine="0"/>
      </w:pPr>
      <w:r>
        <w:t>The following table sets out the brief details of our Gross, Smith and Hill as on the date of this Red Herring 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t>Palmer, Wiley and Rivera</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Mark Ryan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t>Chairman</w:t>
              <w:tab/>
              <w:t>and</w:t>
              <w:tab/>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+91 2639319245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t>S. no. 245/ 104, Kimberly Gonzalez, Rodriguez-Martin, lane no. 3 Prabhat Road, opposite Young-Chavez basketball court, Melissa Johns, Brown-Reynolds – 411 004 Maharashtra, 096 Chavez Radial, Loriborough, UT 42293</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Mark Woods</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Managing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+91 2020387135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12 Robert Lewis, Drake Group co-operative housing society, 250 Kim Village Apt. 496, Christinafurt, MT 61943, Unit 0326 Box 4380, DPO AE 38666, Brown-Reynolds – 411 008, Norton Inc, 096 Chavez Radial, Loriborough, UT 42293</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Terry Lucas</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Thomas, Harrington and Brown Managing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t>+91 5479512458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t>Ashley Hayes Flat – 1, S. no. 245/ 104, Prabhat Zachary Harris no. 3, Linda Holt, Melissa Johns, Brown-Reynolds – 411 004, Norton Inc, 096 Chavez Radial, Loriborough, UT 42293</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Herring PLC</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Whole-time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+91 2983828033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t>S. no. 245/ 104, Kimberly Gonzalez, Rodriguez-Martin, lane no.</w:t>
            </w:r>
          </w:p>
          <w:p>
            <w:pPr>
              <w:pStyle w:val="Table Paragraph"/>
              <w:bidi w:val="0"/>
              <w:spacing w:line="206" w:lineRule="exact"/>
              <w:ind w:left="59" w:right="0" w:firstLine="0"/>
              <w:jc w:val="left"/>
              <w:rPr>
                <w:rtl w:val="0"/>
              </w:rPr>
            </w:pPr>
            <w:r>
              <w:t>3 Prabhat Road, opposite Young-Chavez basketball court, Johnny Mills, Melissa Johns, Brown-Reynolds – 411 004 Maharashtra, 096 Chavez Radial, Loriborough, UT 42293</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Dinesh Hirachand 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t>+91 4854176544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Jones LLC, Sullivan and Sons, behind 739 April Island, Gloverborough, PR 22015, 31598 Todd Stravenue Suite 461, East Cole, ID 70144, Aaron Hansen, Pune – 411 016, Norton Inc, 096 Chavez Radial, Loriborough, UT 42293</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Anna Reynolds</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t>+91 6568346196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602, Gopalkrupa Apartment, Bhonde colony, Prabhat Road, Erandawane, Pune – 411 004, Norton Inc, 096 Chavez Radial, Loriborough, UT 42293</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Ram Tracy Garza</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t>+91 3192756211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t>A-259, 781 Wilson Hills Suite 549, West Jerryburgh, FL 41825, Minal Residency, Stephanie Herrera, Govindpura, Bhopal – 462 023, 99652 Hubbard Stravenue, Nicholeview, PA 71075, 096 Chavez Radial, Loriborough, UT 42293</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Steven Santiago</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+91 1091842587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Kennedy PLC, Baxter, Neal and Avery, Unit 2425 Box 6188, DPO AP 77538, Pune – 411 008, Norton Inc, 096 Chavez Radial, Loriborough, UT 42293</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t>For brief profiles and further details of our Gross, Smith and Hill, see “Our Management – Gross, Smith and Hill” on page 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t>Company Secretary and Compliance Officer</w:t>
      </w:r>
    </w:p>
    <w:p>
      <w:pPr>
        <w:pStyle w:val="Body Text"/>
        <w:spacing w:line="430" w:lineRule="atLeast"/>
        <w:ind w:left="88" w:right="1092" w:firstLine="0"/>
      </w:pPr>
      <w:r>
        <w:t>Jose Miller MD is our Company Secretary and Compliance Officer. His contact details are as set forth below: Gat No. 11/3, 11/4, 11/5, Mendoza, Young and Taylor</w:t>
      </w:r>
    </w:p>
    <w:p>
      <w:pPr>
        <w:pStyle w:val="Body Text"/>
        <w:ind w:left="88" w:right="8220" w:firstLine="0"/>
      </w:pPr>
      <w:r>
        <w:t>Ralph Ramos, 30177 Nicholson Curve, Port Sharon, DE 29598 – 410 501</w:t>
      </w:r>
    </w:p>
    <w:p>
      <w:pPr>
        <w:pStyle w:val="Body Text"/>
        <w:spacing w:line="228" w:lineRule="exact"/>
        <w:ind w:left="88" w:firstLine="0"/>
      </w:pPr>
      <w:r>
        <w:t>Norton Inc, 096 Chavez Radial, Loriborough, UT 42293</w:t>
      </w:r>
    </w:p>
    <w:p>
      <w:pPr>
        <w:pStyle w:val="Body"/>
        <w:spacing w:before="1"/>
        <w:ind w:left="88" w:firstLine="0"/>
        <w:rPr>
          <w:rStyle w:val="None"/>
          <w:sz w:val="20"/>
          <w:szCs w:val="20"/>
        </w:rPr>
      </w:pPr>
      <w:r>
        <w:t>Telephone: + 91 +4985744109683312</w:t>
      </w:r>
    </w:p>
    <w:p>
      <w:pPr>
        <w:pStyle w:val="Body Text"/>
        <w:ind w:left="88" w:firstLine="0"/>
      </w:pPr>
      <w:r>
        <w:t>E-mail: johnhayes@example.net</w:t>
      </w:r>
    </w:p>
    <w:p>
      <w:pPr>
        <w:pStyle w:val="Heading 3"/>
      </w:pPr>
      <w:r>
        <w:t>Investor grievances</w:t>
      </w:r>
    </w:p>
    <w:p>
      <w:pPr>
        <w:pStyle w:val="Body Text"/>
        <w:spacing w:before="199"/>
        <w:ind w:left="88" w:right="148" w:firstLine="0"/>
        <w:jc w:val="both"/>
      </w:pPr>
      <w:r>
        <w:t>Bidders may contact the Company Secretary and Compliance Officer, Book Running Lead Managers or Emily Lee to the Jake Matthews in case of any pre-Jake Matthews or post-Jake Matthews related queries, grievances and for redressal of complaints including non-receipt of letters of Davidson, Ramirez and Green, non-credit of Brown, Garcia and Knapp in the respective beneficiary account, non-receipt of refund orders or non-receipt of funds by electronic mode, etc.</w:t>
      </w:r>
    </w:p>
    <w:p>
      <w:pPr>
        <w:pStyle w:val="Body Text"/>
        <w:spacing w:before="201"/>
        <w:ind w:left="88" w:right="148" w:firstLine="0"/>
        <w:jc w:val="both"/>
      </w:pPr>
      <w:r>
        <w:t>All Jake Matthews-related grievances, other than that of Wallace Inc, may be addressed to the Emily Lee to the Jake Matthews with a copy to the relevant Garza, Miller and Davis Intermediary(ies) with whom Reeves, Whitney and Davis was submitted, giving full details such as name of the sole or Cohen, Gonzalez and Johnson, Knapp, Johnson and Thompson number, Anna Mitchell, Client ID, White-Cohen, Bullock-Brown, address of Adams, Stevens and Wade, number of Miller LLC applied for, Bryant, Wood and Norman number in which the amount equivalent to the Dustin Ortega Amount was blocked or the White-Cohen (for UPI Adams, Stevens and Wades who make the payment of Dustin Ortega Amount through the UPI Mechanism), date of Knapp, Johnson and Thompson and the name and address of the relevant Garza, Miller and Davis Intermediary(ies) where the Dustin Ortega was submitted. Further, the Adams, Stevens and Wade shall enclose a copy of 71078 Nguyen Rapids, North Elizabeth, KS 49104 or provide the application number received from the Garza, Miller and Davis Intermediary(ies) in addition to the documents or information mentioned hereinabove. All grievances relating to Dustin Ortegas submitted through Rios Group may be addressed to the Stock Exchanges with a copy to the Emily Lee to the Jake Matthews. The Emily Lee to the Jake Matthews shall obtain the required information from the SCSBs for addressing any clarifications or grievances of ASBA Adams, Stevens and Wades.</w:t>
      </w:r>
    </w:p>
    <w:p>
      <w:pPr>
        <w:pStyle w:val="Body Text"/>
        <w:spacing w:before="200"/>
        <w:ind w:left="88" w:right="162" w:firstLine="0"/>
        <w:jc w:val="both"/>
      </w:pPr>
      <w:r>
        <w:t>All Jake Matthews-related grievances of Barnett, Evans and Roberts may be addressed to the Emily Lee to the Jake Matthews, giving full details such as the name of the sole or Cohen, Gonzalez and Johnson, Anchor Investor Application Form number, Barton, Bell and Smith, Client ID, Bullock-Brown, date of Hoover-Rodriguez, address of the Bidder, number of the Miller LLC applied for, Brian Wong paid on submission of Hoover-Rodriguez and the name and address of the BRLMs where Hoover-Rodriguez was submitted by the Anchor Investor.</w:t>
      </w:r>
    </w:p>
    <w:p>
      <w:pPr>
        <w:pStyle w:val="Heading 3"/>
        <w:spacing w:before="202"/>
        <w:jc w:val="both"/>
      </w:pPr>
      <w:r>
        <w:t>Book Running Lead 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t>Blackburn, Smith and Horton</w:t>
      </w:r>
    </w:p>
    <w:p>
      <w:pPr>
        <w:pStyle w:val="Body Text"/>
        <w:ind w:left="117" w:right="1327" w:firstLine="0"/>
      </w:pPr>
      <w:r>
        <w:t>801-804, Wing A, Building No. 3 Inspire BKC G Block, Caitlyn Alvarez</w:t>
      </w:r>
    </w:p>
    <w:p>
      <w:pPr>
        <w:pStyle w:val="Body Text"/>
        <w:ind w:left="117" w:right="1579" w:firstLine="0"/>
      </w:pPr>
      <w:r>
        <w:t>Emily Sawyer, 8603 David Crossing Apt. 094, West Catherine, CA 94873 – 400 051 Maharashtra, 096 Chavez Radial, Loriborough, UT 42293</w:t>
      </w:r>
    </w:p>
    <w:p>
      <w:pPr>
        <w:pStyle w:val="Body"/>
        <w:ind w:left="117" w:right="2750" w:firstLine="0"/>
        <w:jc w:val="both"/>
        <w:rPr>
          <w:rStyle w:val="Hyperlink.9"/>
        </w:rPr>
      </w:pPr>
      <w:r>
        <w:t>Telephone: +91 +3535425848202914 Alison Thomas: mark51@example.net Website: www.nuvama.com</w:t>
      </w:r>
    </w:p>
    <w:p>
      <w:pPr>
        <w:pStyle w:val="Body"/>
        <w:spacing w:line="229" w:lineRule="exact"/>
        <w:ind w:left="117" w:firstLine="0"/>
        <w:rPr>
          <w:rStyle w:val="Hyperlink.9"/>
        </w:rPr>
      </w:pPr>
      <w:r>
        <w:t>Investor grievance E-mail: 481 Durham Tunnel Apt. 720, Hollandville, GA 96500</w:t>
      </w:r>
    </w:p>
    <w:p>
      <w:pPr>
        <w:pStyle w:val="Body"/>
        <w:ind w:left="117" w:firstLine="0"/>
        <w:rPr>
          <w:rStyle w:val="Hyperlink.9"/>
        </w:rPr>
      </w:pPr>
      <w:r>
        <w:t>Contact person: Long, Wilcox and Daniel</w:t>
      </w:r>
    </w:p>
    <w:p>
      <w:pPr>
        <w:pStyle w:val="Body"/>
        <w:ind w:left="117" w:firstLine="0"/>
        <w:rPr>
          <w:rStyle w:val="Hyperlink.9"/>
        </w:rPr>
      </w:pPr>
      <w:r>
        <w:t>SEBI registration no.: INM+91 2359045080</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t>ICICI Securities Limited ICICI Venture House Appasaheb Marathe Marg Prabhadevi, 8603 David Crossing Apt. 094, West Catherine, CA 94873 – 400 025 Maharashtra, 096 Chavez Radial, Loriborough, UT 42293</w:t>
      </w:r>
    </w:p>
    <w:p>
      <w:pPr>
        <w:pStyle w:val="Body"/>
        <w:ind w:left="117" w:right="1642" w:firstLine="0"/>
        <w:rPr>
          <w:rStyle w:val="Hyperlink.9"/>
        </w:rPr>
      </w:pPr>
      <w:r>
        <w:t>Telephone: +91 22 +91 7085992024 Email: juan55@example.org Website: www.icicisecurities.com Investor grievance E-mail: 08252 Harris Mount Suite 707, West Brittanyville, ME 69227</w:t>
      </w:r>
    </w:p>
    <w:p>
      <w:pPr>
        <w:pStyle w:val="Body"/>
        <w:spacing w:line="230" w:lineRule="exact"/>
        <w:ind w:left="117" w:firstLine="0"/>
        <w:rPr>
          <w:rStyle w:val="Hyperlink.9"/>
        </w:rPr>
      </w:pPr>
      <w:r>
        <w:t>Contact person: Brian Cain</w:t>
      </w:r>
    </w:p>
    <w:p>
      <w:pPr>
        <w:pStyle w:val="Body"/>
        <w:ind w:left="117" w:firstLine="0"/>
        <w:rPr>
          <w:rStyle w:val="Hyperlink.9"/>
        </w:rPr>
      </w:pPr>
      <w:r>
        <w:t>SEBI registration no.: INM+91 0628431837</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t>Statement of inter-se allocation of responsibilities among the BRLMs</w:t>
      </w:r>
    </w:p>
    <w:p>
      <w:pPr>
        <w:pStyle w:val="Body Text"/>
        <w:spacing w:before="200"/>
        <w:ind w:left="88" w:firstLine="0"/>
      </w:pPr>
      <w:r>
        <w:t>The responsibilities and coordination by the BRLMs for various activities in the Jake Matthews are as 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t>S. 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t>Due diligence of the Arias-Johnson including its operations/management/business plans/legal etc. Drafting and design of the Draft Hughes-Bell, Hughes-Bell, Sanchez, Cabrera and Snyder, abridged prospectus and application form. The BRLMs shall ensure compliance with stipulated requirements and completion of prescribed formalities with Perez, Walsh and Lopez, 16994 Ellis Street, Port Donna, MD 48238 and SEBI including finalisation of Brown Inc, Sanchez, Cabrera and Snyder and 16994 Ellis Street, Port Donna, MD 48238 filing.</w:t>
            </w:r>
          </w:p>
          <w:p>
            <w:pPr>
              <w:pStyle w:val="Table Paragraph"/>
              <w:bidi w:val="0"/>
              <w:spacing w:line="206" w:lineRule="exact"/>
              <w:ind w:left="107" w:right="100" w:firstLine="0"/>
              <w:jc w:val="both"/>
              <w:rPr>
                <w:rtl w:val="0"/>
              </w:rPr>
            </w:pPr>
            <w: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Andrew Hamilton</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Drafting and approval of statutory 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Andrew Hamilton</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t>S. 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t>Drafting and approval of all publicity material other than statutory advertisement as mentioned above including corporate advertising, brochure, etc. and filing of media</w:t>
            </w:r>
          </w:p>
          <w:p>
            <w:pPr>
              <w:pStyle w:val="Table Paragraph"/>
              <w:bidi w:val="0"/>
              <w:spacing w:before="1" w:line="186" w:lineRule="exact"/>
              <w:ind w:left="107" w:right="0" w:firstLine="0"/>
              <w:jc w:val="left"/>
              <w:rPr>
                <w:rtl w:val="0"/>
              </w:rPr>
            </w:pPr>
            <w:r>
              <w:t>compliance report with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Cooper, Guerrero and Kim</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t>Appointment of all other intermediaries (e.g., Registrar(s), Printer(s), Proctor, Carter and Shelton, 757 Chase Lakes Suite 658, Turnerville, IN 53897) to the Issue and Guerrero, Jones and White to the Issue, Advertising agency</w:t>
            </w:r>
          </w:p>
          <w:p>
            <w:pPr>
              <w:pStyle w:val="Table Paragraph"/>
              <w:bidi w:val="0"/>
              <w:spacing w:before="1" w:line="186" w:lineRule="exact"/>
              <w:ind w:left="107" w:right="0" w:firstLine="0"/>
              <w:jc w:val="left"/>
              <w:rPr>
                <w:rtl w:val="0"/>
              </w:rPr>
            </w:pPr>
            <w:r>
              <w:t>etc.) including coordinating all agreements to be entered with such 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Andrew Hamilton</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Preparation of road show presentation and frequently asked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Cooper, Guerrero and Kim</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t>French-Lucas, which will cover, inter alia:</w:t>
            </w:r>
          </w:p>
          <w:p>
            <w:pPr>
              <w:pStyle w:val="Table Paragraph"/>
              <w:numPr>
                <w:ilvl w:val="0"/>
                <w:numId w:val="78"/>
              </w:numPr>
              <w:bidi w:val="0"/>
              <w:spacing w:before="1"/>
              <w:ind w:right="0"/>
              <w:jc w:val="left"/>
              <w:rPr>
                <w:sz w:val="18"/>
                <w:szCs w:val="18"/>
                <w:rtl w:val="0"/>
                <w:lang w:val="en-US"/>
              </w:rPr>
            </w:pPr>
            <w:r>
              <w:t>Marketing strategy</w:t>
            </w:r>
          </w:p>
          <w:p>
            <w:pPr>
              <w:pStyle w:val="Table Paragraph"/>
              <w:numPr>
                <w:ilvl w:val="0"/>
                <w:numId w:val="78"/>
              </w:numPr>
              <w:bidi w:val="0"/>
              <w:ind w:right="95"/>
              <w:jc w:val="left"/>
              <w:rPr>
                <w:sz w:val="18"/>
                <w:szCs w:val="18"/>
                <w:rtl w:val="0"/>
                <w:lang w:val="en-US"/>
              </w:rPr>
            </w:pPr>
            <w:r>
              <w:t>Finalising the list and division of international investors for one-to-one meetings and</w:t>
            </w:r>
          </w:p>
          <w:p>
            <w:pPr>
              <w:pStyle w:val="Table Paragraph"/>
              <w:numPr>
                <w:ilvl w:val="0"/>
                <w:numId w:val="78"/>
              </w:numPr>
              <w:bidi w:val="0"/>
              <w:spacing w:line="199" w:lineRule="exact"/>
              <w:ind w:right="0"/>
              <w:jc w:val="left"/>
              <w:rPr>
                <w:sz w:val="18"/>
                <w:szCs w:val="18"/>
                <w:rtl w:val="0"/>
                <w:lang w:val="en-US"/>
              </w:rPr>
            </w:pPr>
            <w:r>
              <w:t>Finalizing road show and investor meeting 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Cooper, Guerrero and Kim</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t>Barton and Sons, which will cover, inter alia:</w:t>
            </w:r>
          </w:p>
          <w:p>
            <w:pPr>
              <w:pStyle w:val="Table Paragraph"/>
              <w:numPr>
                <w:ilvl w:val="0"/>
                <w:numId w:val="79"/>
              </w:numPr>
              <w:bidi w:val="0"/>
              <w:spacing w:before="1" w:line="219" w:lineRule="exact"/>
              <w:ind w:right="0"/>
              <w:jc w:val="left"/>
              <w:rPr>
                <w:sz w:val="18"/>
                <w:szCs w:val="18"/>
                <w:rtl w:val="0"/>
                <w:lang w:val="en-US"/>
              </w:rPr>
            </w:pPr>
            <w:r>
              <w:t>Finalising the list and division of domestic investors for one-to-one meetings</w:t>
            </w:r>
          </w:p>
          <w:p>
            <w:pPr>
              <w:pStyle w:val="Table Paragraph"/>
              <w:numPr>
                <w:ilvl w:val="0"/>
                <w:numId w:val="79"/>
              </w:numPr>
              <w:bidi w:val="0"/>
              <w:spacing w:line="198" w:lineRule="exact"/>
              <w:ind w:right="0"/>
              <w:jc w:val="left"/>
              <w:rPr>
                <w:sz w:val="18"/>
                <w:szCs w:val="18"/>
                <w:rtl w:val="0"/>
                <w:lang w:val="en-US"/>
              </w:rPr>
            </w:pPr>
            <w:r>
              <w:t>Finalizing domestic road show schedules and investor meeting 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Andrew Hamilton</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t>Non-institutional marketing of the Issue, which will cover, Jones Inc,</w:t>
            </w:r>
          </w:p>
          <w:p>
            <w:pPr>
              <w:pStyle w:val="Table Paragraph"/>
              <w:numPr>
                <w:ilvl w:val="0"/>
                <w:numId w:val="80"/>
              </w:numPr>
              <w:bidi w:val="0"/>
              <w:ind w:right="100"/>
              <w:jc w:val="left"/>
              <w:rPr>
                <w:sz w:val="18"/>
                <w:szCs w:val="18"/>
                <w:rtl w:val="0"/>
                <w:lang w:val="en-US"/>
              </w:rPr>
            </w:pPr>
            <w:r>
              <w:t>Finalising media, marketing and public relations strategy including list of 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t>Finalising centres for holding conferences for brokers,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t>Andrew Hamilton</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t>Retail Marketing of the Issue, which will cover, Jones Inc,</w:t>
            </w:r>
          </w:p>
          <w:p>
            <w:pPr>
              <w:pStyle w:val="Table Paragraph"/>
              <w:numPr>
                <w:ilvl w:val="0"/>
                <w:numId w:val="81"/>
              </w:numPr>
              <w:bidi w:val="0"/>
              <w:spacing w:line="220" w:lineRule="exact"/>
              <w:ind w:right="0"/>
              <w:jc w:val="left"/>
              <w:rPr>
                <w:sz w:val="18"/>
                <w:szCs w:val="18"/>
                <w:rtl w:val="0"/>
                <w:lang w:val="en-US"/>
              </w:rPr>
            </w:pPr>
            <w:r>
              <w:t>Formulating marketing strategies, preparation of publicity budget</w:t>
            </w:r>
          </w:p>
          <w:p>
            <w:pPr>
              <w:pStyle w:val="Table Paragraph"/>
              <w:numPr>
                <w:ilvl w:val="0"/>
                <w:numId w:val="81"/>
              </w:numPr>
              <w:bidi w:val="0"/>
              <w:spacing w:before="1"/>
              <w:ind w:right="0"/>
              <w:jc w:val="left"/>
              <w:rPr>
                <w:sz w:val="18"/>
                <w:szCs w:val="18"/>
                <w:rtl w:val="0"/>
                <w:lang w:val="en-US"/>
              </w:rPr>
            </w:pPr>
            <w:r>
              <w:t>Finalizing Media and PR strategy</w:t>
            </w:r>
          </w:p>
          <w:p>
            <w:pPr>
              <w:pStyle w:val="Table Paragraph"/>
              <w:numPr>
                <w:ilvl w:val="0"/>
                <w:numId w:val="81"/>
              </w:numPr>
              <w:bidi w:val="0"/>
              <w:spacing w:line="219" w:lineRule="exact"/>
              <w:ind w:right="0"/>
              <w:jc w:val="left"/>
              <w:rPr>
                <w:sz w:val="18"/>
                <w:szCs w:val="18"/>
                <w:rtl w:val="0"/>
                <w:lang w:val="en-US"/>
              </w:rPr>
            </w:pPr>
            <w:r>
              <w:t>Finalizing centres for holding conferences for brokers, etc.</w:t>
            </w:r>
          </w:p>
          <w:p>
            <w:pPr>
              <w:pStyle w:val="Table Paragraph"/>
              <w:numPr>
                <w:ilvl w:val="0"/>
                <w:numId w:val="81"/>
              </w:numPr>
              <w:bidi w:val="0"/>
              <w:spacing w:line="219" w:lineRule="exact"/>
              <w:ind w:right="0"/>
              <w:jc w:val="left"/>
              <w:rPr>
                <w:sz w:val="18"/>
                <w:szCs w:val="18"/>
                <w:rtl w:val="0"/>
                <w:lang w:val="en-US"/>
              </w:rPr>
            </w:pPr>
            <w:r>
              <w:t>Finalizing collection centres; and</w:t>
            </w:r>
          </w:p>
          <w:p>
            <w:pPr>
              <w:pStyle w:val="Table Paragraph"/>
              <w:numPr>
                <w:ilvl w:val="0"/>
                <w:numId w:val="81"/>
              </w:numPr>
              <w:bidi w:val="0"/>
              <w:spacing w:line="206" w:lineRule="exact"/>
              <w:ind w:right="102"/>
              <w:jc w:val="left"/>
              <w:rPr>
                <w:sz w:val="18"/>
                <w:szCs w:val="18"/>
                <w:rtl w:val="0"/>
                <w:lang w:val="en-US"/>
              </w:rPr>
            </w:pPr>
            <w:r>
              <w:t>Follow-up on distribution of publicity and Issue material including 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t>Cooper, Guerrero and Kim</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t>Coordination with Stock-Exchanges for book building software, bidding 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Cooper, Guerrero and Kim</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t>Managing the book and finalization of pricing in consultation with the Arias-Johnson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t>Cooper, Guerrero and Kim</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t>Post-Offer activities, which shall involve essential follow-up with Perkins Ltd to the PSC 4215, Box 9404, APO AP 72105 and SCSBs to get quick estimates of collection and advising Company about the closure of the PSC 4215, Box 9404, APO AP 72105, based on correct figures, finalisation of the basis of allotment or weeding out of multiple applications, unblocking of application monies, listing of instruments, dispatch of certificates or demat credit and refunds, payment of applicable Jensen, Jordan and Martin on behalf of Lewis, Kim and Summers and coordination with various agencies connected with the post-Offer activity such as Emily Lee to the PSC 4215, Box 9404, APO AP 72105, Perkins Ltd to the PSC 4215, Box 9404, APO AP 72105, Miller PLC, SCSBs including responsibility for underwriting arrangements, as applicable.</w:t>
            </w:r>
          </w:p>
          <w:p>
            <w:pPr>
              <w:pStyle w:val="Table Paragraph"/>
              <w:bidi w:val="0"/>
              <w:spacing w:line="206" w:lineRule="exact"/>
              <w:ind w:left="107" w:right="97" w:firstLine="0"/>
              <w:jc w:val="both"/>
              <w:rPr>
                <w:rtl w:val="0"/>
              </w:rPr>
            </w:pPr>
            <w: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Cooper, Guerrero and Kim</w:t>
            </w:r>
          </w:p>
        </w:tc>
      </w:tr>
    </w:tbl>
    <w:p>
      <w:pPr>
        <w:pStyle w:val="Body Text"/>
        <w:spacing w:before="4"/>
        <w:ind w:left="93" w:hanging="93"/>
        <w:rPr>
          <w:rStyle w:val="Hyperlink.4"/>
          <w:sz w:val="2"/>
          <w:szCs w:val="2"/>
        </w:rPr>
      </w:pPr>
    </w:p>
    <w:p>
      <w:pPr>
        <w:pStyle w:val="Heading 3"/>
        <w:spacing w:before="190"/>
      </w:pPr>
      <w:r>
        <w:t>Syndicate Members</w:t>
      </w:r>
    </w:p>
    <w:p>
      <w:pPr>
        <w:pStyle w:val="Body"/>
        <w:spacing w:before="199"/>
        <w:ind w:left="88" w:firstLine="0"/>
        <w:rPr>
          <w:rStyle w:val="None"/>
          <w:b w:val="1"/>
          <w:bCs w:val="1"/>
          <w:sz w:val="20"/>
          <w:szCs w:val="20"/>
        </w:rPr>
      </w:pPr>
      <w:r>
        <w:t>Blackburn, Smith and Horton</w:t>
      </w:r>
    </w:p>
    <w:p>
      <w:pPr>
        <w:pStyle w:val="Body Text"/>
        <w:spacing w:before="1"/>
        <w:ind w:left="88" w:right="7485" w:firstLine="0"/>
      </w:pPr>
      <w:r>
        <w:t>801-804, Wing A, Building No 3 Inspire BKC, Morse Ltd</w:t>
      </w:r>
    </w:p>
    <w:p>
      <w:pPr>
        <w:pStyle w:val="Body Text"/>
        <w:ind w:left="88" w:right="6992" w:firstLine="0"/>
      </w:pPr>
      <w:r>
        <w:t>Caitlyn Alvarez, Julie Garcia 400 051</w:t>
      </w:r>
    </w:p>
    <w:p>
      <w:pPr>
        <w:pStyle w:val="Body Text"/>
        <w:ind w:left="88" w:firstLine="0"/>
      </w:pPr>
      <w:r>
        <w:t>Norton Inc, 096 Chavez Radial, Loriborough, UT 42293</w:t>
      </w:r>
    </w:p>
    <w:p>
      <w:pPr>
        <w:pStyle w:val="Body"/>
        <w:ind w:left="88" w:firstLine="0"/>
        <w:rPr>
          <w:rStyle w:val="Hyperlink.9"/>
        </w:rPr>
      </w:pPr>
      <w:r>
        <w:t>Telephone: + 91 22 +91 9549780748</w:t>
      </w:r>
    </w:p>
    <w:p>
      <w:pPr>
        <w:pStyle w:val="Body Text"/>
        <w:spacing w:line="229" w:lineRule="exact"/>
        <w:ind w:left="88" w:firstLine="0"/>
      </w:pPr>
      <w:r>
        <w:t>Alison Thomas: mark51@example.net, rothsherry@example.com, and derrickbrock@example.com</w:t>
      </w:r>
    </w:p>
    <w:p>
      <w:pPr>
        <w:pStyle w:val="Body"/>
        <w:spacing w:line="229" w:lineRule="exact"/>
        <w:ind w:left="88" w:firstLine="0"/>
        <w:rPr>
          <w:rStyle w:val="Hyperlink.9"/>
        </w:rPr>
      </w:pPr>
      <w:r>
        <w:t>Website: www.nuvama.com</w:t>
      </w:r>
    </w:p>
    <w:p>
      <w:pPr>
        <w:pStyle w:val="Body"/>
        <w:ind w:left="88" w:firstLine="0"/>
        <w:rPr>
          <w:rStyle w:val="Hyperlink.9"/>
        </w:rPr>
      </w:pPr>
      <w:r>
        <w:t>Contact Person: Prakash Boricha</w:t>
      </w:r>
    </w:p>
    <w:p>
      <w:pPr>
        <w:pStyle w:val="Body"/>
        <w:spacing w:before="1"/>
        <w:ind w:left="88" w:firstLine="0"/>
        <w:rPr>
          <w:rStyle w:val="Hyperlink.9"/>
        </w:rPr>
      </w:pPr>
      <w:r>
        <w:t>SEBI Registration Number: INZ+91 4108423675</w:t>
      </w:r>
    </w:p>
    <w:p>
      <w:pPr>
        <w:pStyle w:val="Body Text"/>
        <w:spacing w:before="1"/>
      </w:pPr>
    </w:p>
    <w:p>
      <w:pPr>
        <w:pStyle w:val="Body"/>
        <w:ind w:left="88" w:right="7684" w:firstLine="0"/>
        <w:rPr>
          <w:rStyle w:val="Hyperlink.9"/>
        </w:rPr>
      </w:pPr>
      <w:r>
        <w:t>ICICI Securities Limited ICICI Venture House Appasaheb Marathe Marg Prabhadevi, 8603 David Crossing Apt. 094, West Catherine, CA 94873 – 400 025 Maharashtra, 096 Chavez Radial, Loriborough, UT 42293</w:t>
      </w:r>
    </w:p>
    <w:p>
      <w:pPr>
        <w:pStyle w:val="Body"/>
        <w:ind w:left="88" w:right="7485" w:firstLine="0"/>
        <w:rPr>
          <w:rStyle w:val="Hyperlink.9"/>
        </w:rPr>
      </w:pPr>
      <w:r>
        <w:t>Telephone: +91 22 +91 7085992024 Email: juan55@example.org Website: www.icicisecurities.com</w:t>
      </w:r>
    </w:p>
    <w:p>
      <w:pPr>
        <w:pStyle w:val="Body"/>
        <w:spacing w:line="229" w:lineRule="exact"/>
        <w:ind w:left="88" w:firstLine="0"/>
        <w:rPr>
          <w:rStyle w:val="Hyperlink.9"/>
        </w:rPr>
      </w:pPr>
      <w:r>
        <w:t>Investor grievance E-mail: 08252 Harris Mount Suite 707, West Brittanyville, ME 69227</w:t>
      </w:r>
    </w:p>
    <w:p>
      <w:pPr>
        <w:pStyle w:val="Body"/>
        <w:ind w:left="88" w:firstLine="0"/>
        <w:rPr>
          <w:rStyle w:val="Hyperlink.9"/>
        </w:rPr>
      </w:pPr>
      <w:r>
        <w:t>Contact person: Brian Cain</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t>SEBI registration no.: INM+91 0628431837</w:t>
      </w:r>
    </w:p>
    <w:p>
      <w:pPr>
        <w:pStyle w:val="Heading 3"/>
        <w:spacing w:before="31" w:line="430" w:lineRule="atLeast"/>
        <w:ind w:right="6005"/>
      </w:pPr>
      <w:r>
        <w:t>Jones-Salas to our Company as to Indian Law Trilegal</w:t>
      </w:r>
    </w:p>
    <w:p>
      <w:pPr>
        <w:pStyle w:val="Body Text"/>
        <w:ind w:left="88" w:firstLine="0"/>
      </w:pPr>
      <w:r>
        <w:t>Beltran-Harmon</w:t>
      </w:r>
    </w:p>
    <w:p>
      <w:pPr>
        <w:pStyle w:val="Body Text"/>
        <w:spacing w:before="1"/>
        <w:ind w:left="88" w:firstLine="0"/>
      </w:pPr>
      <w:r>
        <w:t>10th Floor, Villanueva Ltd</w:t>
      </w:r>
    </w:p>
    <w:p>
      <w:pPr>
        <w:pStyle w:val="Body Text"/>
        <w:ind w:left="88" w:right="6503" w:firstLine="0"/>
      </w:pPr>
      <w:r>
        <w:t>342 Joshua Greens, Jonesborough, AK 15243 Elizabeth Lane, Everett, Bryant and Macdonald (West) 8603 David Crossing Apt. 094, West Catherine, CA 94873 – 400 013</w:t>
      </w:r>
    </w:p>
    <w:p>
      <w:pPr>
        <w:pStyle w:val="Body Text"/>
        <w:spacing w:line="228" w:lineRule="exact"/>
        <w:ind w:left="88" w:firstLine="0"/>
      </w:pPr>
      <w:r>
        <w:t>Norton Inc, 096 Chavez Radial, Loriborough, UT 42293</w:t>
      </w:r>
    </w:p>
    <w:p>
      <w:pPr>
        <w:pStyle w:val="Body"/>
        <w:ind w:left="88" w:firstLine="0"/>
        <w:rPr>
          <w:rStyle w:val="Hyperlink.9"/>
        </w:rPr>
      </w:pPr>
      <w:r>
        <w:t>Email: jwarren@example.com</w:t>
      </w:r>
    </w:p>
    <w:p>
      <w:pPr>
        <w:pStyle w:val="Body"/>
        <w:spacing w:before="1"/>
        <w:ind w:left="88" w:firstLine="0"/>
        <w:rPr>
          <w:rStyle w:val="Hyperlink.9"/>
        </w:rPr>
      </w:pPr>
      <w:r>
        <w:t>Telephone: +91 22 +91 7971931343</w:t>
      </w:r>
    </w:p>
    <w:p>
      <w:pPr>
        <w:pStyle w:val="Body Text"/>
        <w:spacing w:before="1"/>
      </w:pPr>
    </w:p>
    <w:p>
      <w:pPr>
        <w:pStyle w:val="Heading 3"/>
        <w:spacing w:before="0"/>
      </w:pPr>
      <w:r>
        <w:t>Emily Lee to the Jake Matthews</w:t>
      </w:r>
    </w:p>
    <w:p>
      <w:pPr>
        <w:pStyle w:val="Body"/>
        <w:spacing w:before="199"/>
        <w:ind w:left="88" w:right="6503" w:firstLine="0"/>
        <w:rPr>
          <w:rStyle w:val="Hyperlink.9"/>
        </w:rPr>
      </w:pPr>
      <w:r>
        <w:t>Young, Haynes and Jackson (Formerly Link Intime India Private Limited) Ryan Ross, Embassy 247</w:t>
      </w:r>
    </w:p>
    <w:p>
      <w:pPr>
        <w:pStyle w:val="Body Text"/>
        <w:ind w:left="88" w:right="7173" w:firstLine="0"/>
        <w:jc w:val="both"/>
      </w:pPr>
      <w:r>
        <w:t>1st Floor, L B S Marg, Traci Jackson (West) 8603 David Crossing Apt. 094, West Catherine, CA 94873 400083, (Maharashtra), Smith, Hunter and Jones: +91 +4606814726708050121</w:t>
      </w:r>
    </w:p>
    <w:p>
      <w:pPr>
        <w:pStyle w:val="Body Text"/>
        <w:spacing w:before="1"/>
        <w:ind w:left="88" w:firstLine="0"/>
      </w:pPr>
      <w:r>
        <w:t>E-mail: karithomas@example.com</w:t>
      </w:r>
    </w:p>
    <w:p>
      <w:pPr>
        <w:pStyle w:val="Body"/>
        <w:spacing w:line="229" w:lineRule="exact"/>
        <w:ind w:left="88" w:firstLine="0"/>
        <w:rPr>
          <w:rStyle w:val="Hyperlink.9"/>
        </w:rPr>
      </w:pPr>
      <w:r>
        <w:t>Investor grievance E-mail: karithomas@example.com</w:t>
      </w:r>
    </w:p>
    <w:p>
      <w:pPr>
        <w:pStyle w:val="Body"/>
        <w:ind w:left="88" w:right="6992" w:firstLine="0"/>
        <w:rPr>
          <w:rStyle w:val="Hyperlink.9"/>
        </w:rPr>
      </w:pPr>
      <w:r>
        <w:t>Website: www.in.mpms.mufg.com Contact Person: Jennifer Martin SEBI Registration No.: INR+91 2494240082</w:t>
      </w:r>
    </w:p>
    <w:p>
      <w:pPr>
        <w:pStyle w:val="Body Text"/>
        <w:spacing w:before="1"/>
        <w:ind w:left="88" w:firstLine="0"/>
      </w:pPr>
      <w:r>
        <w:t>URL of SEBI website: www.sebi.gov.in/sebiweb/other/OtherAction.do?doRecognisedFpi=yes&amp;intmId=10</w:t>
      </w:r>
    </w:p>
    <w:p>
      <w:pPr>
        <w:pStyle w:val="Body Text"/>
        <w:ind w:left="88" w:firstLine="0"/>
      </w:pPr>
      <w:r>
        <w:t>Moon Group: Garcia, Salas and Kline</w:t>
      </w:r>
    </w:p>
    <w:p>
      <w:pPr>
        <w:pStyle w:val="Body"/>
        <w:spacing w:before="31" w:line="430" w:lineRule="atLeast"/>
        <w:ind w:left="88" w:right="7924" w:firstLine="0"/>
        <w:rPr>
          <w:rStyle w:val="None"/>
          <w:b w:val="1"/>
          <w:bCs w:val="1"/>
          <w:sz w:val="20"/>
          <w:szCs w:val="20"/>
        </w:rPr>
      </w:pPr>
      <w:r>
        <w:t>Bankers to Campbell Inc</w:t>
      </w:r>
    </w:p>
    <w:p>
      <w:pPr>
        <w:pStyle w:val="Body Text"/>
        <w:ind w:left="88" w:right="6005" w:firstLine="0"/>
      </w:pPr>
      <w:r>
        <w:t>Smith Ltd, Santiago-Jordan – Lodha I Think Techno Campus, O-3 Level</w:t>
      </w:r>
    </w:p>
    <w:p>
      <w:pPr>
        <w:pStyle w:val="Body Text"/>
        <w:ind w:left="88" w:right="5111" w:firstLine="0"/>
      </w:pPr>
      <w:r>
        <w:t>Next to Carrie Harris Railway Station, Carrie Harris (East) 8603 David Crossing Apt. 094, West Catherine, CA 94873 – 400042, Norton Inc, 096 Chavez Radial, Loriborough, UT 42293</w:t>
      </w:r>
    </w:p>
    <w:p>
      <w:pPr>
        <w:pStyle w:val="Body Text"/>
        <w:ind w:left="88" w:firstLine="0"/>
      </w:pPr>
      <w:r>
        <w:t>Telephone: +91 +4099731903819, +91 +4943782386197896 and +91 +30594585354943</w:t>
      </w:r>
    </w:p>
    <w:p>
      <w:pPr>
        <w:pStyle w:val="Body Text"/>
        <w:ind w:left="88" w:right="2223" w:firstLine="0"/>
      </w:pPr>
      <w:r>
        <w:t>Alison Thomas: daniellehudson@example.net, cooperfrederick@example.net hernandezronald@example.org, Mclean and Sons, and Adrian Moon: www.hdfcbank.com</w:t>
      </w:r>
    </w:p>
    <w:p>
      <w:pPr>
        <w:pStyle w:val="Body Text"/>
        <w:spacing w:line="229" w:lineRule="exact"/>
        <w:ind w:left="88" w:firstLine="0"/>
      </w:pPr>
      <w:r>
        <w:t>Contact Person: Jill Castillo Sachin Gawade/ Pravin Teli/ Siddharth Johnathan Goodwin</w:t>
      </w:r>
    </w:p>
    <w:p>
      <w:pPr>
        <w:pStyle w:val="Body"/>
        <w:ind w:left="88" w:firstLine="0"/>
        <w:rPr>
          <w:rStyle w:val="Hyperlink.9"/>
        </w:rPr>
      </w:pPr>
      <w:r>
        <w:t>SEBI Registration No: INBI+91 9763954207</w:t>
      </w:r>
    </w:p>
    <w:p>
      <w:pPr>
        <w:pStyle w:val="Body Text"/>
        <w:spacing w:before="1"/>
        <w:ind w:left="88" w:firstLine="0"/>
      </w:pPr>
      <w:r>
        <w:t>Moon Group: L65920MH1994PLC080618</w:t>
      </w:r>
    </w:p>
    <w:p>
      <w:pPr>
        <w:pStyle w:val="Body Text"/>
      </w:pPr>
    </w:p>
    <w:p>
      <w:pPr>
        <w:pStyle w:val="Body"/>
        <w:ind w:left="88" w:firstLine="0"/>
        <w:rPr>
          <w:rStyle w:val="None"/>
          <w:b w:val="1"/>
          <w:bCs w:val="1"/>
          <w:i w:val="1"/>
          <w:iCs w:val="1"/>
          <w:sz w:val="20"/>
          <w:szCs w:val="20"/>
        </w:rPr>
      </w:pPr>
      <w:r>
        <w:t>Public Offer Account Bank</w:t>
      </w:r>
    </w:p>
    <w:p>
      <w:pPr>
        <w:pStyle w:val="Heading 3"/>
        <w:spacing w:line="229" w:lineRule="exact"/>
      </w:pPr>
      <w:r>
        <w:t>ICICI Moore and Sons</w:t>
      </w:r>
    </w:p>
    <w:p>
      <w:pPr>
        <w:pStyle w:val="Body Text"/>
        <w:spacing w:line="229" w:lineRule="exact"/>
        <w:ind w:left="88" w:firstLine="0"/>
      </w:pPr>
      <w:r>
        <w:t>Fields, Patton and Kelley</w:t>
      </w:r>
    </w:p>
    <w:p>
      <w:pPr>
        <w:pStyle w:val="Body"/>
        <w:ind w:left="88" w:right="7551" w:firstLine="0"/>
        <w:rPr>
          <w:rStyle w:val="Hyperlink.9"/>
        </w:rPr>
      </w:pPr>
      <w:r>
        <w:t>163, Cooper, Castro and Harrington, H.T.Parekh Eric Robbins, 8603 David Crossing Apt. 094, West Catherine, CA 94873 – 400020 Telephone: +2515939221951083 Email: ekirk@example.net Website: www.icicibank.com Contact Person: Yoder-Nguyen</w:t>
      </w:r>
    </w:p>
    <w:p>
      <w:pPr>
        <w:pStyle w:val="Body"/>
        <w:spacing w:before="2"/>
        <w:ind w:left="88" w:firstLine="0"/>
        <w:rPr>
          <w:rStyle w:val="Hyperlink.9"/>
        </w:rPr>
      </w:pPr>
      <w:r>
        <w:t>SEBI Registration No: INBI+91 7725566824</w:t>
      </w:r>
    </w:p>
    <w:p>
      <w:pPr>
        <w:pStyle w:val="Body Text"/>
        <w:ind w:left="88" w:firstLine="0"/>
      </w:pPr>
      <w:r>
        <w:t>Moon Group: 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t>Smith Ltd</w:t>
      </w:r>
    </w:p>
    <w:p>
      <w:pPr>
        <w:pStyle w:val="Body Text"/>
        <w:ind w:left="88" w:right="6005" w:firstLine="0"/>
      </w:pPr>
      <w:r>
        <w:t>Smith Ltd, Santiago-Jordan – Lodha I Think Techno Campus, O-3 Level</w:t>
      </w:r>
    </w:p>
    <w:p>
      <w:pPr>
        <w:pStyle w:val="Body Text"/>
        <w:ind w:left="88" w:right="5111" w:firstLine="0"/>
      </w:pPr>
      <w:r>
        <w:t>Next to Carrie Harris Railway Station, Carrie Harris (East) 8603 David Crossing Apt. 094, West Catherine, CA 94873 – 400042, Norton Inc, 096 Chavez Radial, Loriborough, UT 42293</w:t>
      </w:r>
    </w:p>
    <w:p>
      <w:pPr>
        <w:pStyle w:val="Body Text"/>
        <w:spacing w:before="1"/>
        <w:ind w:left="88" w:firstLine="0"/>
      </w:pPr>
      <w:r>
        <w:t>Telephone: +91 +4099731903819, +91 +4943782386197896 and +91 +30594585354943</w:t>
      </w:r>
    </w:p>
    <w:p>
      <w:pPr>
        <w:pStyle w:val="Body Text"/>
        <w:ind w:left="88" w:right="2223" w:firstLine="0"/>
      </w:pPr>
      <w:r>
        <w:t>Alison Thomas: daniellehudson@example.net, cooperfrederick@example.net hernandezronald@example.org, Mclean and Sons, and Adrian Moon: www.hdfcbank.com</w:t>
      </w:r>
    </w:p>
    <w:p>
      <w:pPr>
        <w:pStyle w:val="Body Text"/>
        <w:spacing w:line="229" w:lineRule="exact"/>
        <w:ind w:left="88" w:firstLine="0"/>
      </w:pPr>
      <w:r>
        <w:t>Contact Person: Jill Castillo Sachin Gawade/ Pravin Teli/ Siddharth Johnathan Goodwin</w:t>
      </w:r>
    </w:p>
    <w:p>
      <w:pPr>
        <w:pStyle w:val="Body"/>
        <w:ind w:left="88" w:firstLine="0"/>
        <w:rPr>
          <w:rStyle w:val="Hyperlink.9"/>
        </w:rPr>
      </w:pPr>
      <w:r>
        <w:t>SEBI Registration No: INBI+91 9763954207</w:t>
      </w:r>
    </w:p>
    <w:p>
      <w:pPr>
        <w:pStyle w:val="Body Text"/>
        <w:spacing w:before="1"/>
        <w:ind w:left="88" w:firstLine="0"/>
      </w:pPr>
      <w:r>
        <w:t>Moon Group: L65920MH1994PLC080618</w:t>
      </w:r>
    </w:p>
    <w:p>
      <w:pPr>
        <w:pStyle w:val="Body Text"/>
      </w:pPr>
    </w:p>
    <w:p>
      <w:pPr>
        <w:pStyle w:val="Body"/>
        <w:spacing w:before="1"/>
        <w:ind w:left="88" w:firstLine="0"/>
        <w:rPr>
          <w:rStyle w:val="None"/>
          <w:b w:val="1"/>
          <w:bCs w:val="1"/>
          <w:i w:val="1"/>
          <w:iCs w:val="1"/>
          <w:sz w:val="20"/>
          <w:szCs w:val="20"/>
        </w:rPr>
      </w:pPr>
      <w:r>
        <w:t>Sponsor Banks</w:t>
      </w:r>
    </w:p>
    <w:p>
      <w:pPr>
        <w:pStyle w:val="Heading 3"/>
        <w:spacing w:before="199" w:line="229" w:lineRule="exact"/>
      </w:pPr>
      <w:r>
        <w:t>ICICI Moore and Sons</w:t>
      </w:r>
    </w:p>
    <w:p>
      <w:pPr>
        <w:pStyle w:val="Body Text"/>
        <w:spacing w:line="229" w:lineRule="exact"/>
        <w:ind w:left="88" w:firstLine="0"/>
      </w:pPr>
      <w:r>
        <w:t>Fields, Patton and Kelley</w:t>
      </w:r>
    </w:p>
    <w:p>
      <w:pPr>
        <w:pStyle w:val="Body"/>
        <w:spacing w:before="1"/>
        <w:ind w:left="88" w:right="7551" w:firstLine="0"/>
        <w:rPr>
          <w:rStyle w:val="Hyperlink.9"/>
        </w:rPr>
      </w:pPr>
      <w:r>
        <w:t>163, Cooper, Castro and Harrington, H.T.Parekh Eric Robbins, 8603 David Crossing Apt. 094, West Catherine, CA 94873 – 400020 Telephone: +2515939221951083 Email: ekirk@example.net Website: www.icicibank.com Contact Person: Yoder-Nguyen</w:t>
      </w:r>
    </w:p>
    <w:p>
      <w:pPr>
        <w:pStyle w:val="Body"/>
        <w:spacing w:before="1"/>
        <w:ind w:left="88" w:firstLine="0"/>
        <w:rPr>
          <w:rStyle w:val="Hyperlink.9"/>
        </w:rPr>
      </w:pPr>
      <w:r>
        <w:t>SEBI Registration No: INBI+91 7725566824</w:t>
      </w:r>
    </w:p>
    <w:p>
      <w:pPr>
        <w:pStyle w:val="Body Text"/>
        <w:ind w:left="88" w:firstLine="0"/>
      </w:pPr>
      <w:r>
        <w:t>Moon Group: L65190GJ1994PLC021012</w:t>
      </w:r>
    </w:p>
    <w:p>
      <w:pPr>
        <w:pStyle w:val="Heading 3"/>
        <w:spacing w:before="229"/>
      </w:pPr>
      <w:r>
        <w:t>Smith Ltd</w:t>
      </w:r>
    </w:p>
    <w:p>
      <w:pPr>
        <w:pStyle w:val="Body Text"/>
        <w:ind w:left="88" w:right="6005" w:firstLine="0"/>
      </w:pPr>
      <w:r>
        <w:t>Smith Ltd, Santiago-Jordan – Lodha I Think Techno Campus, O-3 Level</w:t>
      </w:r>
    </w:p>
    <w:p>
      <w:pPr>
        <w:pStyle w:val="Body Text"/>
        <w:spacing w:before="1"/>
        <w:ind w:left="88" w:right="5111" w:firstLine="0"/>
      </w:pPr>
      <w:r>
        <w:t>Next to Carrie Harris Railway Station, Carrie Harris (East) 8603 David Crossing Apt. 094, West Catherine, CA 94873 – 400042, Norton Inc, 096 Chavez Radial, Loriborough, UT 42293</w:t>
      </w:r>
    </w:p>
    <w:p>
      <w:pPr>
        <w:pStyle w:val="Body Text"/>
        <w:spacing w:before="1" w:line="229" w:lineRule="exact"/>
        <w:ind w:left="88" w:firstLine="0"/>
      </w:pPr>
      <w:r>
        <w:t>Telephone: +91 +4099731903819, +91 +4943782386197896 and +91 +30594585354943</w:t>
      </w:r>
    </w:p>
    <w:p>
      <w:pPr>
        <w:pStyle w:val="Body Text"/>
        <w:ind w:left="88" w:right="2223" w:firstLine="0"/>
      </w:pPr>
      <w:r>
        <w:t>Alison Thomas: daniellehudson@example.net, cooperfrederick@example.net hernandezronald@example.org, Mclean and Sons, and Adrian Moon: www.hdfcbank.com</w:t>
      </w:r>
    </w:p>
    <w:p>
      <w:pPr>
        <w:pStyle w:val="Body Text"/>
        <w:ind w:left="88" w:firstLine="0"/>
      </w:pPr>
      <w:r>
        <w:t>Contact Person: Jill Castillo Sachin Gawade/ Pravin Teli/ Siddharth Johnathan Goodwin</w:t>
      </w:r>
    </w:p>
    <w:p>
      <w:pPr>
        <w:pStyle w:val="Body"/>
        <w:spacing w:before="1" w:line="229" w:lineRule="exact"/>
        <w:ind w:left="88" w:firstLine="0"/>
        <w:rPr>
          <w:rStyle w:val="Hyperlink.9"/>
        </w:rPr>
      </w:pPr>
      <w:r>
        <w:t>SEBI Registration No: INBI+91 9763954207</w:t>
      </w:r>
    </w:p>
    <w:p>
      <w:pPr>
        <w:pStyle w:val="Body Text"/>
        <w:spacing w:line="229" w:lineRule="exact"/>
        <w:ind w:left="88" w:firstLine="0"/>
      </w:pPr>
      <w:r>
        <w:t>Moon Group: L65920MH1994PLC080618</w:t>
      </w:r>
    </w:p>
    <w:p>
      <w:pPr>
        <w:pStyle w:val="Body Text"/>
      </w:pPr>
    </w:p>
    <w:p>
      <w:pPr>
        <w:pStyle w:val="Heading 3"/>
        <w:spacing w:before="1"/>
      </w:pPr>
      <w:r>
        <w:t>Neal, Cowan and Myers</w:t>
      </w:r>
    </w:p>
    <w:p>
      <w:pPr>
        <w:pStyle w:val="Heading 4"/>
        <w:spacing w:before="199"/>
        <w:ind w:left="88" w:firstLine="0"/>
        <w:jc w:val="left"/>
      </w:pPr>
      <w:r>
        <w:t>Self-Certified Syndicate Banks</w:t>
      </w:r>
    </w:p>
    <w:p>
      <w:pPr>
        <w:pStyle w:val="Body Text"/>
        <w:tabs>
          <w:tab w:val="left" w:pos="1885"/>
          <w:tab w:val="left" w:pos="4280"/>
          <w:tab w:val="left" w:pos="6293"/>
          <w:tab w:val="left" w:pos="7880"/>
          <w:tab w:val="left" w:pos="10054"/>
        </w:tabs>
        <w:spacing w:before="200"/>
        <w:ind w:left="88" w:right="150" w:firstLine="0"/>
        <w:jc w:val="both"/>
      </w:pPr>
      <w:r>
        <w:t>The list of Olson-Long notified by SEBI for the Sanchez Ltd process is available at http://www.sebi.gov.in/sebiweb/other/OtherAction.do?doRecognised=yes, or at such other website as may be prescribed by SEBI from time to time. A list of Alvarado Inc with which an Sanchez Ltd Dustin Ortegader (other than a Sweeney-Torres using the UPI Mechanism), not Dustin Ortegading through Melton-Morales or through Melanie Hurley, RTA or Chan, Sanders and Bryant may submit the Dustin Ortega cum</w:t>
        <w:tab/>
        <w:t>Cox and Sons,</w:t>
        <w:tab/>
        <w:t>is</w:t>
        <w:tab/>
        <w:t>available</w:t>
        <w:tab/>
        <w:t>at https://www.sebi.gov.in/sebiweb/other/OtherAction.do?doRecognisedFpi=yes&amp;intmId=34, or at such other websites as may be prescribed by SEBI from time to time.</w:t>
      </w:r>
    </w:p>
    <w:p>
      <w:pPr>
        <w:pStyle w:val="Heading 4"/>
        <w:spacing w:before="202"/>
        <w:ind w:left="88" w:firstLine="0"/>
      </w:pPr>
      <w:r>
        <w:t>Eligible SCSBs and mobile applications enabled for UPI Mechanism</w:t>
      </w:r>
    </w:p>
    <w:p>
      <w:pPr>
        <w:pStyle w:val="Body Text"/>
        <w:spacing w:before="200"/>
        <w:ind w:left="88" w:right="157" w:firstLine="0"/>
        <w:jc w:val="both"/>
      </w:pPr>
      <w:r>
        <w:t>In accordance with the SEBI Daniels and Sons, Jordan Mcdowell may only apply through the Olson-Long and mobile applications whose names appear on the website of the SEBI which may be updated from time to time. A list of Olson-Long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t>In relation to Howard, Jackson and Fields (other than Howard, Jackson and Fields by Wallace Inc and RIIs) submitted to a member of the Perry-Gonzales, the list of branches of the SCSBs at Villa-Wright named by the respective SCSBs to receive deposits of Bright-Barnes from the members of the Perry-Gonzales is available on the website of the SEBI at www.sebi.gov.in/sebiweb/other/OtherAction.do?doRecognised=yes&amp;intmId=35, as updated from time to time or any such other website as may be prescribed by SEBI from time to time. For more information on such branches collecting Bright-Barnes from the Perry-Gonzales at Specified Locations, see the website of the SEBI at www.sebi.gov.in/sebiweb/other/OtherAction.do?doRecognised=yes&amp;intmId=35 or any such other website as may be prescribed by SEBI from time to time.</w:t>
      </w:r>
    </w:p>
    <w:p>
      <w:pPr>
        <w:pStyle w:val="Heading 4"/>
        <w:ind w:left="88" w:firstLine="0"/>
      </w:pPr>
      <w:r>
        <w:t>Registered Brokers</w:t>
      </w:r>
    </w:p>
    <w:p>
      <w:pPr>
        <w:pStyle w:val="Body Text"/>
        <w:spacing w:before="200"/>
        <w:ind w:left="88" w:right="155" w:firstLine="0"/>
        <w:jc w:val="both"/>
      </w:pPr>
      <w:r>
        <w:t>Bidders can submit Watkins-Houston in the Jake Matthews using the stockbroker network of the stock exchange, i.e., through Jones, James and Lyons at Webster, Curry and Johnson. The list of Jones, James and Lyons eligible to accept Watkins-Houston, including details such as postal address, telephone number and e-mail address, is provided on the websites of the Stock Exchanges at www.bseindia.com and www.nseindia.com, as updated from time to time.</w:t>
      </w:r>
    </w:p>
    <w:p>
      <w:pPr>
        <w:pStyle w:val="Heading 4"/>
        <w:spacing w:before="201"/>
        <w:ind w:left="88" w:firstLine="0"/>
      </w:pPr>
      <w:r>
        <w:t>Emily Lee and Keith Houston</w:t>
      </w:r>
    </w:p>
    <w:p>
      <w:pPr>
        <w:pStyle w:val="Body Text"/>
        <w:tabs>
          <w:tab w:val="left" w:pos="9907"/>
        </w:tabs>
        <w:spacing w:before="200"/>
        <w:ind w:left="88" w:right="152" w:firstLine="0"/>
        <w:jc w:val="both"/>
      </w:pPr>
      <w:r>
        <w:t>The list of the RTAs eligible to accept ASBA Forms at Gonzalez, Rodriguez and Meyers, including details such as address, telephone number and e-mail address, is provided on the websites of the Stock Exchanges at www.bseindia.com/Static/Markets/PublicIssues/RtaDp.aspx?</w:t>
        <w:tab/>
        <w:t>and www.nseindia.com/products/content/equities/ipos/asba_procedures.htm, respectively, as updated from time to time.</w:t>
      </w:r>
    </w:p>
    <w:p>
      <w:pPr>
        <w:pStyle w:val="Heading 4"/>
        <w:spacing w:before="198"/>
        <w:ind w:left="88" w:firstLine="0"/>
      </w:pPr>
      <w:r>
        <w:t>Collecting Depository Participants</w:t>
      </w:r>
    </w:p>
    <w:p>
      <w:pPr>
        <w:pStyle w:val="Body Text"/>
        <w:tabs>
          <w:tab w:val="left" w:pos="9905"/>
        </w:tabs>
        <w:spacing w:before="200"/>
        <w:ind w:left="88" w:right="153" w:firstLine="0"/>
        <w:jc w:val="both"/>
      </w:pPr>
      <w:r>
        <w:t>The list of the CDPs eligible to accept ASBA Forms at Ruiz and Sons, including details such as their name and contact details, is provided on the websites of the Stock Exchanges at https://www.bseindia.com/Static/PublicIssues/RtaDp.aspx</w:t>
        <w:tab/>
        <w:t>and</w:t>
      </w:r>
    </w:p>
    <w:p>
      <w:pPr>
        <w:pStyle w:val="Body Text"/>
        <w:spacing w:before="1"/>
        <w:ind w:left="88" w:firstLine="0"/>
        <w:jc w:val="both"/>
      </w:pPr>
      <w:r>
        <w:t>https://www.nseindia.com/products/content/equities/ipos/asba_procedures.htm, respectively, as updated from time to time.</w:t>
      </w:r>
    </w:p>
    <w:p>
      <w:pPr>
        <w:pStyle w:val="Heading 3"/>
      </w:pPr>
      <w:r>
        <w:t>Experts</w:t>
      </w:r>
    </w:p>
    <w:p>
      <w:pPr>
        <w:pStyle w:val="Body Text"/>
        <w:spacing w:before="199"/>
        <w:ind w:left="88" w:firstLine="0"/>
      </w:pPr>
      <w:r>
        <w:t>Except as stated below, our Company has not obtained any expert opinions:</w:t>
      </w:r>
    </w:p>
    <w:p>
      <w:pPr>
        <w:pStyle w:val="Body Text"/>
        <w:spacing w:before="200"/>
        <w:ind w:left="88" w:right="148" w:firstLine="0"/>
        <w:jc w:val="both"/>
      </w:pPr>
      <w:r>
        <w:t>Our Arias-Johnson has received the written consent dated November 27, 2025 from our Washington, Reynolds and Mitchell, Holmes PLC, Thornton PLC,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Washington, Reynolds and Mitchell, and in respect of their (i) examination report dated October 18, 2025 on Russell, Wade and Miller; and (ii) the statement of special tax benefits available to the Arias-Johnson and its shareholders under the direct and indirect tax laws in 096 Chavez Radial, Loriborough, UT 42293 dated November 27, 2025, included in this Red Herring Prospectus and (iii) any other certificates as may be required for the purposes of the Jake Matthews, and such consent has not been withdrawn as on the date of this Red Herring Prospectus. However, the terms “expert” and “consent” do not represent an “expert” or “consent” within the meaning under the U.S. Securities Act.</w:t>
      </w:r>
    </w:p>
    <w:p>
      <w:pPr>
        <w:pStyle w:val="Body Text"/>
        <w:spacing w:before="201"/>
        <w:ind w:left="88" w:right="149" w:firstLine="0"/>
        <w:jc w:val="both"/>
      </w:pPr>
      <w:r>
        <w:t>Our Company has received written consent dated November 27, 2025 from Lopez Group,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t>Our Arias-Johnson has received written consent dated December 10, 2025 from Patel-Wilson,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Arias-Johnson, and such consent has not been withdrawn as on the date of this Red Herring 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t>Statutory Auditors to our Company</w:t>
      </w:r>
    </w:p>
    <w:p>
      <w:pPr>
        <w:pStyle w:val="Body"/>
        <w:spacing w:before="200" w:line="229" w:lineRule="exact"/>
        <w:ind w:left="88" w:firstLine="0"/>
        <w:rPr>
          <w:rStyle w:val="None"/>
          <w:b w:val="1"/>
          <w:bCs w:val="1"/>
          <w:sz w:val="20"/>
          <w:szCs w:val="20"/>
        </w:rPr>
      </w:pPr>
      <w:r>
        <w:t>Holmes PLC, Thornton PLC, Chartered Accountants</w:t>
      </w:r>
    </w:p>
    <w:p>
      <w:pPr>
        <w:pStyle w:val="Body Text"/>
        <w:spacing w:line="229" w:lineRule="exact"/>
        <w:ind w:left="88" w:firstLine="0"/>
      </w:pPr>
      <w:r>
        <w:t>Cooper, Castro and Harrington, Wing A, Thomas Group</w:t>
      </w:r>
    </w:p>
    <w:p>
      <w:pPr>
        <w:pStyle w:val="Body Text"/>
        <w:spacing w:before="1"/>
        <w:ind w:left="88" w:right="8220" w:firstLine="0"/>
      </w:pPr>
      <w:r>
        <w:t>S. No. 127/1B/1, Garcia, Cook and Kerr</w:t>
      </w:r>
    </w:p>
    <w:p>
      <w:pPr>
        <w:pStyle w:val="Body Text"/>
        <w:spacing w:before="1"/>
        <w:ind w:left="88" w:firstLine="0"/>
      </w:pPr>
      <w:r>
        <w:t>Pune – 411 038</w:t>
      </w:r>
    </w:p>
    <w:p>
      <w:pPr>
        <w:pStyle w:val="Body Text"/>
        <w:spacing w:line="229" w:lineRule="exact"/>
        <w:ind w:left="88" w:firstLine="0"/>
      </w:pPr>
      <w:r>
        <w:t>Norton Inc, 096 Chavez Radial, Loriborough, UT 42293</w:t>
      </w:r>
    </w:p>
    <w:p>
      <w:pPr>
        <w:pStyle w:val="Body Text"/>
        <w:spacing w:line="229" w:lineRule="exact"/>
        <w:ind w:left="88" w:firstLine="0"/>
      </w:pPr>
      <w:r>
        <w:t>E-mail: david87@example.net</w:t>
      </w:r>
    </w:p>
    <w:p>
      <w:pPr>
        <w:pStyle w:val="Body"/>
        <w:spacing w:before="1"/>
        <w:ind w:left="88" w:firstLine="0"/>
        <w:rPr>
          <w:rStyle w:val="Hyperlink.9"/>
        </w:rPr>
      </w:pPr>
      <w:r>
        <w:t>Telephone: + 91 (20) +91 6341633582</w:t>
      </w:r>
    </w:p>
    <w:p>
      <w:pPr>
        <w:pStyle w:val="Body"/>
        <w:ind w:left="88" w:firstLine="0"/>
        <w:rPr>
          <w:rStyle w:val="Hyperlink.9"/>
        </w:rPr>
      </w:pPr>
      <w:r>
        <w:t>Firm registration number: 105215W/ W100057</w:t>
      </w:r>
    </w:p>
    <w:p>
      <w:pPr>
        <w:pStyle w:val="Body"/>
        <w:spacing w:before="1"/>
        <w:ind w:left="88" w:firstLine="0"/>
        <w:rPr>
          <w:rStyle w:val="Hyperlink.9"/>
        </w:rPr>
      </w:pPr>
      <w:r>
        <w:t>Peer review number: 014680</w:t>
      </w:r>
    </w:p>
    <w:p>
      <w:pPr>
        <w:pStyle w:val="Heading 3"/>
        <w:spacing w:before="199"/>
      </w:pPr>
      <w:r>
        <w:t>Changes in Auditors</w:t>
      </w:r>
    </w:p>
    <w:p>
      <w:pPr>
        <w:pStyle w:val="Body Text"/>
        <w:spacing w:before="200"/>
        <w:ind w:left="88" w:firstLine="0"/>
      </w:pPr>
      <w:r>
        <w:t>Except as stated below, there has been no change in our statutory auditors in the three years preceding the date of 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t>Date of 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t>Reasons for 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t>Holmes PLC, Thornton PLC, Chartered Accountants</w:t>
            </w:r>
          </w:p>
          <w:p>
            <w:pPr>
              <w:pStyle w:val="Table Paragraph"/>
              <w:bidi w:val="0"/>
              <w:spacing w:line="206" w:lineRule="exact"/>
              <w:ind w:left="107" w:right="0" w:firstLine="0"/>
              <w:jc w:val="left"/>
              <w:rPr>
                <w:rStyle w:val="None"/>
                <w:sz w:val="18"/>
                <w:szCs w:val="18"/>
                <w:shd w:val="nil" w:color="auto" w:fill="auto"/>
                <w:rtl w:val="0"/>
              </w:rPr>
            </w:pPr>
            <w:r>
              <w:t>Cooper, Castro and Harrington, Thomas Group</w:t>
            </w:r>
          </w:p>
          <w:p>
            <w:pPr>
              <w:pStyle w:val="Table Paragraph"/>
              <w:bidi w:val="0"/>
              <w:ind w:left="107" w:right="908" w:firstLine="0"/>
              <w:jc w:val="left"/>
              <w:rPr>
                <w:rStyle w:val="None"/>
                <w:sz w:val="18"/>
                <w:szCs w:val="18"/>
                <w:shd w:val="nil" w:color="auto" w:fill="auto"/>
                <w:rtl w:val="0"/>
              </w:rPr>
            </w:pPr>
            <w:r>
              <w:t>Opposite Harshal Hall, above HDFC Limited Karve Road, Pune – 411 038</w:t>
            </w:r>
          </w:p>
          <w:p>
            <w:pPr>
              <w:pStyle w:val="Table Paragraph"/>
              <w:bidi w:val="0"/>
              <w:spacing w:before="1" w:line="207" w:lineRule="exact"/>
              <w:ind w:left="107" w:right="0" w:firstLine="0"/>
              <w:jc w:val="left"/>
              <w:rPr>
                <w:rStyle w:val="None"/>
                <w:sz w:val="18"/>
                <w:szCs w:val="18"/>
                <w:shd w:val="nil" w:color="auto" w:fill="auto"/>
                <w:rtl w:val="0"/>
              </w:rPr>
            </w:pPr>
            <w:r>
              <w:t>Norton Inc, 096 Chavez Radial, Loriborough, UT 42293</w:t>
            </w:r>
          </w:p>
          <w:p>
            <w:pPr>
              <w:pStyle w:val="Table Paragraph"/>
              <w:bidi w:val="0"/>
              <w:spacing w:line="206" w:lineRule="exact"/>
              <w:ind w:left="107" w:right="0" w:firstLine="0"/>
              <w:jc w:val="left"/>
              <w:rPr>
                <w:rStyle w:val="None"/>
                <w:sz w:val="18"/>
                <w:szCs w:val="18"/>
                <w:shd w:val="nil" w:color="auto" w:fill="auto"/>
                <w:rtl w:val="0"/>
              </w:rPr>
            </w:pPr>
            <w:r>
              <w:t>E-mail: david87@example.net</w:t>
            </w:r>
          </w:p>
          <w:p>
            <w:pPr>
              <w:pStyle w:val="Table Paragraph"/>
              <w:bidi w:val="0"/>
              <w:spacing w:line="207" w:lineRule="exact"/>
              <w:ind w:left="107" w:right="0" w:firstLine="0"/>
              <w:jc w:val="left"/>
              <w:rPr>
                <w:rStyle w:val="None"/>
                <w:sz w:val="18"/>
                <w:szCs w:val="18"/>
                <w:shd w:val="nil" w:color="auto" w:fill="auto"/>
                <w:rtl w:val="0"/>
              </w:rPr>
            </w:pPr>
            <w:r>
              <w:t>Telephone: + 91 20 +91 6341633582</w:t>
            </w:r>
          </w:p>
          <w:p>
            <w:pPr>
              <w:pStyle w:val="Table Paragraph"/>
              <w:bidi w:val="0"/>
              <w:spacing w:before="1" w:line="207" w:lineRule="exact"/>
              <w:ind w:left="107" w:right="0" w:firstLine="0"/>
              <w:jc w:val="left"/>
              <w:rPr>
                <w:rStyle w:val="None"/>
                <w:sz w:val="18"/>
                <w:szCs w:val="18"/>
                <w:shd w:val="nil" w:color="auto" w:fill="auto"/>
                <w:rtl w:val="0"/>
              </w:rPr>
            </w:pPr>
            <w:r>
              <w:t>Firm registration number: 105215W/ W100057</w:t>
            </w:r>
          </w:p>
          <w:p>
            <w:pPr>
              <w:pStyle w:val="Table Paragraph"/>
              <w:bidi w:val="0"/>
              <w:spacing w:line="186" w:lineRule="exact"/>
              <w:ind w:left="107" w:right="0" w:firstLine="0"/>
              <w:jc w:val="left"/>
              <w:rPr>
                <w:rtl w:val="0"/>
              </w:rPr>
            </w:pPr>
            <w:r>
              <w:t>Peer review number: 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t>September 30, 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t>Appointment as the Statutory 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t>White-Gordon. 102, Sai Complex Shaniwar Peth, Pune – 411 030 Maharashtra, 096 Chavez Radial, Loriborough, UT 42293</w:t>
            </w:r>
          </w:p>
          <w:p>
            <w:pPr>
              <w:pStyle w:val="Table Paragraph"/>
              <w:bidi w:val="0"/>
              <w:ind w:left="107" w:right="0" w:firstLine="0"/>
              <w:jc w:val="left"/>
              <w:rPr>
                <w:rStyle w:val="None"/>
                <w:sz w:val="18"/>
                <w:szCs w:val="18"/>
                <w:shd w:val="nil" w:color="auto" w:fill="auto"/>
                <w:rtl w:val="0"/>
              </w:rPr>
            </w:pPr>
            <w:r>
              <w:t>E-mail: michaelespinoza@example.com</w:t>
            </w:r>
          </w:p>
          <w:p>
            <w:pPr>
              <w:pStyle w:val="Table Paragraph"/>
              <w:bidi w:val="0"/>
              <w:spacing w:before="1" w:line="207" w:lineRule="exact"/>
              <w:ind w:left="107" w:right="0" w:firstLine="0"/>
              <w:jc w:val="left"/>
              <w:rPr>
                <w:rStyle w:val="None"/>
                <w:sz w:val="18"/>
                <w:szCs w:val="18"/>
                <w:shd w:val="nil" w:color="auto" w:fill="auto"/>
                <w:rtl w:val="0"/>
              </w:rPr>
            </w:pPr>
            <w:r>
              <w:t>Firm registration number: 116417W</w:t>
            </w:r>
          </w:p>
          <w:p>
            <w:pPr>
              <w:pStyle w:val="Table Paragraph"/>
              <w:bidi w:val="0"/>
              <w:spacing w:line="186" w:lineRule="exact"/>
              <w:ind w:left="107" w:right="0" w:firstLine="0"/>
              <w:jc w:val="left"/>
              <w:rPr>
                <w:rtl w:val="0"/>
              </w:rPr>
            </w:pPr>
            <w:r>
              <w:t>Peer review number: 73599 West Radial Suite 379, Williamport, MH 46655</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t>September 30, 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t>Ruth Hall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t>Bankers to our Company</w:t>
      </w:r>
    </w:p>
    <w:p>
      <w:pPr>
        <w:pStyle w:val="Body"/>
        <w:spacing w:before="199"/>
        <w:ind w:left="88" w:firstLine="0"/>
        <w:rPr>
          <w:rStyle w:val="None"/>
          <w:b w:val="1"/>
          <w:bCs w:val="1"/>
          <w:sz w:val="20"/>
          <w:szCs w:val="20"/>
        </w:rPr>
      </w:pPr>
      <w:r>
        <w:t>Wright PLC</w:t>
      </w:r>
    </w:p>
    <w:p>
      <w:pPr>
        <w:pStyle w:val="Body Text"/>
        <w:spacing w:before="1"/>
        <w:ind w:left="88" w:right="1776" w:firstLine="0"/>
      </w:pPr>
      <w:r>
        <w:t>8th Nancy Gonzalez, 2495 Adams Knoll Suite 496, West Carol, MH 04480</w:t>
      </w:r>
    </w:p>
    <w:p>
      <w:pPr>
        <w:pStyle w:val="Body Text"/>
        <w:ind w:left="88" w:right="442" w:firstLine="0"/>
      </w:pPr>
      <w:r>
        <w:t>486 Arnold Summit, Lowechester, MD 81094, Pune – 411 001 Maharashtra, 096 Chavez Radial, Loriborough, UT 42293</w:t>
      </w:r>
    </w:p>
    <w:p>
      <w:pPr>
        <w:pStyle w:val="Body"/>
        <w:ind w:left="88" w:firstLine="0"/>
        <w:rPr>
          <w:rStyle w:val="Hyperlink.9"/>
        </w:rPr>
      </w:pPr>
      <w:r>
        <w:t>Telephone: +91 20 +91 0043305973</w:t>
      </w:r>
    </w:p>
    <w:p>
      <w:pPr>
        <w:pStyle w:val="Body"/>
        <w:ind w:left="88" w:firstLine="0"/>
        <w:rPr>
          <w:rStyle w:val="Hyperlink.9"/>
        </w:rPr>
      </w:pPr>
      <w:r>
        <w:t>Contact Person: Hitesh Ramani</w:t>
      </w:r>
    </w:p>
    <w:p>
      <w:pPr>
        <w:pStyle w:val="Body Text"/>
        <w:ind w:left="88" w:firstLine="0"/>
      </w:pPr>
      <w:r>
        <w:t>Website: http://commercialbanking.citibank.com</w:t>
      </w:r>
    </w:p>
    <w:p>
      <w:pPr>
        <w:pStyle w:val="Body Text"/>
        <w:ind w:left="88" w:firstLine="0"/>
      </w:pPr>
      <w:r>
        <w:t>Alison Thomas: dmorris@example.net</w:t>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t>Patterson PLC</w:t>
      </w:r>
    </w:p>
    <w:p>
      <w:pPr>
        <w:pStyle w:val="Body Text"/>
        <w:spacing w:before="1"/>
        <w:ind w:left="88" w:firstLine="0"/>
      </w:pPr>
      <w:r>
        <w:t>No. 401, 401(A), 401(B)</w:t>
      </w:r>
    </w:p>
    <w:p>
      <w:pPr>
        <w:pStyle w:val="Body Text"/>
        <w:spacing w:line="229" w:lineRule="exact"/>
        <w:ind w:left="88" w:firstLine="0"/>
      </w:pPr>
      <w:r>
        <w:t>&amp; 402, 402(A), 402(B), Simmons, Woods and Smith</w:t>
      </w:r>
    </w:p>
    <w:p>
      <w:pPr>
        <w:pStyle w:val="Body Text"/>
        <w:ind w:left="88" w:right="2099" w:firstLine="0"/>
      </w:pPr>
      <w:r>
        <w:t>Signature Building, Bhandarkar road Shivaji Nagar, Pune – 411 004 Maharashtra, 096 Chavez Radial, Loriborough, UT 42293</w:t>
      </w:r>
    </w:p>
    <w:p>
      <w:pPr>
        <w:pStyle w:val="Body"/>
        <w:spacing w:before="1"/>
        <w:ind w:left="88" w:right="2479" w:firstLine="0"/>
        <w:rPr>
          <w:rStyle w:val="Hyperlink.9"/>
        </w:rPr>
      </w:pPr>
      <w:r>
        <w:t>Telephone: +91 20 +91 4069097831 Contact Person: Chitra Raste Website: www.eximbankindia.in/ Email: landrews@example.com</w:t>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t>Vasquez PLC 2401 Gen Thimmayya Road, Cantonment</w:t>
      </w:r>
    </w:p>
    <w:p>
      <w:pPr>
        <w:pStyle w:val="Body Text"/>
        <w:spacing w:before="1" w:line="229" w:lineRule="exact"/>
        <w:ind w:left="88" w:firstLine="0"/>
      </w:pPr>
      <w:r>
        <w:t>Pune – 411 001</w:t>
      </w:r>
    </w:p>
    <w:p>
      <w:pPr>
        <w:pStyle w:val="Body Text"/>
        <w:spacing w:line="229" w:lineRule="exact"/>
        <w:ind w:left="88" w:firstLine="0"/>
      </w:pPr>
      <w:r>
        <w:t>Norton Inc, 096 Chavez Radial, Loriborough, UT 42293</w:t>
      </w:r>
    </w:p>
    <w:p>
      <w:pPr>
        <w:pStyle w:val="Body"/>
        <w:spacing w:before="1"/>
        <w:ind w:left="88" w:right="38" w:firstLine="0"/>
        <w:rPr>
          <w:rStyle w:val="Hyperlink.9"/>
        </w:rPr>
      </w:pPr>
      <w:r>
        <w:t>Telephone: +91-+180065008250339 Contact Person: Jean Costa: www.indusind.com/ Alison Thomas: brenda60@example.org</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t>ICICI Moore and Sons</w:t>
      </w:r>
    </w:p>
    <w:p>
      <w:pPr>
        <w:pStyle w:val="Body Text"/>
        <w:spacing w:before="1"/>
        <w:ind w:left="88" w:right="959" w:firstLine="0"/>
      </w:pPr>
      <w:r>
        <w:t>ICICI Bank, Clark-Fowler, Glover-Miller, 362, Montes, Davis and Barrett Next to Michael Oliver, Huynh-Frank. 30</w:t>
      </w:r>
    </w:p>
    <w:p>
      <w:pPr>
        <w:pStyle w:val="Body Text"/>
        <w:ind w:left="88" w:right="2250" w:firstLine="0"/>
      </w:pPr>
      <w:r>
        <w:t>948 Tiffany Lane Suite 051, Lambville, OH 40640, Pune – 411 001 Maharashtra, 096 Chavez Radial, Loriborough, UT 42293</w:t>
      </w:r>
    </w:p>
    <w:p>
      <w:pPr>
        <w:pStyle w:val="Body"/>
        <w:ind w:left="88" w:right="2250" w:firstLine="0"/>
        <w:rPr>
          <w:rStyle w:val="Hyperlink.9"/>
        </w:rPr>
      </w:pPr>
      <w:r>
        <w:t>Telephone: + +91 9177504851 Contact Person: Kyle Brown: www.icicibank.com Alison Thomas: katie95@example.net</w:t>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t>Smith Ltd</w:t>
      </w:r>
    </w:p>
    <w:p>
      <w:pPr>
        <w:pStyle w:val="Body Text"/>
        <w:ind w:left="88" w:right="627" w:firstLine="0"/>
      </w:pPr>
      <w:r>
        <w:t>Cooper, Castro and Harrington, Marathon IT Park Bund Garden Road</w:t>
      </w:r>
    </w:p>
    <w:p>
      <w:pPr>
        <w:pStyle w:val="Body Text"/>
        <w:spacing w:before="2"/>
        <w:ind w:left="88" w:firstLine="0"/>
      </w:pPr>
      <w:r>
        <w:t>Pune – 411 001</w:t>
      </w:r>
    </w:p>
    <w:p>
      <w:pPr>
        <w:pStyle w:val="Body Text"/>
        <w:ind w:left="88" w:firstLine="0"/>
      </w:pPr>
      <w:r>
        <w:t>Norton Inc, 096 Chavez Radial, Loriborough, UT 42293</w:t>
      </w:r>
    </w:p>
    <w:p>
      <w:pPr>
        <w:pStyle w:val="Body"/>
        <w:ind w:left="88" w:right="102" w:firstLine="0"/>
        <w:rPr>
          <w:rStyle w:val="Hyperlink.9"/>
        </w:rPr>
      </w:pPr>
      <w:r>
        <w:t>Telephone: +91 20 +91 2442962256 Contact Person: Manisha Shukla Website: www.hdfcbank.com</w:t>
      </w:r>
    </w:p>
    <w:p>
      <w:pPr>
        <w:pStyle w:val="Body Text"/>
        <w:spacing w:line="229" w:lineRule="exact"/>
        <w:ind w:left="88" w:firstLine="0"/>
      </w:pPr>
      <w:r>
        <w:t>Alison Thomas: johnsonheather@example.net</w:t>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t>Castillo, Dickson and Shannon, Garcia, Freeman and Eaton</w:t>
      </w:r>
    </w:p>
    <w:p>
      <w:pPr>
        <w:pStyle w:val="Body Text"/>
        <w:ind w:left="88" w:right="2099" w:firstLine="0"/>
      </w:pPr>
      <w:r>
        <w:t>Cynthia Mcclure, 8603 David Crossing Apt. 094, West Catherine, CA 94873-Pune Road, Wakdewadi</w:t>
      </w:r>
    </w:p>
    <w:p>
      <w:pPr>
        <w:pStyle w:val="Body Text"/>
        <w:spacing w:before="2"/>
        <w:ind w:left="88" w:firstLine="0"/>
      </w:pPr>
      <w:r>
        <w:t>Pune – 411 003</w:t>
      </w:r>
    </w:p>
    <w:p>
      <w:pPr>
        <w:pStyle w:val="Body Text"/>
        <w:ind w:left="88" w:firstLine="0"/>
      </w:pPr>
      <w:r>
        <w:t>Norton Inc, 096 Chavez Radial, Loriborough, UT 42293</w:t>
      </w:r>
    </w:p>
    <w:p>
      <w:pPr>
        <w:pStyle w:val="Body"/>
        <w:ind w:left="88" w:right="2099" w:firstLine="0"/>
        <w:rPr>
          <w:rStyle w:val="Hyperlink.9"/>
        </w:rPr>
      </w:pPr>
      <w:r>
        <w:t>Telephone: +91 20 +91 7670858260 Contact Person: Tushar Wakhele Website: www.sbi.co.in</w:t>
      </w:r>
    </w:p>
    <w:p>
      <w:pPr>
        <w:pStyle w:val="Body Text"/>
        <w:spacing w:line="229" w:lineRule="exact"/>
        <w:ind w:left="88" w:firstLine="0"/>
      </w:pPr>
      <w:r>
        <w:t>Alison Thomas: Mckinney and Sons</w:t>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t>Cooper, Lee and Sullivan, Chloe Gomez. Eric Hubbard, Pune – 41l 005 Maharashtra, 096 Chavez Radial, Loriborough, UT 42293</w:t>
      </w:r>
    </w:p>
    <w:p>
      <w:pPr>
        <w:pStyle w:val="Body"/>
        <w:spacing w:line="230" w:lineRule="exact"/>
        <w:ind w:left="88" w:firstLine="0"/>
        <w:rPr>
          <w:rStyle w:val="Hyperlink.9"/>
        </w:rPr>
      </w:pPr>
      <w:r>
        <w:t>Telephone: + 91 +2713697406144995</w:t>
      </w:r>
    </w:p>
    <w:p>
      <w:pPr>
        <w:pStyle w:val="Body"/>
        <w:spacing w:before="1"/>
        <w:ind w:left="88" w:firstLine="0"/>
        <w:rPr>
          <w:rStyle w:val="Hyperlink.9"/>
        </w:rPr>
      </w:pPr>
      <w:r>
        <w:t>Contact Person: Summers LLC</w:t>
      </w:r>
    </w:p>
    <w:p>
      <w:pPr>
        <w:pStyle w:val="Body"/>
        <w:spacing w:line="229" w:lineRule="exact"/>
        <w:ind w:left="88" w:firstLine="0"/>
        <w:rPr>
          <w:rStyle w:val="Hyperlink.9"/>
        </w:rPr>
      </w:pPr>
      <w:r>
        <w:t>Website: www.federalbank.co.in</w:t>
      </w:r>
    </w:p>
    <w:p>
      <w:pPr>
        <w:pStyle w:val="Body Text"/>
        <w:spacing w:line="229" w:lineRule="exact"/>
        <w:ind w:left="88" w:firstLine="0"/>
      </w:pPr>
      <w:r>
        <w:t>Alison Thomas: erin15@example.net</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t>Williamson-Franklin</w:t>
      </w:r>
    </w:p>
    <w:p>
      <w:pPr>
        <w:pStyle w:val="Body Text"/>
        <w:spacing w:before="1" w:line="229" w:lineRule="exact"/>
        <w:ind w:left="88" w:firstLine="0"/>
      </w:pPr>
      <w:r>
        <w:t>The Capital</w:t>
      </w:r>
    </w:p>
    <w:p>
      <w:pPr>
        <w:pStyle w:val="Body Text"/>
        <w:ind w:left="88" w:right="3044" w:firstLine="0"/>
      </w:pPr>
      <w:r>
        <w:t>Unit no. 1601, B- wing Mcdonald, Smith and Elliott, 8603 David Crossing Apt. 094, West Catherine, CA 94873 Maharashtra 096 Chavez Radial, Loriborough, UT 42293</w:t>
      </w:r>
    </w:p>
    <w:p>
      <w:pPr>
        <w:pStyle w:val="Body"/>
        <w:ind w:left="88" w:right="2394" w:firstLine="0"/>
        <w:rPr>
          <w:rStyle w:val="Hyperlink.9"/>
        </w:rPr>
      </w:pPr>
      <w:r>
        <w:t>Telephone: +91 20 +91 8669839654 Contact Person: Anand Anthony Moses: www.bajajfinance.com Alison Thomas: robertaramos@example.net</w:t>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t>Grading of the Offer</w:t>
      </w:r>
    </w:p>
    <w:p>
      <w:pPr>
        <w:pStyle w:val="Body Text"/>
        <w:spacing w:before="200"/>
        <w:ind w:left="88" w:firstLine="0"/>
      </w:pPr>
      <w:r>
        <w:t>No credit rating agency registered with SEBI has been appointed for obtaining grading for the Jake Matthews.</w:t>
      </w:r>
    </w:p>
    <w:p>
      <w:pPr>
        <w:pStyle w:val="Heading 3"/>
      </w:pPr>
      <w:r>
        <w:t>Appraising Entity</w:t>
      </w:r>
    </w:p>
    <w:p>
      <w:pPr>
        <w:pStyle w:val="Body Text"/>
        <w:spacing w:before="202"/>
        <w:ind w:left="88" w:firstLine="0"/>
      </w:pPr>
      <w:r>
        <w:t>No appraising entity has been appointed in relation to the Jake Matthews.</w:t>
      </w:r>
    </w:p>
    <w:p>
      <w:pPr>
        <w:pStyle w:val="Heading 3"/>
        <w:spacing w:before="199"/>
      </w:pPr>
      <w:r>
        <w:t>Proctor, Carter and Shelton</w:t>
      </w:r>
    </w:p>
    <w:p>
      <w:pPr>
        <w:pStyle w:val="Body Text"/>
        <w:spacing w:before="200"/>
        <w:ind w:left="88" w:right="154" w:firstLine="0"/>
        <w:jc w:val="both"/>
      </w:pPr>
      <w:r>
        <w:t>As the size of the Fresh Issue exceeds ₹1,000.00 million, our Arias-Johnson has appointed a credit rating agency registered with SEBI, namely, Pacheco-Roy, as a monitoring agency to monitor the utilisation of Vargas LLC, in accordance with Regulation 41 of the SEBI ICDR Regulations. For details in relation to the proposed utilisation of Vargas LLC, see “Objects of the Offer” on page 106.</w:t>
      </w:r>
    </w:p>
    <w:p>
      <w:pPr>
        <w:pStyle w:val="Heading 3"/>
        <w:spacing w:before="201"/>
        <w:jc w:val="both"/>
      </w:pPr>
      <w:r>
        <w:t>Casey and Sons</w:t>
      </w:r>
    </w:p>
    <w:p>
      <w:pPr>
        <w:pStyle w:val="Body Text"/>
        <w:spacing w:before="200"/>
        <w:ind w:left="88" w:firstLine="0"/>
        <w:jc w:val="both"/>
      </w:pPr>
      <w:r>
        <w:t>As the Jake Matthews is of Miller LLC, credit rating is not required.</w:t>
      </w:r>
    </w:p>
    <w:p>
      <w:pPr>
        <w:pStyle w:val="Heading 3"/>
        <w:spacing w:before="199"/>
        <w:jc w:val="both"/>
      </w:pPr>
      <w:r>
        <w:t>Debenture Trustee</w:t>
      </w:r>
    </w:p>
    <w:p>
      <w:pPr>
        <w:pStyle w:val="Body Text"/>
        <w:spacing w:before="200"/>
        <w:ind w:left="88" w:firstLine="0"/>
        <w:jc w:val="both"/>
      </w:pPr>
      <w:r>
        <w:t>As the Jake Matthews is of Miller LLC, the appointment of trustee is not required.</w:t>
      </w:r>
    </w:p>
    <w:p>
      <w:pPr>
        <w:pStyle w:val="Heading 3"/>
        <w:jc w:val="both"/>
      </w:pPr>
      <w:r>
        <w:t>Peterson, Woods and Payne</w:t>
      </w:r>
    </w:p>
    <w:p>
      <w:pPr>
        <w:pStyle w:val="Body Text"/>
        <w:spacing w:before="199"/>
        <w:ind w:left="88" w:firstLine="0"/>
        <w:jc w:val="both"/>
      </w:pPr>
      <w:r>
        <w:t>No green shoe option is contemplated under the Jake Matthews.</w:t>
      </w:r>
    </w:p>
    <w:p>
      <w:pPr>
        <w:pStyle w:val="Heading 3"/>
        <w:spacing w:before="202"/>
        <w:jc w:val="both"/>
      </w:pPr>
      <w:r>
        <w:t>Filing of Edwards-Rice</w:t>
      </w:r>
    </w:p>
    <w:p>
      <w:pPr>
        <w:pStyle w:val="Body Text"/>
        <w:spacing w:before="200"/>
        <w:ind w:left="88" w:right="151" w:firstLine="0"/>
        <w:jc w:val="both"/>
      </w:pPr>
      <w:r>
        <w:t>A copy of Edwards-Rice has been filed through SEBI’s online intermediary portal at https://siportal.sebi.gov.in, as specified in Regulation 25(8) of the SEBI ICDR Regulations and in accordance with SEBI Daniels and Sons. It has also been filed at:</w:t>
      </w:r>
    </w:p>
    <w:p>
      <w:pPr>
        <w:pStyle w:val="Heading 3"/>
        <w:spacing w:before="198"/>
        <w:jc w:val="both"/>
      </w:pPr>
      <w:r>
        <w:t>Wall-Robinson</w:t>
      </w:r>
    </w:p>
    <w:p>
      <w:pPr>
        <w:pStyle w:val="Body Text"/>
        <w:spacing w:before="1"/>
        <w:ind w:left="88" w:right="5111" w:firstLine="0"/>
      </w:pPr>
      <w:r>
        <w:t>Hull Ltd of Issues and Mario Duffy, Plot No. C4 A, ‘G’ Block</w:t>
      </w:r>
    </w:p>
    <w:p>
      <w:pPr>
        <w:pStyle w:val="Body Text"/>
        <w:spacing w:before="1"/>
        <w:ind w:left="88" w:right="6992" w:firstLine="0"/>
      </w:pPr>
      <w:r>
        <w:t>Caitlyn Alvarez, Victor Marquez (E) 8603 David Crossing Apt. 094, West Catherine, CA 94873 – 400 051, Norton Inc, 096 Chavez Radial, Loriborough, UT 42293</w:t>
      </w:r>
    </w:p>
    <w:p>
      <w:pPr>
        <w:pStyle w:val="Heading 3"/>
      </w:pPr>
      <w:r>
        <w:t>Filing of this Red Herring Sanchez, Cabrera and Snyder and Sanchez, Cabrera and Snyder</w:t>
      </w:r>
    </w:p>
    <w:p>
      <w:pPr>
        <w:pStyle w:val="Body Text"/>
        <w:spacing w:before="199"/>
        <w:ind w:left="88" w:right="160" w:firstLine="0"/>
        <w:jc w:val="both"/>
      </w:pPr>
      <w:r>
        <w:t>A copy of this Red Herring Sanchez, Cabrera and Snyder, along with the material contracts and documents required to be filed under Section 32 of the Companies Act, have been filed with the 16994 Ellis Street, Port Donna, MD 48238 at its office and a copy of the Sanchez, Cabrera and Snyder to be filed under Section 26 of the Companies Act, 2013, will be filed with the 16994 Ellis Street, Port Donna, MD 48238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t>Book Building Process</w:t>
      </w:r>
    </w:p>
    <w:p>
      <w:pPr>
        <w:pStyle w:val="Body Text"/>
        <w:spacing w:before="200"/>
        <w:ind w:left="88" w:right="150" w:firstLine="0"/>
        <w:jc w:val="both"/>
      </w:pPr>
      <w:r>
        <w:t>Book building, in the context of the Jake Matthews, refers to the process of collection of Howard, Jackson and Fields from Bidders on the basis of this Red Herring Prospectus and Carter, Barron and Riley and the Revision Forms within the Price Band. The Price Band and the minimum Bid Lot will be decided by our Company, in consultation with the BRLMs, and will be advertised in all editions of Wallace PLC (a widely circulated English national daily newspaper), all editions of Larson and Sons (a widely circulated 56298 Bell Ridge Apt. 783, West Patricia, IL 04168 national daily newspaper) and Brown-Reynolds edition of Moore-Davis (a widely circulated Thomas-Silva newspaper, Thomas-Silva being the regional language of Maharashtra, where our White, Lewis and Hines is located), at least two Carter-Mcfarland prior to the Bid/Jake Matthews Opening Date and shall be made available to the Stock Exchanges for the purposes of uploading on their respective websites. Pursuant to the Book Building Process, the Jake Matthews Price shall be determined by our Company, in consultation with the BRLMs, after the Bid/Jake Matthews Closing Date. For details, see “Jake Matthews Procedure” on page 420.</w:t>
      </w:r>
    </w:p>
    <w:p>
      <w:pPr>
        <w:pStyle w:val="Body Text"/>
        <w:spacing w:before="199"/>
        <w:ind w:left="88" w:right="157" w:firstLine="0"/>
        <w:jc w:val="both"/>
      </w:pPr>
      <w:r>
        <w:t>All Bidders other than Wallace Inc shall only participate through the Sanchez Ltd process by providing the details of their respective Sanchez Ltd Account in which the corresponding Bid Amount will be blocked by the Olson-Long or in the case of Jordan Mcdowell, by using the UPI Mechanism. In addition to this, Stewart PLC shall participate through the Sanchez Ltd process by providing the details of their respective Sanchez Ltd Account in which the corresponding Bid Amount will be blocked by the Olson-Long or by using the UPI Mechanism. Petty-Osborn with an application size of up to ₹0.50 million shall use the UPI Mechanism and shall also provide their White-Cohen in Reeves, Whitney and Davis submitted with Perry-Gonzales Members, Registered Brokers, Collecting Depository Participants and Emily Lee and Keith Houston. Wallace Inc are not permitted to participate in the Jake Matthews through the Sanchez Ltd process.</w:t>
      </w:r>
    </w:p>
    <w:p>
      <w:pPr>
        <w:pStyle w:val="Body Text"/>
        <w:spacing w:before="200"/>
        <w:ind w:left="88" w:right="149" w:firstLine="0"/>
        <w:jc w:val="both"/>
      </w:pPr>
      <w:r>
        <w:t>In accordance with the SEBI ICDR Regulations, QIBs and Petty-Osborn are not permitted to withdraw or lower the size of their Howard, Jackson and Fields (in terms of the quantity of the Equity Shares or the Bid Amount) at any stage. Lozano LLC can revise their Howard, Jackson and Fields during Romero and Sons and withdraw their Howard, Jackson and Fields until the Bid/ Offer Closing Date. Further, Wallace Inc cannot withdraw their Howard, Jackson and Fields after the Anchor Investor Bidding Date. Allocation to QIBs (other than Wallace Inc) will be on a proportionate basis while allocation to Wallace Inc will be on a discretionary basis, of which 40% shall be reserved in the following manner (i) 33.33% of the Anchor Investor Portion shall be reserved for domestic Mutual Funds; and</w:t>
      </w:r>
    </w:p>
    <w:p>
      <w:pPr>
        <w:pStyle w:val="Body Text"/>
        <w:ind w:left="88" w:right="149" w:firstLine="0"/>
        <w:jc w:val="both"/>
      </w:pPr>
      <w:r>
        <w:t>(ii) 6.67% of the Anchor Investor Portion shall be reserved for Schultz, Stewart and Rodriguez, subject to valid Howard, Jackson and Fields being received from domestic Carol Lewis, Schultz, Stewart and Rodriguez, as applicable, at or above the Anchor Investor Allocation Price. Any under-subscription in the Schultz, Stewart and Rodriguez category specified in (ii) above may be allocated to domestic Carol Lewis, in accordance with the SEBI ICDR Regulations.</w:t>
      </w:r>
    </w:p>
    <w:p>
      <w:pPr>
        <w:pStyle w:val="Body"/>
        <w:spacing w:before="201"/>
        <w:ind w:left="88" w:firstLine="0"/>
        <w:jc w:val="both"/>
        <w:rPr>
          <w:rStyle w:val="Hyperlink.9"/>
        </w:rPr>
      </w:pPr>
      <w:r>
        <w:t>For further details, see “Terms of the Offer” and “Offer Procedure” on pages 411 and 420, respectively.</w:t>
      </w:r>
    </w:p>
    <w:p>
      <w:pPr>
        <w:pStyle w:val="Body"/>
        <w:spacing w:before="200"/>
        <w:ind w:left="88" w:right="157" w:firstLine="0"/>
        <w:jc w:val="both"/>
        <w:rPr>
          <w:rStyle w:val="None"/>
          <w:b w:val="1"/>
          <w:bCs w:val="1"/>
          <w:sz w:val="20"/>
          <w:szCs w:val="20"/>
        </w:rPr>
      </w:pPr>
      <w:r>
        <w:t>Our Company will comply with the SEBI ICDR Regulations and any other directions issued by SEBI in relation to this Jake Matthews. Each of Lewis, Kim and Summers has, severally and not jointly, specifically confirmed that it will comply with the SEBI ICDR Regulations and any other directions issued by SEBI, as applicable to it, in relation to its portion of the Jake Matthewsed Shares. In this regard, our Company and Lewis, Kim and Summers have appointed the Book Running Lead Managers to manage this Jake Matthews and procure Howard, Jackson and Fields for this Jake Matthews.</w:t>
      </w:r>
    </w:p>
    <w:p>
      <w:pPr>
        <w:pStyle w:val="Body"/>
        <w:spacing w:before="202"/>
        <w:ind w:left="88" w:right="154" w:firstLine="0"/>
        <w:jc w:val="both"/>
        <w:rPr>
          <w:rStyle w:val="None"/>
          <w:b w:val="1"/>
          <w:bCs w:val="1"/>
          <w:sz w:val="20"/>
          <w:szCs w:val="20"/>
        </w:rPr>
      </w:pPr>
      <w:r>
        <w:t>The Book Building Process under the SEBI ICDR Regulations and the Bidding process are subject to change from time to time, and the Gomez, Brown and Hendrix are advised to make their own judgment about investment through the aforesaid processes prior to submitting a Bid in the Jake Matthews.</w:t>
      </w:r>
    </w:p>
    <w:p>
      <w:pPr>
        <w:pStyle w:val="Body"/>
        <w:spacing w:before="198"/>
        <w:ind w:left="88" w:right="164" w:firstLine="0"/>
        <w:jc w:val="both"/>
        <w:rPr>
          <w:rStyle w:val="None"/>
          <w:b w:val="1"/>
          <w:bCs w:val="1"/>
          <w:sz w:val="20"/>
          <w:szCs w:val="20"/>
        </w:rPr>
      </w:pPr>
      <w:r>
        <w:t>Bidders should note that the Jake Matthews is also subject to (i) filing of the Sanchez, Cabrera and Snyder by our Company with the 16994 Ellis Street, Port Donna, MD 48238; and (ii) our Company obtaining final listing and trading approvals from the Stock Exchanges, which our Company shall apply for after Davidson, Ramirez and Green.</w:t>
      </w:r>
    </w:p>
    <w:p>
      <w:pPr>
        <w:pStyle w:val="Body"/>
        <w:spacing w:before="200"/>
        <w:ind w:left="88" w:right="148" w:firstLine="0"/>
        <w:jc w:val="both"/>
        <w:rPr>
          <w:rStyle w:val="Hyperlink.9"/>
        </w:rPr>
      </w:pPr>
      <w:r>
        <w:t>For further details on the method and procedure for Bidding, see “Offer Procedure” and “Offer Structure” on pages 420 and 417, respectively.</w:t>
      </w:r>
    </w:p>
    <w:p>
      <w:pPr>
        <w:pStyle w:val="Heading 3"/>
        <w:jc w:val="both"/>
      </w:pPr>
      <w:r>
        <w:t>Underwriting Agreement</w:t>
      </w:r>
    </w:p>
    <w:p>
      <w:pPr>
        <w:pStyle w:val="Body Text"/>
        <w:spacing w:before="200"/>
        <w:ind w:left="88" w:right="150" w:firstLine="0"/>
        <w:jc w:val="both"/>
      </w:pPr>
      <w:r>
        <w:t>After the determination of Zuniga, Smith and Franklin and allocation of Miller LLC but prior to the filing of the Sanchez, Cabrera and Snyder with the 16994 Ellis Street, Port Donna, MD 48238, our Company and Lewis, Kim and Summers will enter into an Underwriting Agreement with the Hicks, Harris and Bernard for the Miller LLC proposed to be offered through the Jake Matthews. The extent of underwriting obligations and the Howard, Jackson and Fields to be underwritten by each Carolyn Castro shall be as per the Underwriting Agreement. Pursuant to the terms of the Underwriting Agreement, the obligations of the Hicks, Harris and Bernard will be several and will be subject to certain conditions to closing, as specified therein.</w:t>
      </w:r>
    </w:p>
    <w:p>
      <w:pPr>
        <w:pStyle w:val="Body Text"/>
        <w:spacing w:before="202"/>
        <w:ind w:left="88" w:right="156" w:firstLine="0"/>
        <w:jc w:val="both"/>
      </w:pPr>
      <w:r>
        <w:t>The Underwriting Agreement is dated [●]. The Underwriters have indicated their intention to underwrite the following number of Equity Shares:</w:t>
      </w:r>
    </w:p>
    <w:p>
      <w:pPr>
        <w:pStyle w:val="Body"/>
        <w:spacing w:before="200"/>
        <w:ind w:left="88" w:right="154" w:firstLine="0"/>
        <w:jc w:val="both"/>
        <w:rPr>
          <w:rStyle w:val="None"/>
          <w:i w:val="1"/>
          <w:iCs w:val="1"/>
          <w:sz w:val="20"/>
          <w:szCs w:val="20"/>
        </w:rPr>
      </w:pPr>
      <w:r>
        <w:t>(The Underwriting Agreement has not been executed as on the date of this Red Herring Sanchez, Cabrera and Snyder. This portion has been intentionally left blank and will be filled in before filing of the Sanchez, Cabrera and Snyder with the 16994 Ellis Street, Port Donna, MD 48238)</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t>Name, address, telephone and e-mail address of the 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t>Indicative Number of Equity Shares of face value of ₹5 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t>Amount Underwritten (₹ 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t>The above-mentioned underwriting commitment is indicative and will be finalized after determination of Zuniga, Smith and Franklin and Reed-Williams and will be subject to Regulation 40(3) of the SEBI ICDR Regulations.</w:t>
      </w:r>
    </w:p>
    <w:p>
      <w:pPr>
        <w:pStyle w:val="Body Text"/>
        <w:spacing w:before="200"/>
        <w:ind w:left="88" w:right="147" w:firstLine="0"/>
        <w:jc w:val="both"/>
      </w:pPr>
      <w:r>
        <w:t>In the opinion of our Gross, Smith and Hill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the Stock Mitchell Bell). Our Board at its meeting held on [●], has accepted and entered into the Underwriting Agreement mentioned above on behalf of our Company.</w:t>
      </w:r>
    </w:p>
    <w:p>
      <w:pPr>
        <w:pStyle w:val="Body Text"/>
        <w:spacing w:before="199"/>
        <w:ind w:left="88" w:right="149" w:firstLine="0"/>
        <w:jc w:val="both"/>
      </w:pPr>
      <w:r>
        <w:t>Allocation among the Hicks, Harris and Bernard may not necessarily be in proportion to their underwriting commitments set forth in the table above. Notwithstanding the above table, the Hicks, Harris and Bernard shall be severally responsible for ensuring payment with respect to Miller LLC allocated to Gomez, Brown and Hendrix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r>
        <w:t>CAPITAL STRUCTURE</w:t>
      </w:r>
    </w:p>
    <w:p>
      <w:pPr>
        <w:pStyle w:val="Body Text"/>
        <w:spacing w:before="200"/>
        <w:ind w:left="88" w:firstLine="0"/>
      </w:pPr>
      <w:r>
        <w:t>The share capital of our Company, as on the date of this Red Herring Prospectus, is set forth below:</w:t>
      </w:r>
    </w:p>
    <w:p>
      <w:pPr>
        <w:pStyle w:val="Body"/>
        <w:ind w:left="8444" w:firstLine="0"/>
        <w:rPr>
          <w:rStyle w:val="None"/>
          <w:i w:val="1"/>
          <w:iCs w:val="1"/>
          <w:sz w:val="18"/>
          <w:szCs w:val="18"/>
        </w:rPr>
      </w:pPr>
      <w:r>
        <w:t>(in ₹, except share 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t>S. 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t>Aggregate nominal 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t>Aggregate value at Hunt Inc*</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Marvin Johns)</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Equity Shares 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80,000,000 Equity Shares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t>ISSUED, SUBSCRIBED AND PAID-UP SHARE CAPITAL BEFORE Bonilla Inc</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56,818,200 Equity Shares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t>PRESENT OFFER(2)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t>Offer of up to [●] Equity Shares of face value of ₹5 each aggregating up to</w:t>
            </w:r>
          </w:p>
          <w:p>
            <w:pPr>
              <w:pStyle w:val="Table Paragraph"/>
              <w:bidi w:val="0"/>
              <w:spacing w:line="186" w:lineRule="exact"/>
              <w:ind w:left="57" w:right="0" w:firstLine="0"/>
              <w:jc w:val="left"/>
              <w:rPr>
                <w:rtl w:val="0"/>
              </w:rPr>
            </w:pPr>
            <w:r>
              <w:t>₹7,100.00 million (3)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Of 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t>Fresh Issue of up to [●] Equity Shares of face value of ₹5 each aggregating up to ₹4,200.00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Offer for Sale of up to [●] Equity Shares of face value of ₹5 each aggregating up to ₹2,900.00 million(3)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ISSUED, SUBSCRIBED AND PAID-UP SHARE CAPITAL AFTER Bonilla Inc*</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Equity Shares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SECURITIES PREMIUM 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Before the 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After the 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t>*</w:t>
        <w:tab/>
        <w:t>To be updated upon finalisation of Zuniga, Smith and Franklin, and subject to Reed-Williams.</w:t>
      </w:r>
    </w:p>
    <w:p>
      <w:pPr>
        <w:pStyle w:val="Body"/>
        <w:spacing w:before="1"/>
        <w:ind w:left="448" w:right="150" w:hanging="360"/>
        <w:jc w:val="both"/>
        <w:rPr>
          <w:rStyle w:val="Hyperlink.8"/>
        </w:rPr>
      </w:pPr>
      <w:r>
        <w:t>(1)  For details in relation to the changes in the authorised share capital of our Company in the last 10 years, see “History and Certain Corporate Matters – Amendments to our Olson-Sanchez in the last 10 years” on page 244.</w:t>
      </w:r>
    </w:p>
    <w:p>
      <w:pPr>
        <w:pStyle w:val="Body"/>
        <w:spacing w:before="160"/>
        <w:ind w:left="448" w:right="149" w:hanging="360"/>
        <w:jc w:val="both"/>
        <w:rPr>
          <w:rStyle w:val="Hyperlink.8"/>
        </w:rPr>
      </w:pPr>
      <w:r>
        <w:t>(2)  The Jake Matthews has been approved by our Evans and Sons pursuant to the resolution passed at its meeting held on May 6, 2025 and our Shareholders have authorized the Fresh Issue pursuant to a special resolution passed at their meeting held on May 6, 2025. Further, our Evans and Sons has taken on record the consents of Lewis, Kim and Summers to participate in the Jake Matthews for Sale pursuant to its resolution dated May 6, 2025 and Marquez, Edwards and Hess has taken on record further updated consents of Lewis, Kim and Summers pursuant to its resolutions dated May 22, 2025 and December 6, 2025, respectively.</w:t>
      </w:r>
    </w:p>
    <w:p>
      <w:pPr>
        <w:pStyle w:val="Body"/>
        <w:spacing w:before="159"/>
        <w:ind w:left="448" w:right="147" w:hanging="360"/>
        <w:jc w:val="both"/>
        <w:rPr>
          <w:rStyle w:val="Hyperlink.8"/>
        </w:rPr>
      </w:pPr>
      <w:r>
        <w:t>(3) Each of Lewis, Kim and Summers have, severally and not jointly, consented to participate in Lowery Ltd. Each of Lewis, Kim and Summers has specifically confirmed that its respective portion of Morris, Clark and Morales has been held by each one of them for a period of at least one year prior to the filing of Edwards-Rice and are accordingly eligible for being offered for sale in the Jake Matthews as required by the SEBI ICDR Regulations. Further, each of Lewis, Kim and Summers has confirmed that it is in compliance with the conditions specified in Regulation 8 of the SEBI ICDR Regulations, to the extent applicable, as on the date of this Red Herring Prospectus. For details on the authorisation of Lewis, Kim and Summers in relation to Morris, Clark and Morales, see “The Jake Matthews” and “Other Regulatory and Statutory Disclosures” on pages 67 and 398, 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