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AB35F8">
      <w:pPr>
        <w:spacing w:line="580" w:lineRule="exact"/>
        <w:ind w:firstLine="1467" w:firstLineChars="281"/>
        <w:jc w:val="center"/>
        <w:rPr>
          <w:rFonts w:eastAsia="隶书"/>
          <w:b/>
          <w:bCs/>
          <w:color w:val="000000"/>
          <w:sz w:val="52"/>
        </w:rPr>
      </w:pPr>
      <w:r>
        <w:rPr>
          <w:rFonts w:hint="eastAsia" w:eastAsia="隶书"/>
          <w:b/>
          <w:bCs/>
          <w:color w:val="000000"/>
          <w:sz w:val="52"/>
        </w:rPr>
        <w:t>开  题  报  告</w:t>
      </w:r>
    </w:p>
    <w:tbl>
      <w:tblPr>
        <w:tblStyle w:val="9"/>
        <w:tblW w:w="9450" w:type="dxa"/>
        <w:tblInd w:w="-2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50"/>
      </w:tblGrid>
      <w:tr w14:paraId="3EE73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64" w:hRule="atLeast"/>
        </w:trPr>
        <w:tc>
          <w:tcPr>
            <w:tcW w:w="9450" w:type="dxa"/>
          </w:tcPr>
          <w:p w14:paraId="79A7BE3B">
            <w:pPr>
              <w:ind w:firstLine="0" w:firstLineChars="0"/>
              <w:rPr>
                <w:rFonts w:hint="eastAsia"/>
                <w:b/>
                <w:bCs/>
                <w:kern w:val="44"/>
                <w:sz w:val="28"/>
                <w:szCs w:val="28"/>
              </w:rPr>
            </w:pPr>
            <w:r>
              <w:rPr>
                <w:rFonts w:hint="eastAsia"/>
                <w:b/>
                <w:bCs/>
                <w:kern w:val="44"/>
                <w:sz w:val="28"/>
                <w:szCs w:val="28"/>
              </w:rPr>
              <w:t>1摘要</w:t>
            </w:r>
          </w:p>
          <w:p w14:paraId="327252DD">
            <w:pPr>
              <w:ind w:firstLine="420" w:firstLineChars="200"/>
              <w:rPr>
                <w:rFonts w:hint="eastAsia"/>
                <w:b w:val="0"/>
                <w:bCs w:val="0"/>
                <w:kern w:val="44"/>
                <w:szCs w:val="44"/>
              </w:rPr>
            </w:pPr>
            <w:r>
              <w:rPr>
                <w:rFonts w:hint="eastAsia"/>
                <w:b w:val="0"/>
                <w:bCs w:val="0"/>
                <w:kern w:val="44"/>
                <w:szCs w:val="44"/>
              </w:rPr>
              <w:t>随着自动驾驶技术的飞速发展，感知系统作为无人驾驶车辆的“眼睛”，其准确性与鲁棒性直接关系到行车安全。传统的3D目标检测研究多基于“封闭世界”假设，即测试集中的物体类别必须存在于训练集中。然而，真实的交通环境具有高度的不确定性，经常出现如罕见工程车、临时路障等未知类别（Out-of-Distribution, OOD）目标。单一模态感知手段——激光雷达（LiDAR）与摄像头（Camera）各有优劣，前者长于空间几何定位但缺乏语义，后者语义丰富但深度信息缺失。</w:t>
            </w:r>
          </w:p>
          <w:p w14:paraId="3C593AD3">
            <w:pPr>
              <w:ind w:firstLine="420" w:firstLineChars="200"/>
              <w:rPr>
                <w:rFonts w:hint="eastAsia"/>
                <w:b/>
                <w:bCs/>
                <w:kern w:val="44"/>
                <w:sz w:val="28"/>
                <w:szCs w:val="28"/>
              </w:rPr>
            </w:pPr>
            <w:r>
              <w:rPr>
                <w:rFonts w:hint="eastAsia"/>
                <w:b w:val="0"/>
                <w:bCs w:val="0"/>
                <w:kern w:val="44"/>
                <w:szCs w:val="44"/>
              </w:rPr>
              <w:t>本研究旨在提出一种面向开放世界场景的多模态3D目标检测融合策略。研究核心在于解决两个关键问题：一是如何通过跨模态特征增强，构建有效的未知目标识别机制，避免系统将未见物体简单归类为背景；二是如何设计动态融合权重策略，使模型能够根据环境复杂度和目标特征自适应地调节点云与图像信息的贡献度。本研究拟采用Transformer架构中的交叉注意力（Cross-Attention）机制实现特征对齐，并引入开放集识别（Open-set Recognition）算法。预期成果包括一套能够在开放世界中稳定运行的多模态3D检测算法原型，在保持已知类别检测高精度的同时，显著提升对未知目标的感知能力。</w:t>
            </w:r>
          </w:p>
          <w:p w14:paraId="02A5936C">
            <w:pPr>
              <w:pStyle w:val="2"/>
              <w:rPr>
                <w:rFonts w:hint="eastAsia"/>
                <w:sz w:val="28"/>
                <w:szCs w:val="28"/>
              </w:rPr>
            </w:pPr>
            <w:r>
              <w:rPr>
                <w:rFonts w:hint="eastAsia"/>
                <w:sz w:val="28"/>
                <w:szCs w:val="28"/>
              </w:rPr>
              <w:t>2课题的意义</w:t>
            </w:r>
          </w:p>
          <w:p w14:paraId="10C885C6">
            <w:r>
              <w:t>2.1 自动驾驶环境感知系统的重要性</w:t>
            </w:r>
          </w:p>
          <w:p w14:paraId="41BC287A">
            <w:r>
              <w:rPr>
                <w:rFonts w:hint="default"/>
              </w:rPr>
              <w:t>自动驾驶系统通常由感知、决策、规划和控制四个模块组成。其中，感知系统是后续所有环节的基础。3D目标检测不仅需要识别周围物体的类别，还需提供精确的三维边界框（Bounding Box），包括位置、尺寸和朝向。一旦感知模块失效或产生误判，将导致路径规划错误，甚至引发严重的交通事故。因此，研究高精度的3D感知算法是实现L4/L5级自动驾驶的核心前提。</w:t>
            </w:r>
          </w:p>
          <w:p w14:paraId="0D15D091">
            <w:r>
              <w:rPr>
                <w:rFonts w:hint="default"/>
              </w:rPr>
              <w:t>2.2 开放世界目标检测的研究价值</w:t>
            </w:r>
          </w:p>
          <w:p w14:paraId="7CF54966">
            <w:r>
              <w:rPr>
                <w:rFonts w:hint="default"/>
              </w:rPr>
              <w:t>在实验室环境下，算法通常在如KITTI、NuScenes等固定类别的数据集上表现优异。但在现实道路上，长尾分布（Long-tail Distribution）现象显著，模型不可避免地会遇到“未见过”的物体。若系统强行将其分类为已知类别或视为背景忽略，会产生致命风险。研究开放世界检测（Open World Detection），赋予模型“知之为知之，不知为不知”的能力，对于提升自动驾驶系统处理极端</w:t>
            </w:r>
            <w:r>
              <w:rPr>
                <w:rFonts w:hint="eastAsia"/>
                <w:lang w:val="en-US" w:eastAsia="zh-CN"/>
              </w:rPr>
              <w:t>环境</w:t>
            </w:r>
            <w:r>
              <w:rPr>
                <w:rFonts w:hint="default"/>
              </w:rPr>
              <w:t>的安全性具有重要的理论与实践意义。</w:t>
            </w:r>
          </w:p>
          <w:p w14:paraId="6FD3B386">
            <w:r>
              <w:rPr>
                <w:rFonts w:hint="default"/>
              </w:rPr>
              <w:t>2.3 多模态融合技术在自动驾驶中的应用意义</w:t>
            </w:r>
          </w:p>
          <w:p w14:paraId="78B918BE">
            <w:r>
              <w:rPr>
                <w:rFonts w:hint="default"/>
              </w:rPr>
              <w:t>单一传感器受物理特性限制，存在天然的“感知盲区”。激光雷达在雨雪天、远距离处点云稀疏，难以识别物体属性；摄像头在强光或黑夜下成像质量下降，且单目深度估计存在病态性。多模态融合技术通过将点云的精确几何结构与图像的丰富纹理信息有机结合，能够实现1+1&gt;2的效果。在开放世界背景下，多模态信息互补有助于利用几何异常（点云中有物体但无语义匹配）来辅助发现未知目标，从而提高系统的整体鲁棒性。</w:t>
            </w:r>
          </w:p>
          <w:p w14:paraId="199CD73A"/>
          <w:p w14:paraId="251556E6">
            <w:pPr>
              <w:pStyle w:val="2"/>
              <w:rPr>
                <w:rFonts w:hint="eastAsia"/>
                <w:sz w:val="28"/>
                <w:szCs w:val="28"/>
              </w:rPr>
            </w:pPr>
            <w:r>
              <w:rPr>
                <w:rFonts w:hint="eastAsia"/>
                <w:sz w:val="28"/>
                <w:szCs w:val="28"/>
              </w:rPr>
              <w:t>3研究现状和发展趋势</w:t>
            </w:r>
          </w:p>
          <w:p w14:paraId="0B42767F">
            <w:pPr>
              <w:rPr>
                <w:b/>
                <w:bCs/>
                <w:sz w:val="24"/>
                <w:szCs w:val="24"/>
              </w:rPr>
            </w:pPr>
            <w:r>
              <w:rPr>
                <w:b/>
                <w:bCs/>
                <w:sz w:val="24"/>
                <w:szCs w:val="24"/>
              </w:rPr>
              <w:t>3.1 3D目标检测技术的发展概况</w:t>
            </w:r>
          </w:p>
          <w:p w14:paraId="4F228793">
            <w:r>
              <w:t>自动驾驶环境感知技术经历了从2D图像检测向3D空间感知的跨越式发展。早期的感知系统主要依赖单目摄像头进行二维目标检测（如YOLO, Faster R-CNN），结合几何约束推断距离，但这种方法在缺乏深度信息的场景下误差极大。随着激光雷达（LiDAR）成本的降低和计算能力的提升，基于点云的3D目标检测成为主流。然而，真实道路环境的复杂性（Open World）远超封闭数据集（Closed Set），当前的感知系统正面临从“特定场景、特定类别”向“全场景、开放类别”演进的巨大挑战。</w:t>
            </w:r>
          </w:p>
          <w:p w14:paraId="2D176FEE"/>
          <w:p w14:paraId="39266791"/>
          <w:p w14:paraId="53F395E6">
            <w:pPr>
              <w:rPr>
                <w:b/>
                <w:bCs/>
                <w:sz w:val="24"/>
                <w:szCs w:val="24"/>
              </w:rPr>
            </w:pPr>
            <w:r>
              <w:rPr>
                <w:b/>
                <w:bCs/>
                <w:sz w:val="24"/>
                <w:szCs w:val="24"/>
              </w:rPr>
              <w:t>3.2 单模态3D检测技术研究现状</w:t>
            </w:r>
          </w:p>
          <w:p w14:paraId="5BA21F2F">
            <w:pPr>
              <w:rPr>
                <w:b/>
                <w:bCs/>
              </w:rPr>
            </w:pPr>
            <w:r>
              <w:rPr>
                <w:rFonts w:hint="eastAsia"/>
                <w:b/>
                <w:bCs/>
                <w:lang w:val="en-US" w:eastAsia="zh-CN"/>
              </w:rPr>
              <w:t>3.2.1</w:t>
            </w:r>
            <w:r>
              <w:rPr>
                <w:b/>
                <w:bCs/>
              </w:rPr>
              <w:t xml:space="preserve"> 基于激光雷达（LiDAR）的方法</w:t>
            </w:r>
          </w:p>
          <w:p w14:paraId="18915955">
            <w:pPr>
              <w:rPr>
                <w:b w:val="0"/>
                <w:bCs w:val="0"/>
              </w:rPr>
            </w:pPr>
            <w:r>
              <w:rPr>
                <w:b w:val="0"/>
                <w:bCs w:val="0"/>
              </w:rPr>
              <w:t>激光雷达通过发射激光束测量物体表面反射点的三维坐标，具有精确的距离感知能力。目前主流算法根据点云表征方式分为三类：</w:t>
            </w:r>
          </w:p>
          <w:p w14:paraId="3003FB58">
            <w:pPr>
              <w:numPr>
                <w:ilvl w:val="0"/>
                <w:numId w:val="1"/>
              </w:numPr>
              <w:rPr>
                <w:rFonts w:hint="eastAsia"/>
                <w:b w:val="0"/>
                <w:bCs w:val="0"/>
                <w:lang w:val="en-US" w:eastAsia="zh-CN"/>
              </w:rPr>
            </w:pPr>
            <w:r>
              <w:rPr>
                <w:rFonts w:hint="eastAsia"/>
                <w:b/>
                <w:bCs/>
                <w:lang w:val="en-US" w:eastAsia="zh-CN"/>
              </w:rPr>
              <w:t>基于体素（Voxel-based）的方法</w:t>
            </w:r>
            <w:r>
              <w:rPr>
                <w:rFonts w:hint="eastAsia"/>
                <w:b w:val="0"/>
                <w:bCs w:val="0"/>
                <w:lang w:val="en-US" w:eastAsia="zh-CN"/>
              </w:rPr>
              <w:t>： 代表算法如VoxelNet和SECOND。此类方法将无序点云划分为规则的3D网格（Voxel），利用3D卷积提取特征。虽然精度高，但3D卷积计算量巨大。随后出现的Sparse Conv（稀疏卷积）技术有效解决了这一问题，利用点云的稀疏性加速计算，成为当前工业界的标准组件。</w:t>
            </w:r>
          </w:p>
          <w:p w14:paraId="15B40353">
            <w:pPr>
              <w:numPr>
                <w:ilvl w:val="0"/>
                <w:numId w:val="1"/>
              </w:numPr>
              <w:rPr>
                <w:rFonts w:hint="default"/>
                <w:b w:val="0"/>
                <w:bCs w:val="0"/>
                <w:lang w:val="en-US" w:eastAsia="zh-CN"/>
              </w:rPr>
            </w:pPr>
            <w:r>
              <w:rPr>
                <w:rFonts w:hint="default"/>
                <w:b/>
                <w:bCs/>
                <w:lang w:val="en-US" w:eastAsia="zh-CN"/>
              </w:rPr>
              <w:t>基于点（Point-based）的方法</w:t>
            </w:r>
            <w:r>
              <w:rPr>
                <w:rFonts w:hint="default"/>
                <w:b w:val="0"/>
                <w:bCs w:val="0"/>
                <w:lang w:val="en-US" w:eastAsia="zh-CN"/>
              </w:rPr>
              <w:t>： 代表算法如PointRCNN和PointNet++。此类方法直接在原始点云上进行采样和特征提取，保留了最原始的几何信息，但在处理大规模场景（如全自动驾驶场景）时，邻域搜索（KNN）带来的显存占用和计算延迟是其主要瓶颈。</w:t>
            </w:r>
          </w:p>
          <w:p w14:paraId="0E7FD74F">
            <w:pPr>
              <w:numPr>
                <w:ilvl w:val="0"/>
                <w:numId w:val="1"/>
              </w:numPr>
              <w:rPr>
                <w:rFonts w:hint="default"/>
                <w:b w:val="0"/>
                <w:bCs w:val="0"/>
                <w:lang w:val="en-US" w:eastAsia="zh-CN"/>
              </w:rPr>
            </w:pPr>
            <w:r>
              <w:rPr>
                <w:rFonts w:hint="default"/>
                <w:b/>
                <w:bCs/>
                <w:lang w:val="en-US" w:eastAsia="zh-CN"/>
              </w:rPr>
              <w:t>基于柱体（Pillar-based）的方法</w:t>
            </w:r>
            <w:r>
              <w:rPr>
                <w:rFonts w:hint="default"/>
                <w:b w:val="0"/>
                <w:bCs w:val="0"/>
                <w:lang w:val="en-US" w:eastAsia="zh-CN"/>
              </w:rPr>
              <w:t>： 代表算法如PointPillars。它将点云在垂直方向上压缩为“柱体”，从而将3D问题转化为2D伪图像（Pseudo-image）处理，极大地提升了推理速度，是目前端侧部署最广泛的方案。</w:t>
            </w:r>
          </w:p>
          <w:p w14:paraId="332B6C13">
            <w:pPr>
              <w:widowControl w:val="0"/>
              <w:numPr>
                <w:ilvl w:val="0"/>
                <w:numId w:val="0"/>
              </w:numPr>
              <w:jc w:val="both"/>
              <w:rPr>
                <w:rFonts w:hint="default"/>
                <w:b w:val="0"/>
                <w:bCs w:val="0"/>
                <w:lang w:val="en-US" w:eastAsia="zh-CN"/>
              </w:rPr>
            </w:pPr>
          </w:p>
          <w:p w14:paraId="5C5A502F">
            <w:pPr>
              <w:rPr>
                <w:b/>
                <w:bCs/>
              </w:rPr>
            </w:pPr>
            <w:r>
              <w:rPr>
                <w:rFonts w:hint="eastAsia"/>
                <w:b/>
                <w:bCs/>
                <w:lang w:val="en-US" w:eastAsia="zh-CN"/>
              </w:rPr>
              <w:t>3.2.2</w:t>
            </w:r>
            <w:r>
              <w:rPr>
                <w:b/>
                <w:bCs/>
              </w:rPr>
              <w:t xml:space="preserve"> 基于视觉（Camera）的方法</w:t>
            </w:r>
          </w:p>
          <w:p w14:paraId="61363957">
            <w:pPr>
              <w:rPr>
                <w:b w:val="0"/>
                <w:bCs w:val="0"/>
              </w:rPr>
            </w:pPr>
            <w:r>
              <w:rPr>
                <w:b w:val="0"/>
                <w:bCs w:val="0"/>
              </w:rPr>
              <w:t>纯视觉3D检测（如FCOS3D, DETR3D）依赖图像的纹理和语义信息。其核心难点在于从2D图像恢复3D深度（Ill-posed Problem）。近年来，基于LSS (Lift, Splat, Shoot) 的方法通过预测像素的深度分布，将图像特征“提升”到3D视锥空间，再投影到鸟瞰图（BEV），显著提升了纯视觉检测的精度。尽管如此，在弱光、强反光或纹理缺失的区域，纯视觉方案的鲁棒性仍远低于激光雷达。</w:t>
            </w:r>
          </w:p>
          <w:p w14:paraId="6AC570C9">
            <w:pPr>
              <w:widowControl w:val="0"/>
              <w:numPr>
                <w:ilvl w:val="0"/>
                <w:numId w:val="0"/>
              </w:numPr>
              <w:jc w:val="both"/>
              <w:rPr>
                <w:rFonts w:hint="default"/>
                <w:b w:val="0"/>
                <w:bCs w:val="0"/>
                <w:lang w:val="en-US" w:eastAsia="zh-CN"/>
              </w:rPr>
            </w:pPr>
          </w:p>
          <w:p w14:paraId="7CC2E602">
            <w:pPr>
              <w:rPr>
                <w:rFonts w:hint="eastAsia"/>
                <w:b/>
                <w:bCs/>
                <w:sz w:val="24"/>
                <w:szCs w:val="24"/>
                <w:lang w:val="en-US" w:eastAsia="zh-CN"/>
              </w:rPr>
            </w:pPr>
            <w:r>
              <w:rPr>
                <w:rFonts w:hint="eastAsia"/>
                <w:b/>
                <w:bCs/>
                <w:sz w:val="24"/>
                <w:szCs w:val="24"/>
                <w:lang w:val="en-US" w:eastAsia="zh-CN"/>
              </w:rPr>
              <w:t>3.3 多模态融合技术研究现状</w:t>
            </w:r>
          </w:p>
          <w:p w14:paraId="691F8406">
            <w:pPr>
              <w:rPr>
                <w:rFonts w:hint="default"/>
                <w:b/>
                <w:bCs/>
                <w:lang w:val="en-US" w:eastAsia="zh-CN"/>
              </w:rPr>
            </w:pPr>
            <w:r>
              <w:rPr>
                <w:rFonts w:hint="eastAsia"/>
                <w:b/>
                <w:bCs/>
                <w:lang w:val="en-US" w:eastAsia="zh-CN"/>
              </w:rPr>
              <w:t>3.3.1传统多模态融合方法：</w:t>
            </w:r>
          </w:p>
          <w:p w14:paraId="1E99113C">
            <w:pPr>
              <w:rPr>
                <w:rFonts w:hint="eastAsia"/>
                <w:b w:val="0"/>
                <w:bCs w:val="0"/>
                <w:lang w:val="en-US" w:eastAsia="zh-CN"/>
              </w:rPr>
            </w:pPr>
            <w:r>
              <w:rPr>
                <w:rFonts w:hint="eastAsia"/>
                <w:b w:val="0"/>
                <w:bCs w:val="0"/>
                <w:lang w:val="en-US" w:eastAsia="zh-CN"/>
              </w:rPr>
              <w:t>早期的多模态融合方法依赖于基于物理标定参数的硬投影机制（Hard-Association Projection）。该机制利用相机的内参和外参矩阵，将三维点云数据通过刚体变换与透视投影直接映射到二维图像平面上，试图建立像素到点（Pixel-to-Point）的绝对一对一映射关系。</w:t>
            </w:r>
          </w:p>
          <w:p w14:paraId="4EAC53B4">
            <w:pPr>
              <w:rPr>
                <w:rFonts w:hint="eastAsia"/>
                <w:b w:val="0"/>
                <w:bCs w:val="0"/>
                <w:lang w:val="en-US" w:eastAsia="zh-CN"/>
              </w:rPr>
            </w:pPr>
            <w:r>
              <w:rPr>
                <w:rFonts w:hint="eastAsia"/>
                <w:b w:val="0"/>
                <w:bCs w:val="0"/>
                <w:lang w:val="en-US" w:eastAsia="zh-CN"/>
              </w:rPr>
              <w:t>然而，在实际的物理世界部署中，这种硬对齐方式表现出了极端的脆弱性。移动平台（如自动驾驶车辆或无人机）在行驶过程中不可避免地会经历机械高频振动、强烈的热胀冷缩效应以及不可预测的标定漂移。即便是微小的外参误差，也会导致致命的特征错位。例如，激光雷达测得的前方未知障碍物的精确深度点，可能被错误地投影到了图像背景中天空或路面的像素上。这种物理位置的失配使得网络在特征融合层提取到了高度矛盾的信息（前景的几何配对了背景的语义），直接导致目标特征表征的崩溃。</w:t>
            </w:r>
          </w:p>
          <w:p w14:paraId="6FA328C8">
            <w:pPr>
              <w:rPr>
                <w:rFonts w:hint="eastAsia"/>
                <w:b w:val="0"/>
                <w:bCs w:val="0"/>
                <w:lang w:val="en-US" w:eastAsia="zh-CN"/>
              </w:rPr>
            </w:pPr>
            <w:r>
              <w:rPr>
                <w:rFonts w:hint="eastAsia"/>
                <w:b w:val="0"/>
                <w:bCs w:val="0"/>
                <w:lang w:val="en-US" w:eastAsia="zh-CN"/>
              </w:rPr>
              <w:t>这种失配在封闭世界中已经足够严重，但在开放世界中则是灾难性的。对于已知类目标，模型尚能依靠对图像特征的强记忆（如记住车辆的轮胎纹理）来进行纠错；但对于未知目标，模型完全依赖于当前时刻几何与语义的纯粹协同来构建全新的认知。如果两者失配，未知目标将不可避免地被判定为特征混乱的背景噪音。</w:t>
            </w:r>
          </w:p>
          <w:p w14:paraId="3E3D8BBE">
            <w:pPr>
              <w:rPr>
                <w:rFonts w:hint="eastAsia"/>
                <w:b/>
                <w:bCs/>
                <w:lang w:val="en-US" w:eastAsia="zh-CN"/>
              </w:rPr>
            </w:pPr>
            <w:r>
              <w:rPr>
                <w:rFonts w:hint="eastAsia"/>
                <w:b/>
                <w:bCs/>
                <w:lang w:val="en-US" w:eastAsia="zh-CN"/>
              </w:rPr>
              <w:t>3.3.2基于 BEV 统一表示的融合方法：</w:t>
            </w:r>
          </w:p>
          <w:p w14:paraId="7C4C9DC2">
            <w:pPr>
              <w:rPr>
                <w:rFonts w:hint="eastAsia"/>
                <w:b w:val="0"/>
                <w:bCs w:val="0"/>
                <w:lang w:val="en-US" w:eastAsia="zh-CN"/>
              </w:rPr>
            </w:pPr>
            <w:r>
              <w:rPr>
                <w:rFonts w:hint="eastAsia"/>
                <w:b w:val="0"/>
                <w:bCs w:val="0"/>
                <w:lang w:val="en-US" w:eastAsia="zh-CN"/>
              </w:rPr>
              <w:t>为了彻底解决硬投影带来的特征失配问题，新一代的三维感知架构摒弃了僵化的物理映射，转向基于注意力机制与拓扑图论的软对齐（Soft Alignment）策略。CrossInteraction 策略提出了一种颠覆性的跨模态时序交互框架，将原本平行的特征融合过程重构为双向级联的相互增强过程。</w:t>
            </w:r>
          </w:p>
          <w:p w14:paraId="65095B37">
            <w:pPr>
              <w:rPr>
                <w:rFonts w:hint="eastAsia"/>
                <w:b w:val="0"/>
                <w:bCs w:val="0"/>
                <w:lang w:val="en-US" w:eastAsia="zh-CN"/>
              </w:rPr>
            </w:pPr>
            <w:r>
              <w:rPr>
                <w:rFonts w:hint="eastAsia"/>
                <w:b w:val="0"/>
                <w:bCs w:val="0"/>
                <w:lang w:val="en-US" w:eastAsia="zh-CN"/>
              </w:rPr>
              <w:t>在这一机制的“图像增强（Image Enhancement）”初级阶段，模型不进行直接的融合，而是利用激光雷达的鸟瞰图（BEV）特征（</w:t>
            </w:r>
            <w:r>
              <w:rPr>
                <w:rFonts w:hint="eastAsia"/>
                <w:b w:val="0"/>
                <w:bCs w:val="0"/>
                <w:lang w:val="en-US" w:eastAsia="zh-CN"/>
              </w:rPr>
              <w:drawing>
                <wp:inline distT="0" distB="0" distL="114300" distR="114300">
                  <wp:extent cx="132080" cy="144145"/>
                  <wp:effectExtent l="0" t="0" r="7620" b="8890"/>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9"/>
                          <a:stretch>
                            <a:fillRect/>
                          </a:stretch>
                        </pic:blipFill>
                        <pic:spPr>
                          <a:xfrm>
                            <a:off x="0" y="0"/>
                            <a:ext cx="132080" cy="144145"/>
                          </a:xfrm>
                          <a:prstGeom prst="rect">
                            <a:avLst/>
                          </a:prstGeom>
                          <a:noFill/>
                          <a:ln w="9525">
                            <a:noFill/>
                          </a:ln>
                        </pic:spPr>
                      </pic:pic>
                    </a:graphicData>
                  </a:graphic>
                </wp:inline>
              </w:drawing>
            </w:r>
            <w:r>
              <w:rPr>
                <w:rFonts w:hint="eastAsia"/>
                <w:b w:val="0"/>
                <w:bCs w:val="0"/>
                <w:lang w:val="en-US" w:eastAsia="zh-CN"/>
              </w:rPr>
              <w:t>）作为空间锚点。图像中的每一个像素被视作一个查询向量（Query），而跨模态的点云邻居特征被作为键和值（Key/Value）送入交叉注意力（Cross-Attention）网络。这一步将深度的空间拓扑结构强行注入到了稠密的二维图像张量中，生成了具备空间感知能力的增强图像特征（</w:t>
            </w:r>
            <w:r>
              <w:rPr>
                <w:rFonts w:hint="eastAsia"/>
                <w:b w:val="0"/>
                <w:bCs w:val="0"/>
                <w:lang w:val="en-US" w:eastAsia="zh-CN"/>
              </w:rPr>
              <w:drawing>
                <wp:inline distT="0" distB="0" distL="114300" distR="114300">
                  <wp:extent cx="121285" cy="148590"/>
                  <wp:effectExtent l="0" t="0" r="5715" b="3810"/>
                  <wp:docPr id="7" name="图片 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7"/>
                          <pic:cNvPicPr>
                            <a:picLocks noChangeAspect="1"/>
                          </pic:cNvPicPr>
                        </pic:nvPicPr>
                        <pic:blipFill>
                          <a:blip r:embed="rId10"/>
                          <a:stretch>
                            <a:fillRect/>
                          </a:stretch>
                        </pic:blipFill>
                        <pic:spPr>
                          <a:xfrm>
                            <a:off x="0" y="0"/>
                            <a:ext cx="121285" cy="148590"/>
                          </a:xfrm>
                          <a:prstGeom prst="rect">
                            <a:avLst/>
                          </a:prstGeom>
                          <a:noFill/>
                          <a:ln w="9525">
                            <a:noFill/>
                          </a:ln>
                        </pic:spPr>
                      </pic:pic>
                    </a:graphicData>
                  </a:graphic>
                </wp:inline>
              </w:drawing>
            </w:r>
            <w:r>
              <w:rPr>
                <w:rFonts w:hint="eastAsia"/>
                <w:b w:val="0"/>
                <w:bCs w:val="0"/>
                <w:lang w:val="en-US" w:eastAsia="zh-CN"/>
              </w:rPr>
              <w:t>）。</w:t>
            </w:r>
          </w:p>
          <w:p w14:paraId="4FF670A2">
            <w:pPr>
              <w:rPr>
                <w:rFonts w:hint="eastAsia"/>
                <w:b w:val="0"/>
                <w:bCs w:val="0"/>
                <w:lang w:val="en-US" w:eastAsia="zh-CN"/>
              </w:rPr>
            </w:pPr>
            <w:r>
              <w:rPr>
                <w:rFonts w:hint="eastAsia"/>
                <w:b w:val="0"/>
                <w:bCs w:val="0"/>
                <w:lang w:val="en-US" w:eastAsia="zh-CN"/>
              </w:rPr>
              <w:t>随后，系统进入“点云增强（LiDAR Enhancement）”次级阶段。此时，系统使用刚才生成的增强图像特征（</w:t>
            </w:r>
            <w:r>
              <w:rPr>
                <w:rFonts w:hint="eastAsia"/>
                <w:b w:val="0"/>
                <w:bCs w:val="0"/>
                <w:lang w:val="en-US" w:eastAsia="zh-CN"/>
              </w:rPr>
              <w:drawing>
                <wp:inline distT="0" distB="0" distL="114300" distR="114300">
                  <wp:extent cx="114300" cy="138430"/>
                  <wp:effectExtent l="0" t="0" r="0" b="1270"/>
                  <wp:docPr id="5" name="图片 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IMG_258"/>
                          <pic:cNvPicPr>
                            <a:picLocks noChangeAspect="1"/>
                          </pic:cNvPicPr>
                        </pic:nvPicPr>
                        <pic:blipFill>
                          <a:blip r:embed="rId10"/>
                          <a:stretch>
                            <a:fillRect/>
                          </a:stretch>
                        </pic:blipFill>
                        <pic:spPr>
                          <a:xfrm>
                            <a:off x="0" y="0"/>
                            <a:ext cx="114300" cy="138430"/>
                          </a:xfrm>
                          <a:prstGeom prst="rect">
                            <a:avLst/>
                          </a:prstGeom>
                          <a:noFill/>
                          <a:ln w="9525">
                            <a:noFill/>
                          </a:ln>
                        </pic:spPr>
                      </pic:pic>
                    </a:graphicData>
                  </a:graphic>
                </wp:inline>
              </w:drawing>
            </w:r>
            <w:r>
              <w:rPr>
                <w:rFonts w:hint="eastAsia"/>
                <w:b w:val="0"/>
                <w:bCs w:val="0"/>
                <w:lang w:val="en-US" w:eastAsia="zh-CN"/>
              </w:rPr>
              <w:t>）反向哺育原始点云。三维体素点作为新的查询向量，从具有精确边界和丰富语义的增强图像特征中提取纹理信息，最终生成了具备语义感知的增强点云特征（</w:t>
            </w:r>
            <w:r>
              <w:rPr>
                <w:rFonts w:hint="eastAsia"/>
                <w:b w:val="0"/>
                <w:bCs w:val="0"/>
                <w:lang w:val="en-US" w:eastAsia="zh-CN"/>
              </w:rPr>
              <w:drawing>
                <wp:inline distT="0" distB="0" distL="114300" distR="114300">
                  <wp:extent cx="200660" cy="152400"/>
                  <wp:effectExtent l="0" t="0" r="2540" b="0"/>
                  <wp:docPr id="8" name="图片 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9"/>
                          <pic:cNvPicPr>
                            <a:picLocks noChangeAspect="1"/>
                          </pic:cNvPicPr>
                        </pic:nvPicPr>
                        <pic:blipFill>
                          <a:blip r:embed="rId11"/>
                          <a:stretch>
                            <a:fillRect/>
                          </a:stretch>
                        </pic:blipFill>
                        <pic:spPr>
                          <a:xfrm>
                            <a:off x="0" y="0"/>
                            <a:ext cx="200660" cy="152400"/>
                          </a:xfrm>
                          <a:prstGeom prst="rect">
                            <a:avLst/>
                          </a:prstGeom>
                          <a:noFill/>
                          <a:ln w="9525">
                            <a:noFill/>
                          </a:ln>
                        </pic:spPr>
                      </pic:pic>
                    </a:graphicData>
                  </a:graphic>
                </wp:inline>
              </w:drawing>
            </w:r>
            <w:r>
              <w:rPr>
                <w:rFonts w:hint="eastAsia"/>
                <w:b w:val="0"/>
                <w:bCs w:val="0"/>
                <w:lang w:val="en-US" w:eastAsia="zh-CN"/>
              </w:rPr>
              <w:t>）。这种基于 Transformer 注意力机制的序列化交互，使得模型在没有严格物理对齐的情况下，依然能够在特征高维空间中实现几何与语义的内在融合。</w:t>
            </w:r>
          </w:p>
          <w:p w14:paraId="2A6C375E">
            <w:pPr>
              <w:rPr>
                <w:rFonts w:hint="eastAsia"/>
                <w:b/>
                <w:bCs/>
                <w:lang w:val="en-US" w:eastAsia="zh-CN"/>
              </w:rPr>
            </w:pPr>
            <w:r>
              <w:rPr>
                <w:rFonts w:hint="eastAsia"/>
                <w:b/>
                <w:bCs/>
                <w:lang w:val="en-US" w:eastAsia="zh-CN"/>
              </w:rPr>
              <w:t>3.3.3BEV 向 3D Occupancy（占用网络）的演进趋势</w:t>
            </w:r>
          </w:p>
          <w:p w14:paraId="704DEE79">
            <w:pPr>
              <w:rPr>
                <w:rFonts w:hint="eastAsia"/>
                <w:b w:val="0"/>
                <w:bCs w:val="0"/>
                <w:lang w:val="en-US" w:eastAsia="zh-CN"/>
              </w:rPr>
            </w:pPr>
            <w:r>
              <w:rPr>
                <w:rFonts w:hint="eastAsia"/>
                <w:b w:val="0"/>
                <w:bCs w:val="0"/>
                <w:lang w:val="en-US" w:eastAsia="zh-CN"/>
              </w:rPr>
              <w:t>尽管 BEV 方法表现优异，但其将 3D 空间压缩为 2D 平面的操作会导致高度信息（Z-axis）丢失，难以应对悬空障碍物或复杂地形。因此，自 2023 年起，研究热点开始向 占用网络（Occupancy Networks） 转移。</w:t>
            </w:r>
          </w:p>
          <w:p w14:paraId="4FCC16A7">
            <w:pPr>
              <w:rPr>
                <w:rFonts w:hint="eastAsia"/>
                <w:b w:val="0"/>
                <w:bCs w:val="0"/>
                <w:lang w:val="en-US" w:eastAsia="zh-CN"/>
              </w:rPr>
            </w:pPr>
            <w:r>
              <w:rPr>
                <w:rFonts w:hint="eastAsia"/>
                <w:b w:val="0"/>
                <w:bCs w:val="0"/>
                <w:lang w:val="en-US" w:eastAsia="zh-CN"/>
              </w:rPr>
              <w:t>最新进展： 占用网络不再局限于输出规则的 3D 边界框（Bounding Box），而是将环境离散化为密集的 3D 体素，预测每个体素的“占用状态”与“语义类别”。</w:t>
            </w:r>
          </w:p>
          <w:p w14:paraId="6E7B56FD">
            <w:pPr>
              <w:rPr>
                <w:rFonts w:hint="eastAsia"/>
                <w:b w:val="0"/>
                <w:bCs w:val="0"/>
                <w:lang w:val="en-US" w:eastAsia="zh-CN"/>
              </w:rPr>
            </w:pPr>
            <w:r>
              <w:rPr>
                <w:rFonts w:hint="eastAsia"/>
                <w:b w:val="0"/>
                <w:bCs w:val="0"/>
                <w:lang w:val="en-US" w:eastAsia="zh-CN"/>
              </w:rPr>
              <w:t>对开放世界的意义： 这种表示方法对于开放世界检测（Open World Detection）具有革命性意义——它允许模型在无法识别物体类别（Unknown）的情况下，依然能够准确描述其几何形状与占据空间，从而避免碰撞。这也是本课题拟在特征融合阶段重点参考的前沿方向。</w:t>
            </w:r>
          </w:p>
          <w:p w14:paraId="09CB9AF9">
            <w:pPr>
              <w:rPr>
                <w:rFonts w:hint="eastAsia"/>
                <w:b w:val="0"/>
                <w:bCs w:val="0"/>
                <w:lang w:val="en-US" w:eastAsia="zh-CN"/>
              </w:rPr>
            </w:pPr>
          </w:p>
          <w:p w14:paraId="54A08503">
            <w:pPr>
              <w:rPr>
                <w:rFonts w:hint="eastAsia"/>
                <w:b/>
                <w:bCs/>
                <w:sz w:val="24"/>
                <w:szCs w:val="24"/>
                <w:lang w:val="en-US" w:eastAsia="zh-CN"/>
              </w:rPr>
            </w:pPr>
            <w:r>
              <w:rPr>
                <w:rFonts w:hint="eastAsia"/>
                <w:b/>
                <w:bCs/>
                <w:sz w:val="24"/>
                <w:szCs w:val="24"/>
                <w:lang w:val="en-US" w:eastAsia="zh-CN"/>
              </w:rPr>
              <w:t>3.4 开放世界目标检测（Open World Detection）现状</w:t>
            </w:r>
          </w:p>
          <w:p w14:paraId="0C2EF241">
            <w:pPr>
              <w:rPr>
                <w:rFonts w:hint="eastAsia"/>
                <w:b/>
                <w:bCs/>
                <w:sz w:val="21"/>
                <w:szCs w:val="21"/>
                <w:lang w:val="en-US" w:eastAsia="zh-CN"/>
              </w:rPr>
            </w:pPr>
            <w:r>
              <w:rPr>
                <w:rFonts w:ascii="宋体" w:hAnsi="宋体" w:eastAsia="宋体" w:cs="宋体"/>
                <w:sz w:val="21"/>
                <w:szCs w:val="21"/>
              </w:rPr>
              <w:t>传统的检测模型基于“封闭世界假设”（Closed World Assumption），即测试集中的所有类别都必须在训练集中出现。然而，在自动驾驶长尾场景中，存在大量未知类别（Unknowns），如异形工程车、倒地的树木、散落的货物等。</w:t>
            </w:r>
          </w:p>
          <w:p w14:paraId="73DFAA30">
            <w:pPr>
              <w:rPr>
                <w:rFonts w:hint="eastAsia"/>
                <w:b w:val="0"/>
                <w:bCs w:val="0"/>
                <w:lang w:val="en-US" w:eastAsia="zh-CN"/>
              </w:rPr>
            </w:pPr>
            <w:r>
              <w:rPr>
                <w:rFonts w:hint="eastAsia"/>
                <w:b w:val="0"/>
                <w:bCs w:val="0"/>
                <w:lang w:val="en-US" w:eastAsia="zh-CN"/>
              </w:rPr>
              <w:t>·开集识别（Open-Set Recognition, OSR）： 旨在解决“这是不是已知类”的问题。目前在2D图像领域已有较多研究（如OpenMax, Energy-based OOD），但在3D点云领域，由于点云的稀疏性和特征难提取，OSR研究尚处于起步阶段。</w:t>
            </w:r>
          </w:p>
          <w:p w14:paraId="6CA61BF2">
            <w:pPr>
              <w:rPr>
                <w:rFonts w:hint="eastAsia"/>
                <w:b w:val="0"/>
                <w:bCs w:val="0"/>
                <w:lang w:val="en-US" w:eastAsia="zh-CN"/>
              </w:rPr>
            </w:pPr>
            <w:r>
              <w:rPr>
                <w:rFonts w:hint="eastAsia"/>
                <w:b w:val="0"/>
                <w:bCs w:val="0"/>
                <w:lang w:val="en-US" w:eastAsia="zh-CN"/>
              </w:rPr>
              <w:t>·开放世界检测（Open World Object Detection, OWOD）： 这一概念由CVPR 2021提出，要求模型不仅能识别未知目标，还能在后续通过增量学习将其转化为已知类。目前，3D领域的开放世界检测主要面临“未知目标界定难”（如何区分背景噪声与未知物体）和“特征混淆”（未知物特征易被误分类为相似的已知物）两大难题。</w:t>
            </w:r>
          </w:p>
          <w:p w14:paraId="53156C44">
            <w:pPr>
              <w:ind w:left="0" w:leftChars="0" w:firstLine="0" w:firstLineChars="0"/>
              <w:rPr>
                <w:b/>
                <w:bCs/>
              </w:rPr>
            </w:pPr>
          </w:p>
          <w:p w14:paraId="3C2E0AA6">
            <w:pPr>
              <w:pStyle w:val="2"/>
              <w:rPr>
                <w:sz w:val="24"/>
                <w:szCs w:val="24"/>
              </w:rPr>
            </w:pPr>
            <w:r>
              <w:rPr>
                <w:rFonts w:hint="eastAsia"/>
                <w:sz w:val="24"/>
                <w:szCs w:val="24"/>
              </w:rPr>
              <w:t>4思路与方案</w:t>
            </w:r>
          </w:p>
          <w:p w14:paraId="4D5B5B8B">
            <w:pPr>
              <w:pStyle w:val="3"/>
              <w:rPr>
                <w:rFonts w:hint="eastAsia"/>
                <w:sz w:val="24"/>
                <w:szCs w:val="24"/>
              </w:rPr>
            </w:pPr>
            <w:r>
              <w:rPr>
                <w:rFonts w:hint="eastAsia"/>
                <w:sz w:val="24"/>
                <w:szCs w:val="24"/>
              </w:rPr>
              <w:t>4.1问题分析</w:t>
            </w:r>
          </w:p>
          <w:p w14:paraId="4ED27EC0">
            <w:r>
              <w:t>针对开放世界场景下的自动驾驶感知，目前主流算法主要面临以下两个具体且致命的工程问题：</w:t>
            </w:r>
          </w:p>
          <w:p w14:paraId="509DC883">
            <w:pPr>
              <w:rPr>
                <w:rFonts w:hint="eastAsia"/>
                <w:lang w:val="en-US" w:eastAsia="zh-CN"/>
              </w:rPr>
            </w:pPr>
            <w:r>
              <w:rPr>
                <w:rFonts w:hint="eastAsia"/>
                <w:lang w:val="en-US" w:eastAsia="zh-CN"/>
              </w:rPr>
              <w:t xml:space="preserve">1:“视而不见”问题（未知目标误判为背景）： </w:t>
            </w:r>
          </w:p>
          <w:p w14:paraId="21D99B0A">
            <w:pPr>
              <w:rPr>
                <w:rFonts w:hint="eastAsia"/>
                <w:lang w:val="en-US" w:eastAsia="zh-CN"/>
              </w:rPr>
            </w:pPr>
            <w:r>
              <w:rPr>
                <w:rFonts w:hint="eastAsia"/>
                <w:lang w:val="en-US" w:eastAsia="zh-CN"/>
              </w:rPr>
              <w:t>在封闭数据集训练的模型中，分类器倾向于将所有“非已知类”的特征归零（即预测为背景）。然而，在开放道路上，未见过的通用障碍物（如倒塌的树木、遗落的轮胎、异形车辆）虽然在语义上不属于“车”或“人”，但在几何空间中是实实在在存在的物理实体。由于缺乏专门的“未知/异形”分类分支，现有系统往往会忽略这些目标，导致严重的漏检事故。</w:t>
            </w:r>
          </w:p>
          <w:p w14:paraId="0CF1BD52">
            <w:pPr>
              <w:rPr>
                <w:rFonts w:hint="eastAsia"/>
                <w:lang w:val="en-US" w:eastAsia="zh-CN"/>
              </w:rPr>
            </w:pPr>
            <w:r>
              <w:rPr>
                <w:rFonts w:hint="eastAsia"/>
                <w:lang w:val="en-US" w:eastAsia="zh-CN"/>
              </w:rPr>
              <w:t xml:space="preserve">2:“盲目自信”问题（融合权重固化）： </w:t>
            </w:r>
          </w:p>
          <w:p w14:paraId="04136E55">
            <w:pPr>
              <w:rPr>
                <w:rFonts w:hint="eastAsia"/>
                <w:lang w:val="en-US" w:eastAsia="zh-CN"/>
              </w:rPr>
            </w:pPr>
            <w:r>
              <w:rPr>
                <w:rFonts w:hint="eastAsia"/>
                <w:lang w:val="en-US" w:eastAsia="zh-CN"/>
              </w:rPr>
              <w:t>现有的多模态融合（如简单的拼接或相加）通常假设图像和点云同等重要，或者通过训练学习一个全局固定的权重。</w:t>
            </w:r>
          </w:p>
          <w:p w14:paraId="23077477">
            <w:pPr>
              <w:rPr>
                <w:rFonts w:hint="eastAsia"/>
                <w:lang w:val="en-US" w:eastAsia="zh-CN"/>
              </w:rPr>
            </w:pPr>
            <w:r>
              <w:rPr>
                <w:rFonts w:hint="eastAsia"/>
                <w:lang w:val="en-US" w:eastAsia="zh-CN"/>
              </w:rPr>
              <w:t>·对于已知目标（如汽车），图像的纹理特征（车轮、车灯）非常重要，融合权重大是合理的。</w:t>
            </w:r>
          </w:p>
          <w:p w14:paraId="2BF3DBC1">
            <w:pPr>
              <w:rPr>
                <w:rFonts w:hint="eastAsia"/>
                <w:lang w:val="en-US" w:eastAsia="zh-CN"/>
              </w:rPr>
            </w:pPr>
            <w:r>
              <w:rPr>
                <w:rFonts w:hint="eastAsia"/>
                <w:lang w:val="en-US" w:eastAsia="zh-CN"/>
              </w:rPr>
              <w:t>·对于未知目标（如形状怪异的落石），图像无法提取出有效的语义特征（甚至会输出错误的语义噪声），此时应当完全依赖点云的几何特征（凸起、聚类）。</w:t>
            </w:r>
          </w:p>
          <w:p w14:paraId="46CCEE8D">
            <w:pPr>
              <w:rPr>
                <w:rFonts w:hint="eastAsia"/>
                <w:lang w:val="en-US" w:eastAsia="zh-CN"/>
              </w:rPr>
            </w:pPr>
            <w:r>
              <w:rPr>
                <w:rFonts w:hint="eastAsia"/>
                <w:lang w:val="en-US" w:eastAsia="zh-CN"/>
              </w:rPr>
              <w:t>·矛盾点： 现有的固定权重策略无法根据“目标是否已知”来动态切换对点云或图像的依赖程度，导致鲁棒性不足。</w:t>
            </w:r>
          </w:p>
          <w:p w14:paraId="4C8CC215">
            <w:pPr>
              <w:rPr>
                <w:rFonts w:hint="default"/>
                <w:lang w:val="en-US" w:eastAsia="zh-CN"/>
              </w:rPr>
            </w:pPr>
          </w:p>
          <w:p w14:paraId="558F5802">
            <w:pPr>
              <w:pStyle w:val="3"/>
              <w:rPr>
                <w:rFonts w:hint="eastAsia"/>
                <w:sz w:val="24"/>
                <w:szCs w:val="24"/>
              </w:rPr>
            </w:pPr>
            <w:r>
              <w:rPr>
                <w:rFonts w:hint="eastAsia"/>
                <w:sz w:val="24"/>
                <w:szCs w:val="24"/>
              </w:rPr>
              <w:t>4.2项目关键过程</w:t>
            </w:r>
          </w:p>
          <w:p w14:paraId="6EF840D6">
            <w:r>
              <w:t>本项目的实施将遵循“从基准复现到模块改进，再到仿真验证”的系统工程路径，具体分为五个关键阶段：</w:t>
            </w:r>
          </w:p>
          <w:p w14:paraId="20CCC366">
            <w:r>
              <w:rPr>
                <w:b/>
                <w:bCs/>
              </w:rPr>
              <w:t>阶段一</w:t>
            </w:r>
            <w:r>
              <w:t>：开放世界数据环境构建（Data Setup）</w:t>
            </w:r>
          </w:p>
          <w:p w14:paraId="6FA80DB4">
            <w:r>
              <w:rPr>
                <w:rFonts w:hint="eastAsia"/>
                <w:lang w:val="en-US" w:eastAsia="zh-CN"/>
              </w:rPr>
              <w:t>·</w:t>
            </w:r>
            <w:r>
              <w:t>数据集清洗： 基于 nuScenes 或 Waymo 数据集，进行数据预处理。</w:t>
            </w:r>
          </w:p>
          <w:p w14:paraId="084207F5">
            <w:r>
              <w:rPr>
                <w:rFonts w:hint="eastAsia"/>
                <w:lang w:val="en-US" w:eastAsia="zh-CN"/>
              </w:rPr>
              <w:t>·</w:t>
            </w:r>
            <w:r>
              <w:t>“未知”模拟策略（关键步骤）： 采用“类别屏蔽法（Class Holdout）”构建开放场景。例如，在训练阶段，强制剔除“工程车（Construction Vehicle）”和“婴儿车（Stroller）”的所有标签，将其视为无标签的背景点；在测试阶段，重点评估模型能否检出这些未见过的物体。</w:t>
            </w:r>
          </w:p>
          <w:p w14:paraId="459BF922">
            <w:r>
              <w:rPr>
                <w:rFonts w:hint="eastAsia"/>
                <w:lang w:val="en-US" w:eastAsia="zh-CN"/>
              </w:rPr>
              <w:t>·</w:t>
            </w:r>
            <w:r>
              <w:t>几何增强： 利用 CutMix 技术，随机剪切已知目标的点云并进行旋转、缩放变形，粘贴到路面上，模拟形态各异的“异常障碍物”，用于训练模型的物体性分支。</w:t>
            </w:r>
          </w:p>
          <w:p w14:paraId="1C20756C"/>
          <w:p w14:paraId="1B061F7D">
            <w:r>
              <w:rPr>
                <w:b/>
                <w:bCs/>
              </w:rPr>
              <w:t>阶段二</w:t>
            </w:r>
            <w:r>
              <w:t>：多模态特征提取与对齐（Feature Engineering）</w:t>
            </w:r>
          </w:p>
          <w:p w14:paraId="57E4A660">
            <w:pPr>
              <w:rPr>
                <w:rFonts w:hint="default"/>
              </w:rPr>
            </w:pPr>
            <w:r>
              <w:rPr>
                <w:rFonts w:hint="eastAsia" w:ascii="宋体" w:hAnsi="宋体" w:eastAsia="宋体" w:cs="宋体"/>
                <w:kern w:val="2"/>
                <w:sz w:val="21"/>
                <w:szCs w:val="21"/>
              </w:rPr>
              <w:t>·</w:t>
            </w:r>
            <w:r>
              <w:rPr>
                <w:rFonts w:hint="default"/>
              </w:rPr>
              <w:t>点云流： 使用 VoxelNet 对稀疏点云进行体素化和 3D 卷积，提取包含高度信息的几何特征，并压缩为 BEV（鸟瞰图）特征</w:t>
            </w:r>
            <m:oMath>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LiDAR</m:t>
                  </m:r>
                  <m:ctrlPr>
                    <w:rPr>
                      <w:rFonts w:hint="default" w:ascii="Cambria Math"/>
                    </w:rPr>
                  </m:ctrlPr>
                </m:sub>
              </m:sSub>
            </m:oMath>
            <w:r>
              <w:rPr>
                <w:rFonts w:hint="default"/>
              </w:rPr>
              <w:t>。</w:t>
            </w:r>
          </w:p>
          <w:p w14:paraId="2497496E">
            <w:pPr>
              <w:rPr>
                <w:rFonts w:hint="default"/>
              </w:rPr>
            </w:pPr>
            <w:r>
              <w:rPr>
                <w:rFonts w:hint="eastAsia" w:ascii="宋体" w:hAnsi="宋体" w:eastAsia="宋体" w:cs="宋体"/>
                <w:kern w:val="2"/>
                <w:sz w:val="21"/>
                <w:szCs w:val="21"/>
              </w:rPr>
              <w:t>·</w:t>
            </w:r>
            <w:r>
              <w:rPr>
                <w:rFonts w:hint="default"/>
              </w:rPr>
              <w:t>图像流： 使用 Swin-Transformer 提取多视角图像特征，通过 LSS (Lift-Splat-Shoot) 算法将 2D 图像特征投影至 3D BEV 空间，得到</w:t>
            </w:r>
            <m:oMath>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Camera</m:t>
                  </m:r>
                  <m:ctrlPr>
                    <w:rPr>
                      <w:rFonts w:ascii="Cambria Math" w:hAnsi="Cambria Math"/>
                      <w:sz w:val="21"/>
                    </w:rPr>
                  </m:ctrlPr>
                </m:sub>
              </m:sSub>
            </m:oMath>
            <w:r>
              <w:rPr>
                <w:rFonts w:hint="default"/>
              </w:rPr>
              <w:t>。</w:t>
            </w:r>
          </w:p>
          <w:p w14:paraId="15DF334C">
            <w:r>
              <w:rPr>
                <w:rFonts w:hint="eastAsia" w:ascii="宋体" w:hAnsi="宋体" w:eastAsia="宋体" w:cs="宋体"/>
                <w:kern w:val="2"/>
                <w:sz w:val="21"/>
                <w:szCs w:val="21"/>
              </w:rPr>
              <w:t>·</w:t>
            </w:r>
            <w:r>
              <w:rPr>
                <w:rFonts w:hint="default"/>
              </w:rPr>
              <w:t>时空对齐： 利用相机内外参矩阵，确保两者在 BEV 网格上实现像素级的空间对应。</w:t>
            </w:r>
          </w:p>
          <w:p w14:paraId="684FFC2E">
            <w:bookmarkStart w:id="1" w:name="_GoBack"/>
            <w:bookmarkEnd w:id="1"/>
          </w:p>
          <w:p w14:paraId="75694B42">
            <w:pPr>
              <w:rPr>
                <w:rFonts w:hint="eastAsia"/>
                <w:lang w:val="en-US" w:eastAsia="zh-CN"/>
              </w:rPr>
            </w:pPr>
            <w:r>
              <w:rPr>
                <w:rFonts w:hint="eastAsia"/>
                <w:b/>
                <w:bCs/>
                <w:lang w:val="en-US" w:eastAsia="zh-CN"/>
              </w:rPr>
              <w:t>阶段三</w:t>
            </w:r>
            <w:r>
              <w:rPr>
                <w:rFonts w:hint="eastAsia"/>
                <w:lang w:val="en-US" w:eastAsia="zh-CN"/>
              </w:rPr>
              <w:t>：几何引导的动态融合（Geometry-Guided Fusion）</w:t>
            </w:r>
          </w:p>
          <w:p w14:paraId="617A7F2D">
            <w:pPr>
              <w:rPr>
                <w:rFonts w:hint="eastAsia"/>
                <w:lang w:val="en-US" w:eastAsia="zh-CN"/>
              </w:rPr>
            </w:pPr>
            <w:r>
              <w:rPr>
                <w:rFonts w:hint="eastAsia"/>
                <w:lang w:val="en-US" w:eastAsia="zh-CN"/>
              </w:rPr>
              <w:t>·几何掩码生成： 基于点云 BEV 特征的非空（Non-empty）属性，生成二值化的几何存在性掩码（Geometry Existence Mask）。</w:t>
            </w:r>
          </w:p>
          <w:p w14:paraId="08DEF4C3">
            <w:pPr>
              <w:rPr>
                <w:rFonts w:hint="eastAsia"/>
                <w:lang w:val="en-US" w:eastAsia="zh-CN"/>
              </w:rPr>
            </w:pPr>
            <w:r>
              <w:rPr>
                <w:rFonts w:hint="eastAsia"/>
                <w:lang w:val="en-US" w:eastAsia="zh-CN"/>
              </w:rPr>
              <w:t>·特征交互： 将几何掩码作为注意力图（Attention Map），对图像特征进行加权。即在点云指示“有物体”的区域，增强图像特征的权重；在点云指示“为空”的区域，抑制图像特征（防止图像上的路面纹理被误判为物体）。</w:t>
            </w:r>
          </w:p>
          <w:p w14:paraId="6886E32D">
            <w:pPr>
              <w:rPr>
                <w:rFonts w:hint="eastAsia"/>
                <w:lang w:val="en-US" w:eastAsia="zh-CN"/>
              </w:rPr>
            </w:pPr>
          </w:p>
          <w:p w14:paraId="4B8087D3">
            <w:pPr>
              <w:rPr>
                <w:rFonts w:hint="default"/>
                <w:lang w:val="en-US" w:eastAsia="zh-CN"/>
              </w:rPr>
            </w:pPr>
            <w:r>
              <w:rPr>
                <w:rFonts w:hint="default"/>
                <w:b/>
                <w:bCs/>
                <w:lang w:val="en-US" w:eastAsia="zh-CN"/>
              </w:rPr>
              <w:t>阶段四</w:t>
            </w:r>
            <w:r>
              <w:rPr>
                <w:rFonts w:hint="default"/>
                <w:lang w:val="en-US" w:eastAsia="zh-CN"/>
              </w:rPr>
              <w:t>：解耦检测头的设计与实现（Decoupled Head Implementation）</w:t>
            </w:r>
          </w:p>
          <w:p w14:paraId="5991C546">
            <w:pPr>
              <w:rPr>
                <w:rFonts w:hint="default"/>
                <w:lang w:val="en-US" w:eastAsia="zh-CN"/>
              </w:rPr>
            </w:pPr>
            <w:r>
              <w:rPr>
                <w:rFonts w:hint="eastAsia" w:ascii="宋体" w:hAnsi="宋体" w:eastAsia="宋体" w:cs="宋体"/>
                <w:kern w:val="2"/>
                <w:sz w:val="21"/>
                <w:szCs w:val="21"/>
              </w:rPr>
              <w:t>·</w:t>
            </w:r>
            <w:r>
              <w:rPr>
                <w:rFonts w:hint="default"/>
                <w:lang w:val="en-US" w:eastAsia="zh-CN"/>
              </w:rPr>
              <w:t>结构改造： 舍弃传统的单分支分类头，构建“物体性预测（Objectness）”与“语义分类（Classification）”并行的双流检测头。</w:t>
            </w:r>
          </w:p>
          <w:p w14:paraId="46D6D058">
            <w:pPr>
              <w:rPr>
                <w:rFonts w:hint="default"/>
                <w:lang w:val="en-US" w:eastAsia="zh-CN"/>
              </w:rPr>
            </w:pPr>
            <w:r>
              <w:rPr>
                <w:rFonts w:hint="eastAsia" w:ascii="宋体" w:hAnsi="宋体" w:eastAsia="宋体" w:cs="宋体"/>
                <w:kern w:val="2"/>
                <w:sz w:val="21"/>
                <w:szCs w:val="21"/>
              </w:rPr>
              <w:t>·</w:t>
            </w:r>
            <w:r>
              <w:rPr>
                <w:rFonts w:hint="default"/>
                <w:lang w:val="en-US" w:eastAsia="zh-CN"/>
              </w:rPr>
              <w:t>损失函数设计： 引入物体性损失（Objectness Loss），采用二元交叉熵（BCE）监督模型区分“前景/背景”，而不强求具体类别。</w:t>
            </w:r>
          </w:p>
          <w:p w14:paraId="6DDAF5D9"/>
          <w:p w14:paraId="259B3109">
            <w:r>
              <w:t>阶段五：推理逻辑与评估（Inference &amp; Evaluation）</w:t>
            </w:r>
          </w:p>
          <w:p w14:paraId="402FA1D6">
            <w:r>
              <w:rPr>
                <w:rFonts w:hint="eastAsia" w:ascii="宋体" w:hAnsi="宋体" w:eastAsia="宋体" w:cs="宋体"/>
                <w:kern w:val="2"/>
                <w:sz w:val="21"/>
                <w:szCs w:val="21"/>
              </w:rPr>
              <w:t>·</w:t>
            </w:r>
            <w:r>
              <w:t>后处理逻辑： 设计基于阈值的未知判别算法（详见 4.3）。</w:t>
            </w:r>
          </w:p>
          <w:p w14:paraId="0A1A4DE9">
            <w:r>
              <w:rPr>
                <w:rFonts w:hint="eastAsia" w:ascii="宋体" w:hAnsi="宋体" w:eastAsia="宋体" w:cs="宋体"/>
                <w:kern w:val="2"/>
                <w:sz w:val="21"/>
                <w:szCs w:val="21"/>
              </w:rPr>
              <w:t>·</w:t>
            </w:r>
            <w:r>
              <w:t>指标计算： 计算已知类的 mAP（平均精度）和未知目标的 Recall（召回率），验证模型是否解决了“漏检”问题。</w:t>
            </w:r>
          </w:p>
          <w:p w14:paraId="3AC4B662">
            <w:pPr>
              <w:ind w:left="0" w:leftChars="0" w:firstLine="0" w:firstLineChars="0"/>
            </w:pPr>
          </w:p>
          <w:p w14:paraId="15A90B27">
            <w:pPr>
              <w:ind w:left="0" w:leftChars="0" w:firstLine="0" w:firstLineChars="0"/>
            </w:pPr>
          </w:p>
          <w:p w14:paraId="2B71C3DF">
            <w:pPr>
              <w:ind w:left="0" w:leftChars="0" w:firstLine="0" w:firstLineChars="0"/>
            </w:pPr>
          </w:p>
          <w:p w14:paraId="26227D6F">
            <w:pPr>
              <w:ind w:left="0" w:leftChars="0" w:firstLine="0" w:firstLineChars="0"/>
            </w:pPr>
          </w:p>
          <w:p w14:paraId="6684703D">
            <w:pPr>
              <w:ind w:left="0" w:leftChars="0" w:firstLine="0" w:firstLineChars="0"/>
            </w:pPr>
          </w:p>
          <w:p w14:paraId="120BB87A">
            <w:pPr>
              <w:ind w:left="0" w:leftChars="0" w:firstLine="0" w:firstLineChars="0"/>
            </w:pPr>
          </w:p>
          <w:p w14:paraId="61E8E6F0">
            <w:pPr>
              <w:pStyle w:val="3"/>
              <w:rPr>
                <w:sz w:val="24"/>
                <w:szCs w:val="24"/>
              </w:rPr>
            </w:pPr>
            <w:r>
              <w:rPr>
                <w:rFonts w:hint="eastAsia"/>
                <w:sz w:val="24"/>
                <w:szCs w:val="24"/>
              </w:rPr>
              <w:t>4.3</w:t>
            </w:r>
            <w:r>
              <w:rPr>
                <w:sz w:val="24"/>
                <w:szCs w:val="24"/>
              </w:rPr>
              <w:t xml:space="preserve">基本思路和方案 </w:t>
            </w:r>
          </w:p>
          <w:p w14:paraId="07CEDA31">
            <w:r>
              <w:t>本课题拟提出一种“几何先验引导的开放世界双流检测框架（Geometry-Prior Guided Dual-Stream Detector）”。</w:t>
            </w:r>
          </w:p>
          <w:p w14:paraId="20D8EF22">
            <w:pPr>
              <w:rPr>
                <w:rFonts w:hint="default"/>
              </w:rPr>
            </w:pPr>
            <w:r>
              <w:rPr>
                <w:rFonts w:hint="default"/>
              </w:rPr>
              <w:t>其核心思想是：“信任几何的存在性，验证语义的归属性”。即利用激光雷达（LiDAR）“不骗人”的物理探测特性来发现潜在目标，利用摄像头（Camera）的语义信息来确认其身份；当两者发生冲突（LiDAR 说有，Camera 说无）时，判定为未知目标</w:t>
            </w:r>
            <w:r>
              <w:rPr>
                <w:rFonts w:hint="eastAsia"/>
                <w:lang w:val="en-US" w:eastAsia="zh-CN"/>
              </w:rPr>
              <w:t>,如下图所示</w:t>
            </w:r>
            <w:r>
              <w:rPr>
                <w:rFonts w:hint="default"/>
              </w:rPr>
              <w:t>。</w:t>
            </w:r>
          </w:p>
          <w:p w14:paraId="5A69EA53">
            <w:pPr>
              <w:rPr>
                <w:rFonts w:hint="eastAsia" w:eastAsia="宋体"/>
                <w:lang w:eastAsia="zh-CN"/>
              </w:rPr>
            </w:pPr>
            <w:r>
              <w:rPr>
                <w:rFonts w:hint="eastAsia" w:eastAsia="宋体"/>
                <w:lang w:eastAsia="zh-CN"/>
              </w:rPr>
              <w:drawing>
                <wp:inline distT="0" distB="0" distL="114300" distR="114300">
                  <wp:extent cx="5124450" cy="2860675"/>
                  <wp:effectExtent l="0" t="0" r="6350" b="9525"/>
                  <wp:docPr id="1" name="图片 1" descr="Gemini_Generated_Image_3dve93dve93dv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emini_Generated_Image_3dve93dve93dve93"/>
                          <pic:cNvPicPr>
                            <a:picLocks noChangeAspect="1"/>
                          </pic:cNvPicPr>
                        </pic:nvPicPr>
                        <pic:blipFill>
                          <a:blip r:embed="rId12"/>
                          <a:stretch>
                            <a:fillRect/>
                          </a:stretch>
                        </pic:blipFill>
                        <pic:spPr>
                          <a:xfrm>
                            <a:off x="0" y="0"/>
                            <a:ext cx="5124450" cy="2860675"/>
                          </a:xfrm>
                          <a:prstGeom prst="rect">
                            <a:avLst/>
                          </a:prstGeom>
                        </pic:spPr>
                      </pic:pic>
                    </a:graphicData>
                  </a:graphic>
                </wp:inline>
              </w:drawing>
            </w:r>
          </w:p>
          <w:p w14:paraId="6AF36B51">
            <w:pPr>
              <w:rPr>
                <w:rFonts w:hint="default" w:eastAsia="宋体"/>
                <w:sz w:val="18"/>
                <w:szCs w:val="18"/>
                <w:lang w:eastAsia="zh-CN"/>
              </w:rPr>
            </w:pPr>
            <w:r>
              <w:rPr>
                <w:rFonts w:ascii="宋体" w:hAnsi="宋体" w:eastAsia="宋体" w:cs="宋体"/>
                <w:b/>
                <w:bCs/>
                <w:sz w:val="18"/>
                <w:szCs w:val="18"/>
              </w:rPr>
              <w:t>图 4-1：</w:t>
            </w:r>
            <w:r>
              <w:rPr>
                <w:rFonts w:ascii="宋体" w:hAnsi="宋体" w:eastAsia="宋体" w:cs="宋体"/>
                <w:sz w:val="18"/>
                <w:szCs w:val="18"/>
              </w:rPr>
              <w:t xml:space="preserve"> 几何引导的双流检测系统架构。系统利用 LiDAR 生成的几何掩码（Geometry Mask）对图像特征进行过滤，并通过解耦的双分支检测头实现未知目标发现。</w:t>
            </w:r>
          </w:p>
          <w:p w14:paraId="60B45A64">
            <w:r>
              <w:rPr>
                <w:rFonts w:hint="default"/>
              </w:rPr>
              <w:t>具体技术方案如下：</w:t>
            </w:r>
          </w:p>
          <w:p w14:paraId="08760945">
            <w:pPr>
              <w:rPr>
                <w:b/>
                <w:bCs/>
              </w:rPr>
            </w:pPr>
            <w:r>
              <w:rPr>
                <w:rFonts w:hint="default"/>
                <w:b/>
                <w:bCs/>
              </w:rPr>
              <w:t>1. 几何引导的掩码融合网络（Geometry-Masked Fusion Network）</w:t>
            </w:r>
          </w:p>
          <w:p w14:paraId="5E9A802B">
            <w:pPr>
              <w:rPr>
                <w:rFonts w:hint="default"/>
              </w:rPr>
            </w:pPr>
            <w:r>
              <w:rPr>
                <w:rFonts w:hint="default"/>
              </w:rPr>
              <w:t>针对“融合权重固化”问题，本方案放弃复杂的动态权重预测网络，转而采用计算高效的硬掩码（Hard Mask）机制。</w:t>
            </w:r>
          </w:p>
          <w:p w14:paraId="42C455D2">
            <w:pPr>
              <w:rPr>
                <w:rFonts w:hint="default"/>
              </w:rPr>
            </w:pPr>
            <w:r>
              <w:rPr>
                <w:rFonts w:hint="default"/>
              </w:rPr>
              <w:t>方案描述：</w:t>
            </w:r>
          </w:p>
          <w:p w14:paraId="6092FFFA">
            <w:pPr>
              <w:rPr>
                <w:rFonts w:hint="default"/>
              </w:rPr>
            </w:pPr>
            <w:r>
              <w:rPr>
                <w:rFonts w:hint="eastAsia" w:ascii="宋体" w:hAnsi="宋体" w:eastAsia="宋体" w:cs="宋体"/>
                <w:kern w:val="2"/>
                <w:sz w:val="21"/>
                <w:szCs w:val="21"/>
              </w:rPr>
              <w:t>·</w:t>
            </w:r>
            <w:r>
              <w:rPr>
                <w:rFonts w:hint="default"/>
              </w:rPr>
              <w:t xml:space="preserve">首先，对点云 BEV 特征进行最大池化（Max Pooling），生成一张指示物理占用的 0/1 掩码图 </w:t>
            </w:r>
            <m:oMath>
              <m:sSub>
                <m:sSubPr>
                  <m:ctrlPr>
                    <w:rPr>
                      <w:rFonts w:hint="default" w:ascii="Cambria Math" w:hAnsi="Cambria Math"/>
                      <w:sz w:val="21"/>
                    </w:rPr>
                  </m:ctrlPr>
                </m:sSubPr>
                <m:e>
                  <m:r>
                    <m:rPr/>
                    <w:rPr>
                      <w:rFonts w:hint="default" w:ascii="Cambria Math" w:hAnsi="Cambria Math"/>
                      <w:sz w:val="21"/>
                    </w:rPr>
                    <m:t>M</m:t>
                  </m:r>
                  <m:ctrlPr>
                    <w:rPr>
                      <w:rFonts w:ascii="Cambria Math" w:hAnsi="Cambria Math"/>
                      <w:sz w:val="21"/>
                    </w:rPr>
                  </m:ctrlPr>
                </m:e>
                <m:sub>
                  <m:r>
                    <m:rPr/>
                    <w:rPr>
                      <w:rFonts w:hint="default" w:ascii="Cambria Math" w:hAnsi="Cambria Math"/>
                      <w:sz w:val="21"/>
                    </w:rPr>
                    <m:t>geo</m:t>
                  </m:r>
                  <m:ctrlPr>
                    <w:rPr>
                      <w:rFonts w:ascii="Cambria Math" w:hAnsi="Cambria Math"/>
                      <w:sz w:val="21"/>
                    </w:rPr>
                  </m:ctrlPr>
                </m:sub>
              </m:sSub>
            </m:oMath>
            <w:r>
              <w:rPr>
                <w:rFonts w:hint="default"/>
              </w:rPr>
              <w:t>。</w:t>
            </w:r>
          </w:p>
          <w:p w14:paraId="27BB0AC7">
            <w:pPr>
              <w:rPr>
                <w:rFonts w:hint="eastAsia" w:eastAsia="宋体"/>
                <w:lang w:eastAsia="zh-CN"/>
              </w:rPr>
            </w:pPr>
            <w:r>
              <w:rPr>
                <w:rFonts w:hint="eastAsia" w:ascii="宋体" w:hAnsi="宋体" w:eastAsia="宋体" w:cs="宋体"/>
                <w:kern w:val="2"/>
                <w:sz w:val="21"/>
                <w:szCs w:val="21"/>
              </w:rPr>
              <w:t>·</w:t>
            </w:r>
            <w:r>
              <w:rPr>
                <w:rFonts w:hint="default"/>
              </w:rPr>
              <w:t>然后，利用该掩码对图像特征进行空间滤波：</w:t>
            </w:r>
            <m:oMath>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img</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img</m:t>
                  </m:r>
                  <m:ctrlPr>
                    <w:rPr>
                      <w:rFonts w:hint="default" w:ascii="Cambria Math"/>
                    </w:rPr>
                  </m:ctrlPr>
                </m:sub>
              </m:sSub>
              <m:r>
                <m:rPr/>
                <w:rPr>
                  <w:rFonts w:hint="default" w:ascii="Cambria Math"/>
                </w:rPr>
                <m:t>⊙(1+λ⋅</m:t>
              </m:r>
              <m:sSub>
                <m:sSubPr>
                  <m:ctrlPr>
                    <w:rPr>
                      <w:rFonts w:hint="default" w:ascii="Cambria Math"/>
                    </w:rPr>
                  </m:ctrlPr>
                </m:sSubPr>
                <m:e>
                  <m:r>
                    <m:rPr/>
                    <w:rPr>
                      <w:rFonts w:hint="default" w:ascii="Cambria Math"/>
                    </w:rPr>
                    <m:t>M</m:t>
                  </m:r>
                  <m:ctrlPr>
                    <w:rPr>
                      <w:rFonts w:hint="default" w:ascii="Cambria Math"/>
                    </w:rPr>
                  </m:ctrlPr>
                </m:e>
                <m:sub>
                  <m:r>
                    <m:rPr/>
                    <w:rPr>
                      <w:rFonts w:hint="default" w:ascii="Cambria Math"/>
                    </w:rPr>
                    <m:t>geo</m:t>
                  </m:r>
                  <m:ctrlPr>
                    <w:rPr>
                      <w:rFonts w:hint="default" w:ascii="Cambria Math"/>
                    </w:rPr>
                  </m:ctrlPr>
                </m:sub>
              </m:sSub>
              <m:r>
                <m:rPr/>
                <w:rPr>
                  <w:rFonts w:hint="default" w:ascii="Cambria Math"/>
                </w:rPr>
                <m:t>)</m:t>
              </m:r>
            </m:oMath>
            <w:r>
              <w:rPr>
                <w:rFonts w:hint="eastAsia"/>
                <w:i w:val="0"/>
                <w:lang w:eastAsia="zh-CN"/>
              </w:rPr>
              <w:t>。</w:t>
            </w:r>
          </w:p>
          <w:p w14:paraId="6AE66D61">
            <w:pPr>
              <w:rPr>
                <w:rFonts w:hint="default"/>
              </w:rPr>
            </w:pPr>
            <w:r>
              <w:rPr>
                <w:rFonts w:hint="eastAsia" w:ascii="宋体" w:hAnsi="宋体" w:eastAsia="宋体" w:cs="宋体"/>
                <w:kern w:val="2"/>
                <w:sz w:val="21"/>
                <w:szCs w:val="21"/>
              </w:rPr>
              <w:t>·</w:t>
            </w:r>
            <w:r>
              <w:rPr>
                <w:rFonts w:hint="default"/>
              </w:rPr>
              <w:t>作用： 强迫图像分支聚焦于物理实体区域。即使未知物体在图像上纹理模糊（如灰色的水泥块），只要它在点云上有回波，其对应的图像特征区域就会被激活，从而参与后续的特征融合。</w:t>
            </w:r>
          </w:p>
          <w:p w14:paraId="07BE2E8F">
            <w:pPr>
              <w:rPr>
                <w:rFonts w:hint="eastAsia" w:eastAsia="宋体"/>
                <w:lang w:eastAsia="zh-CN"/>
              </w:rPr>
            </w:pPr>
            <w:r>
              <w:rPr>
                <w:rFonts w:hint="eastAsia" w:eastAsia="宋体"/>
                <w:lang w:eastAsia="zh-CN"/>
              </w:rPr>
              <w:drawing>
                <wp:inline distT="0" distB="0" distL="114300" distR="114300">
                  <wp:extent cx="4949190" cy="3320415"/>
                  <wp:effectExtent l="0" t="0" r="3810" b="6985"/>
                  <wp:docPr id="3" name="图片 3" descr="Gemini_Generated_Image_agbneeagbneeagb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Gemini_Generated_Image_agbneeagbneeagbn"/>
                          <pic:cNvPicPr>
                            <a:picLocks noChangeAspect="1"/>
                          </pic:cNvPicPr>
                        </pic:nvPicPr>
                        <pic:blipFill>
                          <a:blip r:embed="rId13"/>
                          <a:stretch>
                            <a:fillRect/>
                          </a:stretch>
                        </pic:blipFill>
                        <pic:spPr>
                          <a:xfrm>
                            <a:off x="0" y="0"/>
                            <a:ext cx="4949190" cy="3320415"/>
                          </a:xfrm>
                          <a:prstGeom prst="rect">
                            <a:avLst/>
                          </a:prstGeom>
                        </pic:spPr>
                      </pic:pic>
                    </a:graphicData>
                  </a:graphic>
                </wp:inline>
              </w:drawing>
            </w:r>
          </w:p>
          <w:p w14:paraId="203BAB55">
            <w:pPr>
              <w:rPr>
                <w:rFonts w:hint="eastAsia" w:eastAsia="宋体"/>
                <w:sz w:val="18"/>
                <w:szCs w:val="18"/>
                <w:lang w:eastAsia="zh-CN"/>
              </w:rPr>
            </w:pPr>
            <w:r>
              <w:rPr>
                <w:rFonts w:hint="eastAsia" w:eastAsia="宋体"/>
                <w:sz w:val="18"/>
                <w:szCs w:val="18"/>
                <w:lang w:eastAsia="zh-CN"/>
              </w:rPr>
              <w:t>图 4-2： 掩码融合原理示意图。利用 LiDAR 的几何存在性抑制图像分支中的背景噪声，确保模型聚焦于物理实体。</w:t>
            </w:r>
          </w:p>
          <w:p w14:paraId="40FE0B99">
            <w:pPr>
              <w:rPr>
                <w:rFonts w:hint="default"/>
              </w:rPr>
            </w:pPr>
          </w:p>
          <w:p w14:paraId="3D487829">
            <w:pPr>
              <w:rPr>
                <w:b/>
                <w:bCs/>
              </w:rPr>
            </w:pPr>
            <w:r>
              <w:rPr>
                <w:rFonts w:hint="default"/>
                <w:b/>
                <w:bCs/>
              </w:rPr>
              <w:t>2. “物体性-语义”双重解耦检测头（Objectness-Semantic Decoupled Head）</w:t>
            </w:r>
          </w:p>
          <w:p w14:paraId="4EA10E53">
            <w:pPr>
              <w:rPr>
                <w:rFonts w:hint="default"/>
              </w:rPr>
            </w:pPr>
            <w:r>
              <w:rPr>
                <w:rFonts w:hint="default"/>
              </w:rPr>
              <w:t>针对“未知目标易被误判为背景”的问题，本方案将检测任务解耦为两个正交的子任务：</w:t>
            </w:r>
          </w:p>
          <w:p w14:paraId="31A5F816">
            <w:pPr>
              <w:rPr>
                <w:rFonts w:hint="default"/>
              </w:rPr>
            </w:pPr>
            <w:r>
              <w:rPr>
                <w:rFonts w:hint="eastAsia" w:ascii="宋体" w:hAnsi="宋体" w:eastAsia="宋体" w:cs="宋体"/>
                <w:kern w:val="2"/>
                <w:sz w:val="21"/>
                <w:szCs w:val="21"/>
              </w:rPr>
              <w:t>·</w:t>
            </w:r>
            <w:r>
              <w:rPr>
                <w:rFonts w:hint="default"/>
                <w:b/>
                <w:bCs/>
              </w:rPr>
              <w:t>子任务 A</w:t>
            </w:r>
            <w:r>
              <w:rPr>
                <w:rFonts w:hint="default"/>
              </w:rPr>
              <w:t>：通用物体性预测（Class-Agnostic Objectness Prediction）</w:t>
            </w:r>
          </w:p>
          <w:p w14:paraId="70451201">
            <w:pPr>
              <w:ind w:firstLine="840" w:firstLineChars="400"/>
              <w:rPr>
                <w:rFonts w:hint="default"/>
              </w:rPr>
            </w:pPr>
            <w:r>
              <w:rPr>
                <w:rFonts w:hint="eastAsia" w:ascii="宋体" w:hAnsi="宋体" w:eastAsia="宋体" w:cs="宋体"/>
                <w:kern w:val="2"/>
                <w:sz w:val="21"/>
                <w:szCs w:val="21"/>
              </w:rPr>
              <w:t>·</w:t>
            </w:r>
            <w:r>
              <w:rPr>
                <w:rFonts w:hint="default"/>
              </w:rPr>
              <w:t>输入： 融合后的特征图。</w:t>
            </w:r>
          </w:p>
          <w:p w14:paraId="4E1979B8">
            <w:pPr>
              <w:ind w:firstLine="840" w:firstLineChars="400"/>
              <w:rPr>
                <w:rFonts w:hint="default"/>
              </w:rPr>
            </w:pPr>
            <w:r>
              <w:rPr>
                <w:rFonts w:hint="eastAsia" w:ascii="宋体" w:hAnsi="宋体" w:eastAsia="宋体" w:cs="宋体"/>
                <w:kern w:val="2"/>
                <w:sz w:val="21"/>
                <w:szCs w:val="21"/>
              </w:rPr>
              <w:t>·</w:t>
            </w:r>
            <w:r>
              <w:rPr>
                <w:rFonts w:hint="default"/>
              </w:rPr>
              <w:t>定义： 预测该位置“是否存在物体”，不区分是车、人还是石头。</w:t>
            </w:r>
          </w:p>
          <w:p w14:paraId="380743CF">
            <w:pPr>
              <w:ind w:firstLine="840" w:firstLineChars="400"/>
              <w:rPr>
                <w:rFonts w:hint="default"/>
              </w:rPr>
            </w:pPr>
            <w:r>
              <w:rPr>
                <w:rFonts w:hint="eastAsia" w:ascii="宋体" w:hAnsi="宋体" w:eastAsia="宋体" w:cs="宋体"/>
                <w:kern w:val="2"/>
                <w:sz w:val="21"/>
                <w:szCs w:val="21"/>
              </w:rPr>
              <w:t>·</w:t>
            </w:r>
            <w:r>
              <w:rPr>
                <w:rFonts w:hint="default"/>
              </w:rPr>
              <w:t>监督信号： 只要 Ground Truth 框内有物体，标签即为 1，否则为 0。</w:t>
            </w:r>
          </w:p>
          <w:p w14:paraId="7E7AB2CE">
            <w:pPr>
              <w:ind w:firstLine="840" w:firstLineChars="400"/>
              <w:rPr>
                <w:rFonts w:hint="default"/>
              </w:rPr>
            </w:pPr>
            <w:r>
              <w:rPr>
                <w:rFonts w:hint="eastAsia" w:ascii="宋体" w:hAnsi="宋体" w:eastAsia="宋体" w:cs="宋体"/>
                <w:kern w:val="2"/>
                <w:sz w:val="21"/>
                <w:szCs w:val="21"/>
              </w:rPr>
              <w:t>·</w:t>
            </w:r>
            <w:r>
              <w:rPr>
                <w:rFonts w:hint="default"/>
              </w:rPr>
              <w:t>优势： 无论物体形状如何怪异，只要有点云聚类，该分支就能输出高分。</w:t>
            </w:r>
          </w:p>
          <w:p w14:paraId="6E4DFDFE">
            <w:pPr>
              <w:rPr>
                <w:rFonts w:hint="default"/>
              </w:rPr>
            </w:pPr>
            <w:r>
              <w:rPr>
                <w:rFonts w:hint="eastAsia" w:ascii="宋体" w:hAnsi="宋体" w:eastAsia="宋体" w:cs="宋体"/>
                <w:kern w:val="2"/>
                <w:sz w:val="21"/>
                <w:szCs w:val="21"/>
              </w:rPr>
              <w:t>·</w:t>
            </w:r>
            <w:r>
              <w:rPr>
                <w:rFonts w:hint="default"/>
                <w:b/>
                <w:bCs/>
              </w:rPr>
              <w:t>子任务 B</w:t>
            </w:r>
            <w:r>
              <w:rPr>
                <w:rFonts w:hint="default"/>
              </w:rPr>
              <w:t>：细粒度语义分类（Fine-Grained Classification）</w:t>
            </w:r>
          </w:p>
          <w:p w14:paraId="5C7AE708">
            <w:pPr>
              <w:ind w:firstLine="840" w:firstLineChars="400"/>
              <w:rPr>
                <w:rFonts w:hint="default"/>
              </w:rPr>
            </w:pPr>
            <w:r>
              <w:rPr>
                <w:rFonts w:hint="eastAsia" w:ascii="宋体" w:hAnsi="宋体" w:eastAsia="宋体" w:cs="宋体"/>
                <w:kern w:val="2"/>
                <w:sz w:val="21"/>
                <w:szCs w:val="21"/>
              </w:rPr>
              <w:t>·</w:t>
            </w:r>
            <w:r>
              <w:rPr>
                <w:rFonts w:hint="default"/>
              </w:rPr>
              <w:t>输入： 融合后的特征图。</w:t>
            </w:r>
          </w:p>
          <w:p w14:paraId="00FB62ED">
            <w:pPr>
              <w:ind w:firstLine="840" w:firstLineChars="400"/>
              <w:rPr>
                <w:rFonts w:hint="default"/>
              </w:rPr>
            </w:pPr>
            <w:r>
              <w:rPr>
                <w:rFonts w:hint="eastAsia" w:ascii="宋体" w:hAnsi="宋体" w:eastAsia="宋体" w:cs="宋体"/>
                <w:kern w:val="2"/>
                <w:sz w:val="21"/>
                <w:szCs w:val="21"/>
              </w:rPr>
              <w:t>·</w:t>
            </w:r>
            <w:r>
              <w:rPr>
                <w:rFonts w:hint="default"/>
              </w:rPr>
              <w:t xml:space="preserve">定义： 预测该位置属于 </w:t>
            </w:r>
            <m:oMath>
              <m:r>
                <m:rPr/>
                <w:rPr>
                  <w:rFonts w:hint="default" w:ascii="Cambria Math"/>
                </w:rPr>
                <m:t>K</m:t>
              </m:r>
            </m:oMath>
            <w:r>
              <w:rPr>
                <w:rFonts w:hint="default"/>
              </w:rPr>
              <w:t xml:space="preserve"> 个已知类别的概率分布。</w:t>
            </w:r>
          </w:p>
          <w:p w14:paraId="779621BC">
            <w:pPr>
              <w:ind w:firstLine="840" w:firstLineChars="400"/>
              <w:rPr>
                <w:rFonts w:hint="eastAsia" w:eastAsia="宋体"/>
                <w:lang w:eastAsia="zh-CN"/>
              </w:rPr>
            </w:pPr>
            <w:r>
              <w:rPr>
                <w:rFonts w:hint="eastAsia" w:ascii="宋体" w:hAnsi="宋体" w:eastAsia="宋体" w:cs="宋体"/>
                <w:kern w:val="2"/>
                <w:sz w:val="21"/>
                <w:szCs w:val="21"/>
              </w:rPr>
              <w:t>·</w:t>
            </w:r>
            <w:r>
              <w:rPr>
                <w:rFonts w:hint="default"/>
              </w:rPr>
              <w:t>特性： 对于未知物体，由于特征不匹配，该分支输出的所有类别概率都会很低</w:t>
            </w:r>
            <w:r>
              <w:rPr>
                <w:rFonts w:hint="eastAsia"/>
                <w:lang w:eastAsia="zh-CN"/>
              </w:rPr>
              <w:t>。</w:t>
            </w:r>
          </w:p>
          <w:p w14:paraId="626C5113">
            <w:pPr>
              <w:rPr>
                <w:rFonts w:hint="default"/>
              </w:rPr>
            </w:pPr>
          </w:p>
          <w:p w14:paraId="107342AF">
            <w:pPr>
              <w:rPr>
                <w:b/>
                <w:bCs/>
              </w:rPr>
            </w:pPr>
            <w:r>
              <w:rPr>
                <w:rFonts w:hint="default"/>
                <w:b/>
                <w:bCs/>
              </w:rPr>
              <w:t>3. 开放世界推理判别逻辑（Open-World Inference Logic）</w:t>
            </w:r>
          </w:p>
          <w:p w14:paraId="2582F6A6">
            <w:pPr>
              <w:rPr>
                <w:rFonts w:hint="default"/>
              </w:rPr>
            </w:pPr>
            <w:r>
              <w:rPr>
                <w:rFonts w:hint="default"/>
              </w:rPr>
              <w:t>在模型推理阶段，采用以下逻辑判定目标的最终属性：</w:t>
            </w:r>
          </w:p>
          <w:p w14:paraId="5AB39A1F">
            <w:pPr>
              <w:rPr>
                <w:rFonts w:hint="default"/>
              </w:rPr>
            </w:pPr>
            <w:r>
              <w:rPr>
                <w:rFonts w:hint="eastAsia" w:ascii="宋体" w:hAnsi="宋体" w:eastAsia="宋体" w:cs="宋体"/>
                <w:kern w:val="2"/>
                <w:sz w:val="21"/>
                <w:szCs w:val="21"/>
              </w:rPr>
              <w:t>·</w:t>
            </w:r>
            <w:r>
              <w:rPr>
                <w:rFonts w:hint="default"/>
              </w:rPr>
              <w:t>情况 1（已知目标）： 物体性得分高（</w:t>
            </w:r>
            <m:oMath>
              <m:sSub>
                <m:sSubPr>
                  <m:ctrlPr>
                    <w:rPr>
                      <w:rFonts w:hint="default" w:ascii="Cambria Math"/>
                    </w:rPr>
                  </m:ctrlPr>
                </m:sSubPr>
                <m:e>
                  <m:r>
                    <m:rPr/>
                    <w:rPr>
                      <w:rFonts w:hint="default" w:ascii="Cambria Math"/>
                    </w:rPr>
                    <m:t>S</m:t>
                  </m:r>
                  <m:ctrlPr>
                    <w:rPr>
                      <w:rFonts w:hint="default" w:ascii="Cambria Math"/>
                    </w:rPr>
                  </m:ctrlPr>
                </m:e>
                <m:sub>
                  <m:r>
                    <m:rPr/>
                    <w:rPr>
                      <w:rFonts w:hint="default" w:ascii="Cambria Math"/>
                    </w:rPr>
                    <m:t>obj</m:t>
                  </m:r>
                  <m:ctrlPr>
                    <w:rPr>
                      <w:rFonts w:hint="default" w:ascii="Cambria Math"/>
                    </w:rPr>
                  </m:ctrlPr>
                </m:sub>
              </m:sSub>
              <m:r>
                <m:rPr/>
                <w:rPr>
                  <w:rFonts w:hint="default" w:ascii="Cambria Math"/>
                </w:rPr>
                <m:t>&gt;</m:t>
              </m:r>
              <m:sSub>
                <m:sSubPr>
                  <m:ctrlPr>
                    <w:rPr>
                      <w:rFonts w:hint="default" w:ascii="Cambria Math"/>
                    </w:rPr>
                  </m:ctrlPr>
                </m:sSubPr>
                <m:e>
                  <m:r>
                    <m:rPr/>
                    <w:rPr>
                      <w:rFonts w:hint="default" w:ascii="Cambria Math"/>
                    </w:rPr>
                    <m:t>τ</m:t>
                  </m:r>
                  <m:ctrlPr>
                    <w:rPr>
                      <w:rFonts w:hint="default" w:ascii="Cambria Math"/>
                    </w:rPr>
                  </m:ctrlPr>
                </m:e>
                <m:sub>
                  <m:r>
                    <m:rPr/>
                    <w:rPr>
                      <w:rFonts w:hint="default" w:ascii="Cambria Math"/>
                    </w:rPr>
                    <m:t>1</m:t>
                  </m:r>
                  <m:ctrlPr>
                    <w:rPr>
                      <w:rFonts w:hint="default" w:ascii="Cambria Math"/>
                    </w:rPr>
                  </m:ctrlPr>
                </m:sub>
              </m:sSub>
            </m:oMath>
            <w:r>
              <w:rPr>
                <w:rFonts w:hint="default"/>
              </w:rPr>
              <w:t>）且 某已知类得分高（</w:t>
            </w:r>
            <m:oMath>
              <m:sSub>
                <m:sSubPr>
                  <m:ctrlPr>
                    <w:rPr>
                      <w:rFonts w:hint="default" w:ascii="Cambria Math"/>
                    </w:rPr>
                  </m:ctrlPr>
                </m:sSubPr>
                <m:e>
                  <m:r>
                    <m:rPr/>
                    <w:rPr>
                      <w:rFonts w:hint="default" w:ascii="Cambria Math"/>
                    </w:rPr>
                    <m:t>S</m:t>
                  </m:r>
                  <m:ctrlPr>
                    <w:rPr>
                      <w:rFonts w:hint="default" w:ascii="Cambria Math"/>
                    </w:rPr>
                  </m:ctrlPr>
                </m:e>
                <m:sub>
                  <m:r>
                    <m:rPr/>
                    <w:rPr>
                      <w:rFonts w:hint="default" w:ascii="Cambria Math"/>
                    </w:rPr>
                    <m:t>cls</m:t>
                  </m:r>
                  <m:ctrlPr>
                    <w:rPr>
                      <w:rFonts w:hint="default" w:ascii="Cambria Math"/>
                    </w:rPr>
                  </m:ctrlPr>
                </m:sub>
              </m:sSub>
              <m:r>
                <m:rPr/>
                <w:rPr>
                  <w:rFonts w:hint="default" w:ascii="Cambria Math"/>
                </w:rPr>
                <m:t>&gt;</m:t>
              </m:r>
              <m:sSub>
                <m:sSubPr>
                  <m:ctrlPr>
                    <w:rPr>
                      <w:rFonts w:hint="default" w:ascii="Cambria Math"/>
                    </w:rPr>
                  </m:ctrlPr>
                </m:sSubPr>
                <m:e>
                  <m:r>
                    <m:rPr/>
                    <w:rPr>
                      <w:rFonts w:hint="default" w:ascii="Cambria Math"/>
                    </w:rPr>
                    <m:t>τ</m:t>
                  </m:r>
                  <m:ctrlPr>
                    <w:rPr>
                      <w:rFonts w:hint="default" w:ascii="Cambria Math"/>
                    </w:rPr>
                  </m:ctrlPr>
                </m:e>
                <m:sub>
                  <m:r>
                    <m:rPr/>
                    <w:rPr>
                      <w:rFonts w:hint="default" w:ascii="Cambria Math"/>
                    </w:rPr>
                    <m:t>2</m:t>
                  </m:r>
                  <m:ctrlPr>
                    <w:rPr>
                      <w:rFonts w:hint="default" w:ascii="Cambria Math"/>
                    </w:rPr>
                  </m:ctrlPr>
                </m:sub>
              </m:sSub>
            </m:oMath>
            <w:r>
              <w:rPr>
                <w:rFonts w:hint="default"/>
              </w:rPr>
              <w:t>）</w:t>
            </w:r>
            <m:oMath>
              <m:r>
                <m:rPr/>
                <w:rPr>
                  <w:rFonts w:hint="default" w:ascii="Cambria Math"/>
                </w:rPr>
                <m:t>→</m:t>
              </m:r>
            </m:oMath>
            <w:r>
              <w:rPr>
                <w:rFonts w:hint="default"/>
              </w:rPr>
              <w:t xml:space="preserve"> 输出具体类别（如：Car）。</w:t>
            </w:r>
          </w:p>
          <w:p w14:paraId="02213502">
            <w:pPr>
              <w:rPr>
                <w:rFonts w:hint="default"/>
              </w:rPr>
            </w:pPr>
            <w:r>
              <w:rPr>
                <w:rFonts w:hint="eastAsia" w:ascii="宋体" w:hAnsi="宋体" w:eastAsia="宋体" w:cs="宋体"/>
                <w:kern w:val="2"/>
                <w:sz w:val="21"/>
                <w:szCs w:val="21"/>
              </w:rPr>
              <w:t>·</w:t>
            </w:r>
            <w:r>
              <w:rPr>
                <w:rFonts w:hint="default"/>
              </w:rPr>
              <w:t>情况 2（背景噪声）： 物体性得分低（</w:t>
            </w:r>
            <m:oMath>
              <m:sSub>
                <m:sSubPr>
                  <m:ctrlPr>
                    <w:rPr>
                      <w:rFonts w:hint="default" w:ascii="Cambria Math"/>
                    </w:rPr>
                  </m:ctrlPr>
                </m:sSubPr>
                <m:e>
                  <m:r>
                    <m:rPr/>
                    <w:rPr>
                      <w:rFonts w:hint="default" w:ascii="Cambria Math"/>
                    </w:rPr>
                    <m:t>S</m:t>
                  </m:r>
                  <m:ctrlPr>
                    <w:rPr>
                      <w:rFonts w:hint="default" w:ascii="Cambria Math"/>
                    </w:rPr>
                  </m:ctrlPr>
                </m:e>
                <m:sub>
                  <m:r>
                    <m:rPr/>
                    <w:rPr>
                      <w:rFonts w:hint="default" w:ascii="Cambria Math"/>
                    </w:rPr>
                    <m:t>obj</m:t>
                  </m:r>
                  <m:ctrlPr>
                    <w:rPr>
                      <w:rFonts w:hint="default" w:ascii="Cambria Math"/>
                    </w:rPr>
                  </m:ctrlPr>
                </m:sub>
              </m:sSub>
              <m:r>
                <m:rPr/>
                <w:rPr>
                  <w:rFonts w:hint="default" w:ascii="Cambria Math"/>
                </w:rPr>
                <m:t>&lt;</m:t>
              </m:r>
              <m:sSub>
                <m:sSubPr>
                  <m:ctrlPr>
                    <w:rPr>
                      <w:rFonts w:hint="default" w:ascii="Cambria Math"/>
                    </w:rPr>
                  </m:ctrlPr>
                </m:sSubPr>
                <m:e>
                  <m:r>
                    <m:rPr/>
                    <w:rPr>
                      <w:rFonts w:hint="default" w:ascii="Cambria Math"/>
                    </w:rPr>
                    <m:t>τ</m:t>
                  </m:r>
                  <m:ctrlPr>
                    <w:rPr>
                      <w:rFonts w:hint="default" w:ascii="Cambria Math"/>
                    </w:rPr>
                  </m:ctrlPr>
                </m:e>
                <m:sub>
                  <m:r>
                    <m:rPr/>
                    <w:rPr>
                      <w:rFonts w:hint="default" w:ascii="Cambria Math"/>
                    </w:rPr>
                    <m:t>1</m:t>
                  </m:r>
                  <m:ctrlPr>
                    <w:rPr>
                      <w:rFonts w:hint="default" w:ascii="Cambria Math"/>
                    </w:rPr>
                  </m:ctrlPr>
                </m:sub>
              </m:sSub>
            </m:oMath>
            <w:r>
              <w:rPr>
                <w:rFonts w:hint="default"/>
              </w:rPr>
              <w:t>）</w:t>
            </w:r>
            <m:oMath>
              <m:r>
                <m:rPr/>
                <w:rPr>
                  <w:rFonts w:hint="default" w:ascii="Cambria Math"/>
                </w:rPr>
                <m:t>→</m:t>
              </m:r>
            </m:oMath>
            <w:r>
              <w:rPr>
                <w:rFonts w:hint="default"/>
              </w:rPr>
              <w:t>忽略。</w:t>
            </w:r>
          </w:p>
          <w:p w14:paraId="0A46D600">
            <w:r>
              <w:rPr>
                <w:rFonts w:hint="eastAsia" w:ascii="宋体" w:hAnsi="宋体" w:eastAsia="宋体" w:cs="宋体"/>
                <w:kern w:val="2"/>
                <w:sz w:val="21"/>
                <w:szCs w:val="21"/>
              </w:rPr>
              <w:t>·</w:t>
            </w:r>
            <w:r>
              <w:rPr>
                <w:rFonts w:hint="default"/>
              </w:rPr>
              <w:t>情况 3（未知目标）： 物体性得分高（</w:t>
            </w:r>
            <m:oMath>
              <m:sSub>
                <m:sSubPr>
                  <m:ctrlPr>
                    <w:rPr>
                      <w:rFonts w:hint="default" w:ascii="Cambria Math"/>
                    </w:rPr>
                  </m:ctrlPr>
                </m:sSubPr>
                <m:e>
                  <m:r>
                    <m:rPr/>
                    <w:rPr>
                      <w:rFonts w:hint="default" w:ascii="Cambria Math"/>
                    </w:rPr>
                    <m:t>S</m:t>
                  </m:r>
                  <m:ctrlPr>
                    <w:rPr>
                      <w:rFonts w:hint="default" w:ascii="Cambria Math"/>
                    </w:rPr>
                  </m:ctrlPr>
                </m:e>
                <m:sub>
                  <m:r>
                    <m:rPr/>
                    <w:rPr>
                      <w:rFonts w:hint="default" w:ascii="Cambria Math"/>
                    </w:rPr>
                    <m:t>obj</m:t>
                  </m:r>
                  <m:ctrlPr>
                    <w:rPr>
                      <w:rFonts w:hint="default" w:ascii="Cambria Math"/>
                    </w:rPr>
                  </m:ctrlPr>
                </m:sub>
              </m:sSub>
              <m:r>
                <m:rPr/>
                <w:rPr>
                  <w:rFonts w:hint="default" w:ascii="Cambria Math"/>
                </w:rPr>
                <m:t>&gt;</m:t>
              </m:r>
              <m:sSub>
                <m:sSubPr>
                  <m:ctrlPr>
                    <w:rPr>
                      <w:rFonts w:hint="default" w:ascii="Cambria Math"/>
                    </w:rPr>
                  </m:ctrlPr>
                </m:sSubPr>
                <m:e>
                  <m:r>
                    <m:rPr/>
                    <w:rPr>
                      <w:rFonts w:hint="default" w:ascii="Cambria Math"/>
                    </w:rPr>
                    <m:t>τ</m:t>
                  </m:r>
                  <m:ctrlPr>
                    <w:rPr>
                      <w:rFonts w:hint="default" w:ascii="Cambria Math"/>
                    </w:rPr>
                  </m:ctrlPr>
                </m:e>
                <m:sub>
                  <m:r>
                    <m:rPr/>
                    <w:rPr>
                      <w:rFonts w:hint="default" w:ascii="Cambria Math"/>
                    </w:rPr>
                    <m:t>1</m:t>
                  </m:r>
                  <m:ctrlPr>
                    <w:rPr>
                      <w:rFonts w:hint="default" w:ascii="Cambria Math"/>
                    </w:rPr>
                  </m:ctrlPr>
                </m:sub>
              </m:sSub>
            </m:oMath>
            <w:r>
              <w:rPr>
                <w:rFonts w:hint="default"/>
              </w:rPr>
              <w:t>） 但 所有已知类得分均低（</w:t>
            </w:r>
            <m:oMath>
              <m:sSub>
                <m:sSubPr>
                  <m:ctrlPr>
                    <w:rPr>
                      <w:rFonts w:hint="default" w:ascii="Cambria Math"/>
                    </w:rPr>
                  </m:ctrlPr>
                </m:sSubPr>
                <m:e>
                  <m:r>
                    <m:rPr/>
                    <w:rPr>
                      <w:rFonts w:hint="default" w:ascii="Cambria Math"/>
                    </w:rPr>
                    <m:t>S</m:t>
                  </m:r>
                  <m:ctrlPr>
                    <w:rPr>
                      <w:rFonts w:hint="default" w:ascii="Cambria Math"/>
                    </w:rPr>
                  </m:ctrlPr>
                </m:e>
                <m:sub>
                  <m:r>
                    <m:rPr/>
                    <w:rPr>
                      <w:rFonts w:hint="default" w:ascii="Cambria Math"/>
                    </w:rPr>
                    <m:t>cls</m:t>
                  </m:r>
                  <m:ctrlPr>
                    <w:rPr>
                      <w:rFonts w:hint="default" w:ascii="Cambria Math"/>
                    </w:rPr>
                  </m:ctrlPr>
                </m:sub>
              </m:sSub>
              <m:r>
                <m:rPr/>
                <w:rPr>
                  <w:rFonts w:hint="default" w:ascii="Cambria Math"/>
                </w:rPr>
                <m:t>&lt;</m:t>
              </m:r>
              <m:sSub>
                <m:sSubPr>
                  <m:ctrlPr>
                    <w:rPr>
                      <w:rFonts w:hint="default" w:ascii="Cambria Math"/>
                    </w:rPr>
                  </m:ctrlPr>
                </m:sSubPr>
                <m:e>
                  <m:r>
                    <m:rPr/>
                    <w:rPr>
                      <w:rFonts w:hint="default" w:ascii="Cambria Math"/>
                    </w:rPr>
                    <m:t>τ</m:t>
                  </m:r>
                  <m:ctrlPr>
                    <w:rPr>
                      <w:rFonts w:hint="default" w:ascii="Cambria Math"/>
                    </w:rPr>
                  </m:ctrlPr>
                </m:e>
                <m:sub>
                  <m:r>
                    <m:rPr/>
                    <w:rPr>
                      <w:rFonts w:hint="default" w:ascii="Cambria Math"/>
                    </w:rPr>
                    <m:t>2</m:t>
                  </m:r>
                  <m:ctrlPr>
                    <w:rPr>
                      <w:rFonts w:hint="default" w:ascii="Cambria Math"/>
                    </w:rPr>
                  </m:ctrlPr>
                </m:sub>
              </m:sSub>
            </m:oMath>
            <w:r>
              <w:rPr>
                <w:rFonts w:hint="default"/>
              </w:rPr>
              <w:t xml:space="preserve">） </w:t>
            </w:r>
            <m:oMath>
              <m:r>
                <m:rPr/>
                <w:rPr>
                  <w:rFonts w:hint="default" w:ascii="Cambria Math"/>
                </w:rPr>
                <m:t>→</m:t>
              </m:r>
            </m:oMath>
            <w:r>
              <w:rPr>
                <w:rFonts w:hint="default"/>
              </w:rPr>
              <w:t xml:space="preserve"> 判定为“未知障碍物（Unknown Obstacle）”。</w:t>
            </w:r>
          </w:p>
          <w:p w14:paraId="4F769360">
            <w:pPr>
              <w:rPr>
                <w:rFonts w:hint="eastAsia" w:eastAsia="宋体"/>
                <w:lang w:eastAsia="zh-CN"/>
              </w:rPr>
            </w:pPr>
            <w:r>
              <w:rPr>
                <w:rFonts w:hint="eastAsia" w:eastAsia="宋体"/>
                <w:lang w:eastAsia="zh-CN"/>
              </w:rPr>
              <w:drawing>
                <wp:inline distT="0" distB="0" distL="114300" distR="114300">
                  <wp:extent cx="4932045" cy="3683000"/>
                  <wp:effectExtent l="0" t="0" r="8255" b="0"/>
                  <wp:docPr id="9" name="图片 9" descr="Gemini_Generated_Image_nhqsu6nhqsu6nhq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Gemini_Generated_Image_nhqsu6nhqsu6nhqs"/>
                          <pic:cNvPicPr>
                            <a:picLocks noChangeAspect="1"/>
                          </pic:cNvPicPr>
                        </pic:nvPicPr>
                        <pic:blipFill>
                          <a:blip r:embed="rId14"/>
                          <a:stretch>
                            <a:fillRect/>
                          </a:stretch>
                        </pic:blipFill>
                        <pic:spPr>
                          <a:xfrm>
                            <a:off x="0" y="0"/>
                            <a:ext cx="4932045" cy="3683000"/>
                          </a:xfrm>
                          <a:prstGeom prst="rect">
                            <a:avLst/>
                          </a:prstGeom>
                        </pic:spPr>
                      </pic:pic>
                    </a:graphicData>
                  </a:graphic>
                </wp:inline>
              </w:drawing>
            </w:r>
          </w:p>
          <w:p w14:paraId="0D95840B">
            <w:pPr>
              <w:rPr>
                <w:rFonts w:hint="default" w:eastAsia="宋体"/>
                <w:lang w:eastAsia="zh-CN"/>
              </w:rPr>
            </w:pPr>
            <w:r>
              <w:rPr>
                <w:rFonts w:hint="default" w:eastAsia="宋体"/>
                <w:sz w:val="18"/>
                <w:szCs w:val="18"/>
                <w:lang w:eastAsia="zh-CN"/>
              </w:rPr>
              <w:t>图 4-3： 开放世界推理逻辑。位于右下角（高物体性、低分类分）的样本被判定为未知障碍物</w:t>
            </w:r>
          </w:p>
          <w:p w14:paraId="192C83C0">
            <w:pPr>
              <w:rPr>
                <w:rFonts w:hint="default"/>
              </w:rPr>
            </w:pPr>
            <w:r>
              <w:rPr>
                <w:rFonts w:hint="default"/>
                <w:b/>
                <w:bCs/>
              </w:rPr>
              <w:t>4. 算法流程图描述：</w:t>
            </w:r>
          </w:p>
          <w:p w14:paraId="796CA8BA">
            <w:pPr>
              <w:rPr>
                <w:rFonts w:hint="default"/>
              </w:rPr>
            </w:pPr>
            <w:r>
              <w:rPr>
                <w:rFonts w:hint="eastAsia" w:ascii="宋体" w:hAnsi="宋体" w:eastAsia="宋体" w:cs="宋体"/>
                <w:kern w:val="2"/>
                <w:sz w:val="21"/>
                <w:szCs w:val="21"/>
              </w:rPr>
              <w:t>·</w:t>
            </w:r>
            <w:r>
              <w:rPr>
                <w:rFonts w:hint="default"/>
              </w:rPr>
              <w:t>输入： LiDAR 点云 + Camera 图像。</w:t>
            </w:r>
          </w:p>
          <w:p w14:paraId="6E5D8278">
            <w:pPr>
              <w:rPr>
                <w:rFonts w:hint="default"/>
              </w:rPr>
            </w:pPr>
            <w:r>
              <w:rPr>
                <w:rFonts w:hint="eastAsia" w:ascii="宋体" w:hAnsi="宋体" w:eastAsia="宋体" w:cs="宋体"/>
                <w:kern w:val="2"/>
                <w:sz w:val="21"/>
                <w:szCs w:val="21"/>
              </w:rPr>
              <w:t>·</w:t>
            </w:r>
            <w:r>
              <w:rPr>
                <w:rFonts w:hint="default"/>
              </w:rPr>
              <w:t>Backbone： VoxelNet + Swin-T。</w:t>
            </w:r>
          </w:p>
          <w:p w14:paraId="0BD0C9DE">
            <w:pPr>
              <w:rPr>
                <w:rFonts w:hint="default"/>
              </w:rPr>
            </w:pPr>
            <w:r>
              <w:rPr>
                <w:rFonts w:hint="eastAsia" w:ascii="宋体" w:hAnsi="宋体" w:eastAsia="宋体" w:cs="宋体"/>
                <w:kern w:val="2"/>
                <w:sz w:val="21"/>
                <w:szCs w:val="21"/>
              </w:rPr>
              <w:t>·</w:t>
            </w:r>
            <w:r>
              <w:rPr>
                <w:rFonts w:hint="default"/>
              </w:rPr>
              <w:t>Fusion： 几何掩码点乘图像特征。</w:t>
            </w:r>
          </w:p>
          <w:p w14:paraId="44FA6D6B">
            <w:r>
              <w:rPr>
                <w:rFonts w:hint="eastAsia" w:ascii="宋体" w:hAnsi="宋体" w:eastAsia="宋体" w:cs="宋体"/>
                <w:kern w:val="2"/>
                <w:sz w:val="21"/>
                <w:szCs w:val="21"/>
              </w:rPr>
              <w:t>·</w:t>
            </w:r>
            <w:r>
              <w:rPr>
                <w:rFonts w:hint="default"/>
              </w:rPr>
              <w:t>Head：</w:t>
            </w:r>
          </w:p>
          <w:p w14:paraId="7868A573">
            <w:pPr>
              <w:ind w:firstLine="840" w:firstLineChars="400"/>
            </w:pPr>
            <w:r>
              <w:rPr>
                <w:rFonts w:hint="eastAsia" w:ascii="宋体" w:hAnsi="宋体" w:eastAsia="宋体" w:cs="宋体"/>
                <w:kern w:val="2"/>
                <w:sz w:val="21"/>
                <w:szCs w:val="21"/>
              </w:rPr>
              <w:t>·</w:t>
            </w:r>
            <m:oMath>
              <m:r>
                <m:rPr/>
                <w:rPr>
                  <w:rFonts w:hint="default" w:ascii="Cambria Math"/>
                </w:rPr>
                <m:t>→</m:t>
              </m:r>
            </m:oMath>
            <w:r>
              <w:rPr>
                <w:rFonts w:hint="default"/>
              </w:rPr>
              <w:t xml:space="preserve">分支 1：Sigmoid 激活 </w:t>
            </w:r>
            <m:oMath>
              <m:r>
                <m:rPr/>
                <w:rPr>
                  <w:rFonts w:hint="default" w:ascii="Cambria Math"/>
                </w:rPr>
                <m:t>→</m:t>
              </m:r>
            </m:oMath>
            <w:r>
              <w:rPr>
                <w:rFonts w:hint="default"/>
              </w:rPr>
              <w:t xml:space="preserve">输出 </w:t>
            </w:r>
            <m:oMath>
              <m:r>
                <m:rPr/>
                <w:rPr>
                  <w:rFonts w:hint="default" w:ascii="Cambria Math"/>
                </w:rPr>
                <m:t>1</m:t>
              </m:r>
              <m:r>
                <m:rPr>
                  <m:sty m:val="p"/>
                </m:rPr>
                <w:rPr>
                  <w:rFonts w:hint="default" w:ascii="Cambria Math"/>
                </w:rPr>
                <m:t>×</m:t>
              </m:r>
              <m:r>
                <m:rPr/>
                <w:rPr>
                  <w:rFonts w:hint="default" w:ascii="Cambria Math"/>
                </w:rPr>
                <m:t>H</m:t>
              </m:r>
              <m:r>
                <m:rPr>
                  <m:sty m:val="p"/>
                </m:rPr>
                <w:rPr>
                  <w:rFonts w:hint="default" w:ascii="Cambria Math"/>
                </w:rPr>
                <m:t>×</m:t>
              </m:r>
              <m:r>
                <m:rPr/>
                <w:rPr>
                  <w:rFonts w:hint="default" w:ascii="Cambria Math"/>
                </w:rPr>
                <m:t>W</m:t>
              </m:r>
            </m:oMath>
            <w:r>
              <w:rPr>
                <w:rFonts w:hint="default"/>
              </w:rPr>
              <w:t>热力图（物体性）。</w:t>
            </w:r>
          </w:p>
          <w:p w14:paraId="4188C46F">
            <w:pPr>
              <w:ind w:firstLine="840" w:firstLineChars="400"/>
            </w:pPr>
            <w:r>
              <w:rPr>
                <w:rFonts w:hint="eastAsia" w:ascii="宋体" w:hAnsi="宋体" w:eastAsia="宋体" w:cs="宋体"/>
                <w:kern w:val="2"/>
                <w:sz w:val="21"/>
                <w:szCs w:val="21"/>
              </w:rPr>
              <w:t>·</w:t>
            </w:r>
            <m:oMath>
              <m:r>
                <m:rPr/>
                <w:rPr>
                  <w:rFonts w:hint="default" w:ascii="Cambria Math"/>
                </w:rPr>
                <m:t>→</m:t>
              </m:r>
            </m:oMath>
            <w:r>
              <w:rPr>
                <w:rFonts w:hint="default"/>
              </w:rPr>
              <w:t xml:space="preserve">分支 1：Softmax  激活 </w:t>
            </w:r>
            <m:oMath>
              <m:r>
                <m:rPr/>
                <w:rPr>
                  <w:rFonts w:hint="default" w:ascii="Cambria Math"/>
                </w:rPr>
                <m:t>→</m:t>
              </m:r>
            </m:oMath>
            <w:r>
              <w:rPr>
                <w:rFonts w:hint="default"/>
              </w:rPr>
              <w:t>输出</w:t>
            </w:r>
            <m:oMath>
              <m:r>
                <m:rPr/>
                <w:rPr>
                  <w:rFonts w:hint="default" w:ascii="Cambria Math"/>
                </w:rPr>
                <m:t>K</m:t>
              </m:r>
              <m:r>
                <m:rPr>
                  <m:sty m:val="p"/>
                </m:rPr>
                <w:rPr>
                  <w:rFonts w:hint="default" w:ascii="Cambria Math"/>
                </w:rPr>
                <m:t>×</m:t>
              </m:r>
              <m:r>
                <m:rPr/>
                <w:rPr>
                  <w:rFonts w:hint="default" w:ascii="Cambria Math"/>
                </w:rPr>
                <m:t>H</m:t>
              </m:r>
              <m:r>
                <m:rPr>
                  <m:sty m:val="p"/>
                </m:rPr>
                <w:rPr>
                  <w:rFonts w:hint="default" w:ascii="Cambria Math"/>
                </w:rPr>
                <m:t>×</m:t>
              </m:r>
              <m:r>
                <m:rPr/>
                <w:rPr>
                  <w:rFonts w:hint="default" w:ascii="Cambria Math"/>
                </w:rPr>
                <m:t>W</m:t>
              </m:r>
            </m:oMath>
            <w:r>
              <w:rPr>
                <w:rFonts w:hint="default"/>
              </w:rPr>
              <w:t>热力图（物体性）。</w:t>
            </w:r>
          </w:p>
          <w:p w14:paraId="3093F9EC">
            <w:r>
              <w:rPr>
                <w:rFonts w:hint="default"/>
              </w:rPr>
              <w:t>Logic： if (Obj &gt; 0.5) and (Max_Class &lt; 0.3) then Output "Unknown".</w:t>
            </w:r>
          </w:p>
          <w:p w14:paraId="4B24C2BE">
            <w:pPr>
              <w:rPr>
                <w:rFonts w:hint="default"/>
              </w:rPr>
            </w:pPr>
          </w:p>
          <w:p w14:paraId="6CDA3B76">
            <w:pPr>
              <w:ind w:left="0" w:leftChars="0" w:firstLine="0" w:firstLineChars="0"/>
            </w:pPr>
          </w:p>
          <w:p w14:paraId="7464FCD6">
            <w:pPr>
              <w:pStyle w:val="3"/>
              <w:rPr>
                <w:rFonts w:hint="eastAsia"/>
                <w:sz w:val="24"/>
                <w:szCs w:val="24"/>
              </w:rPr>
            </w:pPr>
            <w:r>
              <w:rPr>
                <w:rFonts w:hint="eastAsia"/>
                <w:sz w:val="24"/>
                <w:szCs w:val="24"/>
              </w:rPr>
              <w:t>4.4可能用到的框架，算法的简单介绍</w:t>
            </w:r>
          </w:p>
          <w:p w14:paraId="5C7A186C">
            <w:r>
              <w:t>为了确保毕设能够顺利落地，本研究将基于成熟的开源工具进行二次开发：</w:t>
            </w:r>
          </w:p>
          <w:p w14:paraId="7D2BB5E4">
            <w:r>
              <w:rPr>
                <w:rFonts w:hint="eastAsia"/>
                <w:lang w:val="en-US" w:eastAsia="zh-CN"/>
              </w:rPr>
              <w:t>1.</w:t>
            </w:r>
            <w:r>
              <w:t>MMDetection3D 框架： 这是目前学术界最常用的 3D 检测代码库，提供了大量预训练模型。</w:t>
            </w:r>
          </w:p>
          <w:p w14:paraId="2D938B09">
            <w:r>
              <w:t>用途： 利用其现有的数据加载器（Data Loader）和评估脚本，避免重复造轮子。</w:t>
            </w:r>
          </w:p>
          <w:p w14:paraId="27FE3FA4">
            <w:r>
              <w:rPr>
                <w:rFonts w:hint="eastAsia"/>
                <w:lang w:val="en-US" w:eastAsia="zh-CN"/>
              </w:rPr>
              <w:t>2.</w:t>
            </w:r>
            <w:r>
              <w:t>BEVFusion / CenterPoint 算法：</w:t>
            </w:r>
          </w:p>
          <w:p w14:paraId="20A4D3C2">
            <w:r>
              <w:rPr>
                <w:rFonts w:hint="eastAsia" w:ascii="宋体" w:hAnsi="宋体" w:eastAsia="宋体" w:cs="宋体"/>
                <w:kern w:val="2"/>
                <w:sz w:val="21"/>
                <w:szCs w:val="21"/>
              </w:rPr>
              <w:t>·</w:t>
            </w:r>
            <w:r>
              <w:t>CenterPoint： 作为“物体性分支”的算法基础。因为它基于中心点检测，非常适合不区分方向和类别的通用障碍物检测。</w:t>
            </w:r>
          </w:p>
          <w:p w14:paraId="57D62C7E">
            <w:r>
              <w:rPr>
                <w:rFonts w:hint="eastAsia" w:ascii="宋体" w:hAnsi="宋体" w:eastAsia="宋体" w:cs="宋体"/>
                <w:kern w:val="2"/>
                <w:sz w:val="21"/>
                <w:szCs w:val="21"/>
              </w:rPr>
              <w:t>·</w:t>
            </w:r>
            <w:r>
              <w:t>BEVFusion： 作为整体架构的参考，利用其 LSS 模块处理图像数据。</w:t>
            </w:r>
          </w:p>
          <w:p w14:paraId="5919D1F7">
            <w:r>
              <w:rPr>
                <w:rFonts w:hint="eastAsia"/>
                <w:lang w:val="en-US" w:eastAsia="zh-CN"/>
              </w:rPr>
              <w:t>3.</w:t>
            </w:r>
            <w:r>
              <w:t>CBAM (Convolutional Block Attention Module)： 一种轻量级的注意力机制算法。</w:t>
            </w:r>
          </w:p>
          <w:p w14:paraId="34697E34">
            <w:r>
              <w:t>用途： 在融合模块中，用来实现“空间注意力”，即利用点云的空间分布去加权图像特征。</w:t>
            </w:r>
          </w:p>
          <w:p w14:paraId="04A6DD3D">
            <w:r>
              <w:rPr>
                <w:rFonts w:hint="eastAsia"/>
                <w:lang w:val="en-US" w:eastAsia="zh-CN"/>
              </w:rPr>
              <w:t>4.</w:t>
            </w:r>
            <w:r>
              <w:t>CutMix 数据增强：</w:t>
            </w:r>
          </w:p>
          <w:p w14:paraId="6CC6DC26">
            <w:r>
              <w:t>用途： 在训练时，把“卡车”的点云剪切下来，随机旋转、缩放，扔到路面上，并去掉类别标签。强迫模型去学习“识别一个没有类别的物体”，从而模拟开放世界环境。</w:t>
            </w:r>
          </w:p>
          <w:p w14:paraId="67CF9A2F"/>
          <w:p w14:paraId="751E9BF1"/>
          <w:p w14:paraId="5099B032">
            <w:pPr>
              <w:ind w:firstLine="420"/>
            </w:pPr>
          </w:p>
          <w:p w14:paraId="5EEC2941">
            <w:pPr>
              <w:pStyle w:val="2"/>
            </w:pPr>
            <w:r>
              <w:rPr>
                <w:rFonts w:hint="eastAsia"/>
              </w:rPr>
              <w:t>5计划进度</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12"/>
              <w:gridCol w:w="4612"/>
            </w:tblGrid>
            <w:tr w14:paraId="29BE8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2" w:type="dxa"/>
                </w:tcPr>
                <w:p w14:paraId="218CA40D">
                  <w:pPr>
                    <w:ind w:firstLine="0" w:firstLineChars="0"/>
                    <w:rPr>
                      <w:kern w:val="0"/>
                      <w:sz w:val="20"/>
                    </w:rPr>
                  </w:pPr>
                  <w:r>
                    <w:rPr>
                      <w:rFonts w:hint="eastAsia"/>
                      <w:kern w:val="0"/>
                      <w:sz w:val="20"/>
                    </w:rPr>
                    <w:t>时间段</w:t>
                  </w:r>
                </w:p>
              </w:tc>
              <w:tc>
                <w:tcPr>
                  <w:tcW w:w="4612" w:type="dxa"/>
                </w:tcPr>
                <w:p w14:paraId="2B7E5CE5">
                  <w:pPr>
                    <w:ind w:firstLine="0" w:firstLineChars="0"/>
                    <w:rPr>
                      <w:kern w:val="0"/>
                      <w:sz w:val="20"/>
                    </w:rPr>
                  </w:pPr>
                  <w:r>
                    <w:rPr>
                      <w:rFonts w:hint="eastAsia"/>
                      <w:kern w:val="0"/>
                      <w:sz w:val="20"/>
                    </w:rPr>
                    <w:t>任务计划</w:t>
                  </w:r>
                </w:p>
              </w:tc>
            </w:tr>
            <w:tr w14:paraId="05160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2" w:type="dxa"/>
                </w:tcPr>
                <w:p w14:paraId="0CC0E198">
                  <w:pPr>
                    <w:ind w:firstLine="0" w:firstLineChars="0"/>
                    <w:rPr>
                      <w:kern w:val="0"/>
                      <w:sz w:val="20"/>
                    </w:rPr>
                  </w:pPr>
                  <w:r>
                    <w:rPr>
                      <w:rFonts w:hint="eastAsia"/>
                      <w:kern w:val="0"/>
                      <w:sz w:val="20"/>
                    </w:rPr>
                    <w:t>1月1日-2月16日</w:t>
                  </w:r>
                </w:p>
              </w:tc>
              <w:tc>
                <w:tcPr>
                  <w:tcW w:w="4612" w:type="dxa"/>
                </w:tcPr>
                <w:p w14:paraId="5E9B40E9">
                  <w:pPr>
                    <w:ind w:firstLine="0" w:firstLineChars="0"/>
                    <w:rPr>
                      <w:kern w:val="0"/>
                      <w:sz w:val="20"/>
                    </w:rPr>
                  </w:pPr>
                  <w:r>
                    <w:rPr>
                      <w:rFonts w:hint="eastAsia"/>
                      <w:kern w:val="0"/>
                      <w:sz w:val="20"/>
                    </w:rPr>
                    <w:t>收集资料，学习相关知识。</w:t>
                  </w:r>
                </w:p>
              </w:tc>
            </w:tr>
            <w:tr w14:paraId="7EFCD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2" w:type="dxa"/>
                </w:tcPr>
                <w:p w14:paraId="3974922F">
                  <w:pPr>
                    <w:ind w:firstLine="0" w:firstLineChars="0"/>
                    <w:rPr>
                      <w:kern w:val="0"/>
                      <w:sz w:val="20"/>
                    </w:rPr>
                  </w:pPr>
                  <w:r>
                    <w:rPr>
                      <w:rFonts w:hint="eastAsia"/>
                      <w:kern w:val="0"/>
                      <w:sz w:val="20"/>
                    </w:rPr>
                    <w:t>2月17日-3月15日</w:t>
                  </w:r>
                </w:p>
              </w:tc>
              <w:tc>
                <w:tcPr>
                  <w:tcW w:w="4612" w:type="dxa"/>
                </w:tcPr>
                <w:p w14:paraId="4818EB04">
                  <w:pPr>
                    <w:ind w:firstLine="0" w:firstLineChars="0"/>
                    <w:rPr>
                      <w:kern w:val="0"/>
                      <w:sz w:val="20"/>
                    </w:rPr>
                  </w:pPr>
                  <w:r>
                    <w:rPr>
                      <w:rFonts w:hint="eastAsia"/>
                      <w:kern w:val="0"/>
                      <w:sz w:val="20"/>
                    </w:rPr>
                    <w:t>开题准备和论文翻译。</w:t>
                  </w:r>
                </w:p>
              </w:tc>
            </w:tr>
            <w:tr w14:paraId="6E66A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2" w:type="dxa"/>
                </w:tcPr>
                <w:p w14:paraId="46136249">
                  <w:pPr>
                    <w:ind w:firstLine="0" w:firstLineChars="0"/>
                    <w:rPr>
                      <w:kern w:val="0"/>
                      <w:sz w:val="20"/>
                    </w:rPr>
                  </w:pPr>
                  <w:r>
                    <w:rPr>
                      <w:rFonts w:hint="eastAsia"/>
                      <w:kern w:val="0"/>
                      <w:sz w:val="20"/>
                    </w:rPr>
                    <w:t>3月16日-5月15日</w:t>
                  </w:r>
                </w:p>
              </w:tc>
              <w:tc>
                <w:tcPr>
                  <w:tcW w:w="4612" w:type="dxa"/>
                </w:tcPr>
                <w:p w14:paraId="70AE6BB3">
                  <w:pPr>
                    <w:ind w:firstLine="0" w:firstLineChars="0"/>
                    <w:rPr>
                      <w:kern w:val="0"/>
                      <w:sz w:val="20"/>
                    </w:rPr>
                  </w:pPr>
                  <w:r>
                    <w:rPr>
                      <w:rFonts w:hint="eastAsia"/>
                      <w:kern w:val="0"/>
                      <w:sz w:val="20"/>
                    </w:rPr>
                    <w:t>系统的逐步实现和后续优化。</w:t>
                  </w:r>
                </w:p>
              </w:tc>
            </w:tr>
            <w:tr w14:paraId="2C2A9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2" w:type="dxa"/>
                </w:tcPr>
                <w:p w14:paraId="7271CE64">
                  <w:pPr>
                    <w:ind w:firstLine="0" w:firstLineChars="0"/>
                    <w:rPr>
                      <w:kern w:val="0"/>
                      <w:sz w:val="20"/>
                    </w:rPr>
                  </w:pPr>
                  <w:r>
                    <w:rPr>
                      <w:rFonts w:hint="eastAsia"/>
                      <w:kern w:val="0"/>
                      <w:sz w:val="20"/>
                    </w:rPr>
                    <w:t>5月16日-6月1日</w:t>
                  </w:r>
                </w:p>
              </w:tc>
              <w:tc>
                <w:tcPr>
                  <w:tcW w:w="4612" w:type="dxa"/>
                </w:tcPr>
                <w:p w14:paraId="1307C559">
                  <w:pPr>
                    <w:ind w:firstLine="0" w:firstLineChars="0"/>
                    <w:rPr>
                      <w:kern w:val="0"/>
                      <w:sz w:val="20"/>
                    </w:rPr>
                  </w:pPr>
                  <w:r>
                    <w:rPr>
                      <w:rFonts w:hint="eastAsia"/>
                      <w:kern w:val="0"/>
                      <w:sz w:val="20"/>
                    </w:rPr>
                    <w:t>撰写论文，准备答辩。</w:t>
                  </w:r>
                </w:p>
              </w:tc>
            </w:tr>
          </w:tbl>
          <w:p w14:paraId="461E3DF9">
            <w:pPr>
              <w:pStyle w:val="3"/>
            </w:pPr>
          </w:p>
          <w:p w14:paraId="24F7904F">
            <w:pPr>
              <w:pStyle w:val="3"/>
            </w:pPr>
            <w:r>
              <w:rPr>
                <w:rFonts w:hint="eastAsia"/>
              </w:rPr>
              <w:t>6主要参考文献</w:t>
            </w:r>
            <w:bookmarkStart w:id="0" w:name="_Hlk35250466"/>
          </w:p>
          <w:bookmarkEnd w:id="0"/>
          <w:p w14:paraId="5B1AEA5E">
            <w:pPr>
              <w:numPr>
                <w:ilvl w:val="0"/>
                <w:numId w:val="2"/>
              </w:numPr>
              <w:snapToGrid w:val="0"/>
              <w:ind w:left="630" w:leftChars="0" w:firstLineChars="0"/>
              <w:rPr>
                <w:rFonts w:hint="eastAsia" w:ascii="宋体" w:hAnsi="宋体" w:eastAsia="宋体" w:cs="宋体"/>
                <w:b w:val="0"/>
                <w:bCs w:val="0"/>
              </w:rPr>
            </w:pPr>
            <w:r>
              <w:rPr>
                <w:rFonts w:hint="eastAsia" w:ascii="宋体" w:hAnsi="宋体" w:eastAsia="宋体" w:cs="宋体"/>
                <w:b w:val="0"/>
                <w:bCs w:val="0"/>
              </w:rPr>
              <w:t>ObjectFusion: Multi-modal 3D Object Detection with Object-Centric Fusion ICCV2023</w:t>
            </w:r>
          </w:p>
          <w:p w14:paraId="41B44293">
            <w:pPr>
              <w:numPr>
                <w:ilvl w:val="0"/>
                <w:numId w:val="2"/>
              </w:numPr>
              <w:snapToGrid w:val="0"/>
              <w:ind w:left="630" w:leftChars="0" w:firstLineChars="0"/>
              <w:rPr>
                <w:rFonts w:hint="eastAsia" w:ascii="宋体" w:hAnsi="宋体" w:eastAsia="宋体" w:cs="宋体"/>
                <w:b w:val="0"/>
                <w:bCs w:val="0"/>
              </w:rPr>
            </w:pPr>
            <w:r>
              <w:rPr>
                <w:rFonts w:hint="eastAsia" w:ascii="宋体" w:hAnsi="宋体" w:eastAsia="宋体" w:cs="宋体"/>
                <w:b w:val="0"/>
                <w:bCs w:val="0"/>
              </w:rPr>
              <w:t>Open World Object Detection: A Survey.  IEEE TCSVT 2025</w:t>
            </w:r>
          </w:p>
          <w:p w14:paraId="594698E8">
            <w:pPr>
              <w:numPr>
                <w:ilvl w:val="0"/>
                <w:numId w:val="2"/>
              </w:numPr>
              <w:snapToGrid w:val="0"/>
              <w:ind w:left="630" w:leftChars="0" w:firstLineChars="0"/>
              <w:rPr>
                <w:rFonts w:hint="eastAsia" w:ascii="宋体" w:hAnsi="宋体" w:eastAsia="宋体" w:cs="宋体"/>
                <w:b w:val="0"/>
                <w:bCs w:val="0"/>
              </w:rPr>
            </w:pPr>
            <w:r>
              <w:rPr>
                <w:rFonts w:hint="eastAsia" w:ascii="宋体" w:hAnsi="宋体" w:eastAsia="宋体" w:cs="宋体"/>
                <w:b w:val="0"/>
                <w:bCs w:val="0"/>
                <w:sz w:val="24"/>
                <w:szCs w:val="24"/>
              </w:rPr>
              <w:t>OW-DETR: Open-world Detection Transformer. CVPR 2022</w:t>
            </w:r>
          </w:p>
          <w:p w14:paraId="78F3424F">
            <w:pPr>
              <w:numPr>
                <w:ilvl w:val="0"/>
                <w:numId w:val="2"/>
              </w:numPr>
              <w:snapToGrid w:val="0"/>
              <w:ind w:left="630" w:leftChars="0" w:firstLineChars="0"/>
              <w:rPr>
                <w:rFonts w:hint="eastAsia" w:ascii="宋体" w:hAnsi="宋体" w:eastAsia="宋体" w:cs="宋体"/>
                <w:b w:val="0"/>
                <w:bCs w:val="0"/>
              </w:rPr>
            </w:pPr>
            <w:r>
              <w:rPr>
                <w:rFonts w:hint="eastAsia" w:ascii="宋体" w:hAnsi="宋体" w:eastAsia="宋体" w:cs="宋体"/>
                <w:b w:val="0"/>
                <w:bCs w:val="0"/>
              </w:rPr>
              <w:t>3D Multi-Modal Object Detection Based on Cross-Attention Feature Fusion. ICRA 2025</w:t>
            </w:r>
          </w:p>
          <w:p w14:paraId="27F9FE38">
            <w:pPr>
              <w:numPr>
                <w:ilvl w:val="0"/>
                <w:numId w:val="2"/>
              </w:numPr>
              <w:snapToGrid w:val="0"/>
              <w:ind w:left="630" w:leftChars="0" w:firstLineChars="0"/>
              <w:rPr>
                <w:rFonts w:hint="eastAsia" w:ascii="宋体" w:hAnsi="宋体" w:eastAsia="宋体" w:cs="宋体"/>
                <w:b w:val="0"/>
                <w:bCs w:val="0"/>
                <w:color w:val="000000"/>
                <w:sz w:val="24"/>
              </w:rPr>
            </w:pPr>
            <w:r>
              <w:rPr>
                <w:rFonts w:hint="eastAsia" w:ascii="宋体" w:hAnsi="宋体" w:eastAsia="宋体" w:cs="宋体"/>
                <w:b w:val="0"/>
                <w:bCs w:val="0"/>
              </w:rPr>
              <w:t>Detecting Open World Objects via Partial Attribute Assignment. CVPR 2025</w:t>
            </w:r>
          </w:p>
          <w:p w14:paraId="18BF7783">
            <w:pPr>
              <w:numPr>
                <w:ilvl w:val="0"/>
                <w:numId w:val="2"/>
              </w:numPr>
              <w:snapToGrid w:val="0"/>
              <w:ind w:left="630" w:leftChars="0" w:firstLineChars="0"/>
              <w:rPr>
                <w:rFonts w:hint="eastAsia" w:ascii="宋体" w:hAnsi="宋体" w:eastAsia="宋体" w:cs="宋体"/>
                <w:b w:val="0"/>
                <w:bCs w:val="0"/>
                <w:color w:val="000000"/>
                <w:sz w:val="24"/>
              </w:rPr>
            </w:pPr>
            <w:r>
              <w:rPr>
                <w:rFonts w:hint="eastAsia" w:ascii="宋体" w:hAnsi="宋体" w:eastAsia="宋体" w:cs="宋体"/>
                <w:b w:val="0"/>
                <w:bCs w:val="0"/>
                <w:color w:val="000000"/>
                <w:sz w:val="24"/>
              </w:rPr>
              <w:t>Multi-Modal Data Fusion for 3D Object Detection Using Dual-Attention Mechanism. Sensors 2025</w:t>
            </w:r>
          </w:p>
          <w:p w14:paraId="149E428A">
            <w:pPr>
              <w:numPr>
                <w:ilvl w:val="0"/>
                <w:numId w:val="2"/>
              </w:numPr>
              <w:snapToGrid w:val="0"/>
              <w:ind w:left="630" w:leftChars="0" w:firstLineChars="0"/>
              <w:rPr>
                <w:rFonts w:hint="eastAsia" w:ascii="宋体" w:hAnsi="宋体" w:eastAsia="宋体" w:cs="宋体"/>
                <w:b w:val="0"/>
                <w:bCs w:val="0"/>
                <w:color w:val="000000"/>
                <w:sz w:val="24"/>
              </w:rPr>
            </w:pPr>
            <w:r>
              <w:rPr>
                <w:rFonts w:hint="eastAsia" w:ascii="宋体" w:hAnsi="宋体" w:eastAsia="宋体" w:cs="宋体"/>
                <w:b w:val="0"/>
                <w:bCs w:val="0"/>
                <w:sz w:val="24"/>
                <w:szCs w:val="24"/>
              </w:rPr>
              <w:t>BEVFusion: Multi-Task Multi-Sensor Fusion with Unified Bird's-Eye View Representation. ICRA 2023</w:t>
            </w:r>
          </w:p>
          <w:p w14:paraId="55061EBA">
            <w:pPr>
              <w:numPr>
                <w:ilvl w:val="0"/>
                <w:numId w:val="2"/>
              </w:numPr>
              <w:snapToGrid w:val="0"/>
              <w:ind w:left="630" w:leftChars="0" w:firstLineChars="0"/>
              <w:rPr>
                <w:rFonts w:hint="eastAsia" w:ascii="宋体" w:hAnsi="宋体" w:eastAsia="宋体" w:cs="宋体"/>
                <w:b w:val="0"/>
                <w:bCs w:val="0"/>
                <w:color w:val="000000"/>
                <w:sz w:val="24"/>
              </w:rPr>
            </w:pPr>
            <w:r>
              <w:rPr>
                <w:rFonts w:hint="eastAsia" w:ascii="宋体" w:hAnsi="宋体" w:eastAsia="宋体" w:cs="宋体"/>
                <w:b w:val="0"/>
                <w:bCs w:val="0"/>
                <w:sz w:val="24"/>
                <w:szCs w:val="24"/>
              </w:rPr>
              <w:t>TransFusion: Robust LiDAR-Camera Fusion for 3D Object Detection with Transformers. CVPR 2022</w:t>
            </w:r>
          </w:p>
          <w:p w14:paraId="49D5FDD8">
            <w:pPr>
              <w:numPr>
                <w:ilvl w:val="0"/>
                <w:numId w:val="2"/>
              </w:numPr>
              <w:snapToGrid w:val="0"/>
              <w:ind w:left="630" w:leftChars="0" w:firstLineChars="0"/>
              <w:rPr>
                <w:rFonts w:hint="eastAsia" w:ascii="宋体" w:hAnsi="宋体" w:eastAsia="宋体" w:cs="宋体"/>
                <w:b w:val="0"/>
                <w:bCs w:val="0"/>
                <w:color w:val="000000"/>
                <w:sz w:val="24"/>
              </w:rPr>
            </w:pPr>
            <w:r>
              <w:rPr>
                <w:rFonts w:hint="eastAsia" w:ascii="宋体" w:hAnsi="宋体" w:eastAsia="宋体" w:cs="宋体"/>
                <w:b w:val="0"/>
                <w:bCs w:val="0"/>
                <w:sz w:val="24"/>
                <w:szCs w:val="24"/>
              </w:rPr>
              <w:t>OpenAD: Open-World Autonomous Driving Benchmark for 3D Object Detection (CVPR 2024/2025)</w:t>
            </w:r>
          </w:p>
          <w:p w14:paraId="2742C477">
            <w:pPr>
              <w:numPr>
                <w:ilvl w:val="0"/>
                <w:numId w:val="2"/>
              </w:numPr>
              <w:snapToGrid w:val="0"/>
              <w:ind w:left="630" w:leftChars="0" w:firstLineChars="0"/>
              <w:rPr>
                <w:rFonts w:hint="eastAsia" w:ascii="宋体" w:hAnsi="宋体" w:eastAsia="宋体" w:cs="宋体"/>
                <w:b w:val="0"/>
                <w:bCs w:val="0"/>
                <w:color w:val="000000"/>
                <w:sz w:val="24"/>
              </w:rPr>
            </w:pPr>
            <w:r>
              <w:rPr>
                <w:rFonts w:hint="eastAsia" w:ascii="宋体" w:hAnsi="宋体" w:eastAsia="宋体" w:cs="宋体"/>
                <w:b w:val="0"/>
                <w:bCs w:val="0"/>
                <w:sz w:val="24"/>
                <w:szCs w:val="24"/>
              </w:rPr>
              <w:t>LGMMFusion: A LiDAR-guided Multi-modal Fusion Framework (PLOS ONE 2025)</w:t>
            </w:r>
          </w:p>
          <w:p w14:paraId="163DF911">
            <w:pPr>
              <w:pStyle w:val="15"/>
              <w:ind w:left="360" w:firstLine="0" w:firstLineChars="0"/>
            </w:pPr>
          </w:p>
          <w:p w14:paraId="04EACDD6">
            <w:pPr>
              <w:pStyle w:val="3"/>
              <w:rPr>
                <w:rFonts w:hint="eastAsia"/>
              </w:rPr>
            </w:pPr>
            <w:r>
              <w:t>6.1</w:t>
            </w:r>
            <w:r>
              <w:rPr>
                <w:rFonts w:hint="eastAsia"/>
              </w:rPr>
              <w:t>参考文献的内容简介</w:t>
            </w:r>
          </w:p>
          <w:p w14:paraId="7F01F2BB">
            <w:r>
              <w:t>[1] ObjectFusion: Multi-modal 3D Object Detection with Object-Centric Fusion (ICCV 2023) 该论文提出一种以物体为中心的融合策略，通过在物体级别（而非像素级）对齐LiDAR和相机特征，避免了复杂的视图转换误差。它利用热力图生成的提议（Proposals）来提取和融合多模态特征，显著提升了特征对齐的精度和检测性能。</w:t>
            </w:r>
          </w:p>
          <w:p w14:paraId="78B3CD70">
            <w:r>
              <w:t>[2] Open World Object Detection: A Survey (IEEE TCSVT 2025) 本文系统梳理了开放世界目标检测（OWOD）的定义、方法分类及评估体系，清晰区分了其与开放集识别及增量学习的异同。文章重点总结了未知类别发现与持续学习面临的挑战，为该领域的未来研究方向提供了全面指引。</w:t>
            </w:r>
          </w:p>
          <w:p w14:paraId="241CD532">
            <w:r>
              <w:t>[3] OW-DETR: Open-world Detection Transformer (CVPR 2022)</w:t>
            </w:r>
          </w:p>
          <w:p w14:paraId="2D033E00">
            <w:r>
              <w:t>引入了一种基于Transformer的端到端框架，利用注意力机制生成的伪标签来自动发现并标记“未知”物体。这使得模型能够在检测已知类别的同时，有效地识别新出现的未知类别，并支持后续的增量学习。</w:t>
            </w:r>
          </w:p>
          <w:p w14:paraId="16C2957A">
            <w:r>
              <w:t>[4] 3D Multi-Modal Object Detection Based on Cross-Attention Feature Fusion (ICRA 2025) 针对复杂环境下的感知难题，利用交叉注意力机制动态调整不同模态特征的融合权重，解决了简单拼接导致的语义不对齐问题。结合深度加权投票策略，该方法显著增强了系统在恶劣天气或单一传感器受限情况下的鲁棒性。</w:t>
            </w:r>
          </w:p>
          <w:p w14:paraId="65AF5AEC">
            <w:r>
              <w:t>[5] Detecting Open World Objects via Partial Attribute Assignment (CVPR 2025) 提出利用类无关的物理属性（如形状、材质）而非单纯的类别标签来识别开放世界中的物体，通过部分最优传输算法解决属性匹配问题。这种基于属性的解释性方法，使模型能够通过理解物体的物理特性，更好地泛化到从未见过的类别。</w:t>
            </w:r>
          </w:p>
          <w:p w14:paraId="77BF6E8F">
            <w:r>
              <w:t>[6] Multi-Modal Data Fusion for 3D Object Detection Using Dual-Attention Mechanism (Sensors 2025) 设计了包含通道和空间注意力的双重机制，专门解决稀疏点云中小目标特征难以提取的问题。通过结合数据增强与特征级融合，该方法有效提升了对远距离及小尺寸目标（如行人）的检测精度。</w:t>
            </w:r>
          </w:p>
          <w:p w14:paraId="3E5F967C">
            <w:r>
              <w:t>[7] BEVFusion: Multi-Task Multi-Sensor Fusion with Unified Bird's-Eye View Representation (ICRA 2023)</w:t>
            </w:r>
          </w:p>
          <w:p w14:paraId="7F10B5A9">
            <w:r>
              <w:t>创新性地构建了一个统一的BEV空间，将LiDAR和相机特征高效转换并融合，彻底解决了传统方法中视图转换的计算瓶颈。其优化的BEV池化操作在保持极高推理速度的同时，实现了多模态融合精度的重大突破。</w:t>
            </w:r>
          </w:p>
          <w:p w14:paraId="36505298">
            <w:r>
              <w:t>[8] TransFusion: Robust LiDAR-Camera Fusion for 3D Object Detection with Transformers (CVPR 2022) 利用Transformer的软关联机制替代硬投影，让网络自适应地从图像中检索与LiDAR提议相关的特征，解决了空间不对齐问题。这种方法大大提高了融合算法对传感器标定误差及恶劣图像质量（如夜间、模糊）的鲁棒性。</w:t>
            </w:r>
          </w:p>
          <w:p w14:paraId="6A786421">
            <w:r>
              <w:t>[9] OpenAD: Open-World Autonomous Driving Benchmark for 3D Object Detection (CVPR 2024/2025) 建立了首个面向真实自动驾驶场景的3D开放世界检测基准，填补了缺乏针对未知物体测试标准的空白。通过利用大模型挖掘长尾场景和稀有物体，该基准能更严苛地评估模型在开放非结构化环境下的泛化能力。</w:t>
            </w:r>
          </w:p>
          <w:p w14:paraId="502BC5CD">
            <w:r>
              <w:t>[10] LGMMFusion: A LiDAR-guided Multi-modal Fusion Framework (PLOS ONE 2025) 提出一种LiDAR引导的融合框架，利用深度信息在BEV空间内主动引导图像特征的生成与对齐。通过多头自适应注意力机制，它有效纠正了跨模态的空间错位，特别增强了对小目标的检测效果。</w:t>
            </w:r>
          </w:p>
          <w:p w14:paraId="218A9B44"/>
        </w:tc>
      </w:tr>
      <w:tr w14:paraId="5C530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2" w:hRule="atLeast"/>
        </w:trPr>
        <w:tc>
          <w:tcPr>
            <w:tcW w:w="9450" w:type="dxa"/>
          </w:tcPr>
          <w:p w14:paraId="4875DA13">
            <w:pPr>
              <w:spacing w:line="360" w:lineRule="exact"/>
              <w:ind w:firstLine="562"/>
              <w:rPr>
                <w:rFonts w:ascii="黑体" w:hAnsi="宋体" w:eastAsia="黑体"/>
                <w:color w:val="000000"/>
                <w:w w:val="80"/>
              </w:rPr>
            </w:pPr>
            <w:r>
              <w:rPr>
                <w:rFonts w:hint="eastAsia" w:ascii="宋体" w:hAnsi="宋体"/>
                <w:b/>
                <w:bCs/>
                <w:color w:val="000000"/>
                <w:sz w:val="28"/>
              </w:rPr>
              <w:t>指导教师评语：</w:t>
            </w:r>
            <w:r>
              <w:rPr>
                <w:rFonts w:hint="eastAsia" w:ascii="黑体" w:hAnsi="宋体" w:eastAsia="黑体"/>
                <w:color w:val="000000"/>
              </w:rPr>
              <w:t>（</w:t>
            </w:r>
            <w:r>
              <w:rPr>
                <w:rFonts w:hint="eastAsia" w:ascii="黑体" w:hAnsi="宋体" w:eastAsia="黑体"/>
                <w:color w:val="000000"/>
                <w:w w:val="80"/>
              </w:rPr>
              <w:t>建议填写内容：对学生提出的方案给出评语，明确是否同意开题，提出学生完成上述任务的建议、注意事项等）</w:t>
            </w:r>
          </w:p>
          <w:p w14:paraId="41E7697B">
            <w:pPr>
              <w:ind w:firstLine="335"/>
            </w:pPr>
            <w:r>
              <w:rPr>
                <w:rFonts w:hint="eastAsia" w:ascii="黑体" w:hAnsi="宋体" w:eastAsia="黑体"/>
                <w:color w:val="000000"/>
                <w:w w:val="80"/>
              </w:rPr>
              <w:t>实现方案合理，开题材</w:t>
            </w:r>
            <w:r>
              <w:rPr>
                <w:rFonts w:hint="eastAsia"/>
              </w:rPr>
              <w:t>料收集丰富，可以开题。同时注意项目实际要求，保证实现进度和实现效果的可行。尽快进入下阶段的工作，同时在过程中注意问题的发现和改正。</w:t>
            </w:r>
          </w:p>
          <w:p w14:paraId="0B934108">
            <w:pPr>
              <w:ind w:firstLine="562"/>
              <w:rPr>
                <w:rFonts w:ascii="宋体" w:hAnsi="宋体"/>
                <w:b/>
                <w:bCs/>
                <w:color w:val="000000"/>
                <w:sz w:val="28"/>
              </w:rPr>
            </w:pPr>
            <w:r>
              <w:rPr>
                <w:rFonts w:hint="eastAsia" w:ascii="宋体" w:hAnsi="宋体"/>
                <w:b/>
                <w:bCs/>
                <w:color w:val="000000"/>
                <w:sz w:val="28"/>
              </w:rPr>
              <w:t xml:space="preserve">                             </w:t>
            </w:r>
          </w:p>
          <w:p w14:paraId="2B327A51">
            <w:pPr>
              <w:ind w:firstLine="562"/>
              <w:jc w:val="center"/>
              <w:rPr>
                <w:rFonts w:ascii="宋体" w:hAnsi="宋体"/>
                <w:b/>
                <w:bCs/>
                <w:color w:val="000000"/>
                <w:sz w:val="28"/>
              </w:rPr>
            </w:pPr>
            <w:r>
              <w:rPr>
                <w:rFonts w:hint="eastAsia" w:ascii="宋体" w:hAnsi="宋体"/>
                <w:b/>
                <w:bCs/>
                <w:color w:val="000000"/>
                <w:sz w:val="28"/>
              </w:rPr>
              <w:t xml:space="preserve">                             指导教师签名：</w:t>
            </w:r>
          </w:p>
          <w:p w14:paraId="4A8B47EC">
            <w:pPr>
              <w:ind w:firstLine="562"/>
              <w:rPr>
                <w:b/>
                <w:bCs/>
                <w:color w:val="000000"/>
                <w:sz w:val="32"/>
              </w:rPr>
            </w:pPr>
            <w:r>
              <w:rPr>
                <w:rFonts w:hint="eastAsia" w:ascii="宋体" w:hAnsi="宋体"/>
                <w:b/>
                <w:bCs/>
                <w:color w:val="000000"/>
                <w:sz w:val="28"/>
              </w:rPr>
              <w:t xml:space="preserve">                                          202</w:t>
            </w:r>
            <w:r>
              <w:rPr>
                <w:rFonts w:hint="eastAsia" w:ascii="宋体" w:hAnsi="宋体"/>
                <w:b/>
                <w:bCs/>
                <w:color w:val="000000"/>
                <w:sz w:val="28"/>
                <w:lang w:val="en-US" w:eastAsia="zh-CN"/>
              </w:rPr>
              <w:t>4</w:t>
            </w:r>
            <w:r>
              <w:rPr>
                <w:rFonts w:hint="eastAsia" w:ascii="宋体" w:hAnsi="宋体"/>
                <w:b/>
                <w:bCs/>
                <w:color w:val="000000"/>
                <w:sz w:val="28"/>
              </w:rPr>
              <w:t xml:space="preserve">年 </w:t>
            </w:r>
            <w:r>
              <w:rPr>
                <w:rFonts w:hint="eastAsia" w:ascii="宋体" w:hAnsi="宋体"/>
                <w:b/>
                <w:bCs/>
                <w:color w:val="000000"/>
                <w:sz w:val="28"/>
                <w:lang w:val="en-US" w:eastAsia="zh-CN"/>
              </w:rPr>
              <w:t>3</w:t>
            </w:r>
            <w:r>
              <w:rPr>
                <w:rFonts w:hint="eastAsia" w:ascii="宋体" w:hAnsi="宋体"/>
                <w:b/>
                <w:bCs/>
                <w:color w:val="000000"/>
                <w:sz w:val="28"/>
              </w:rPr>
              <w:t xml:space="preserve"> 月 </w:t>
            </w:r>
            <w:r>
              <w:rPr>
                <w:rFonts w:hint="eastAsia" w:ascii="宋体" w:hAnsi="宋体"/>
                <w:b/>
                <w:bCs/>
                <w:color w:val="000000"/>
                <w:sz w:val="28"/>
                <w:lang w:val="en-US" w:eastAsia="zh-CN"/>
              </w:rPr>
              <w:t>7</w:t>
            </w:r>
            <w:r>
              <w:rPr>
                <w:rFonts w:hint="eastAsia" w:ascii="宋体" w:hAnsi="宋体"/>
                <w:b/>
                <w:bCs/>
                <w:color w:val="000000"/>
                <w:sz w:val="28"/>
              </w:rPr>
              <w:t xml:space="preserve">  日</w:t>
            </w:r>
          </w:p>
        </w:tc>
      </w:tr>
    </w:tbl>
    <w:p w14:paraId="233DF815">
      <w:pPr>
        <w:spacing w:line="520" w:lineRule="exact"/>
        <w:ind w:firstLine="1040"/>
        <w:rPr>
          <w:rFonts w:eastAsia="隶书"/>
          <w:color w:val="000000"/>
          <w:sz w:val="52"/>
        </w:rPr>
        <w:sectPr>
          <w:headerReference r:id="rId5" w:type="default"/>
          <w:footerReference r:id="rId6" w:type="default"/>
          <w:footerReference r:id="rId7" w:type="even"/>
          <w:pgSz w:w="11906" w:h="16838"/>
          <w:pgMar w:top="1440" w:right="1800" w:bottom="1440" w:left="1800" w:header="851" w:footer="992" w:gutter="0"/>
          <w:cols w:space="425" w:num="1"/>
          <w:docGrid w:type="lines" w:linePitch="312" w:charSpace="0"/>
        </w:sectPr>
      </w:pPr>
    </w:p>
    <w:p w14:paraId="19AF6242">
      <w:pPr>
        <w:spacing w:line="520" w:lineRule="exact"/>
        <w:ind w:firstLine="420"/>
        <w:rPr>
          <w:color w:val="000000"/>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69463">
    <w:pPr>
      <w:pStyle w:val="6"/>
      <w:framePr w:wrap="around" w:vAnchor="text" w:hAnchor="margin" w:xAlign="center" w:y="1"/>
      <w:ind w:firstLine="360"/>
      <w:rPr>
        <w:rStyle w:val="12"/>
      </w:rPr>
    </w:pPr>
    <w:r>
      <w:rPr>
        <w:rStyle w:val="12"/>
        <w:rFonts w:hint="eastAsia"/>
      </w:rPr>
      <w:t>—</w:t>
    </w:r>
    <w:r>
      <w:rPr>
        <w:rStyle w:val="12"/>
      </w:rPr>
      <w:fldChar w:fldCharType="begin"/>
    </w:r>
    <w:r>
      <w:rPr>
        <w:rStyle w:val="12"/>
      </w:rPr>
      <w:instrText xml:space="preserve">PAGE  </w:instrText>
    </w:r>
    <w:r>
      <w:rPr>
        <w:rStyle w:val="12"/>
      </w:rPr>
      <w:fldChar w:fldCharType="separate"/>
    </w:r>
    <w:r>
      <w:rPr>
        <w:rStyle w:val="12"/>
      </w:rPr>
      <w:t>5</w:t>
    </w:r>
    <w:r>
      <w:rPr>
        <w:rStyle w:val="12"/>
      </w:rPr>
      <w:fldChar w:fldCharType="end"/>
    </w:r>
    <w:r>
      <w:rPr>
        <w:rStyle w:val="12"/>
        <w:rFonts w:hint="eastAsia"/>
      </w:rPr>
      <w:t>—</w:t>
    </w:r>
  </w:p>
  <w:p w14:paraId="1FE77CB9">
    <w:pPr>
      <w:pStyle w:val="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06C76">
    <w:pPr>
      <w:pStyle w:val="6"/>
      <w:framePr w:wrap="around" w:vAnchor="text" w:hAnchor="margin" w:xAlign="center" w:y="1"/>
      <w:ind w:firstLine="360"/>
      <w:rPr>
        <w:rStyle w:val="12"/>
      </w:rPr>
    </w:pPr>
    <w:r>
      <w:rPr>
        <w:rStyle w:val="12"/>
      </w:rPr>
      <w:fldChar w:fldCharType="begin"/>
    </w:r>
    <w:r>
      <w:rPr>
        <w:rStyle w:val="12"/>
      </w:rPr>
      <w:instrText xml:space="preserve">PAGE  </w:instrText>
    </w:r>
    <w:r>
      <w:rPr>
        <w:rStyle w:val="12"/>
      </w:rPr>
      <w:fldChar w:fldCharType="end"/>
    </w:r>
  </w:p>
  <w:p w14:paraId="451DB978">
    <w:pPr>
      <w:pStyle w:val="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35816">
    <w:pPr>
      <w:pStyle w:val="7"/>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D12AB1"/>
    <w:multiLevelType w:val="multilevel"/>
    <w:tmpl w:val="0DD12AB1"/>
    <w:lvl w:ilvl="0" w:tentative="0">
      <w:start w:val="1"/>
      <w:numFmt w:val="decimal"/>
      <w:lvlText w:val="[%1]"/>
      <w:lvlJc w:val="left"/>
      <w:pPr>
        <w:ind w:left="630" w:hanging="420"/>
      </w:pPr>
      <w:rPr>
        <w:rFonts w:hint="eastAsia"/>
      </w:rPr>
    </w:lvl>
    <w:lvl w:ilvl="1" w:tentative="0">
      <w:start w:val="1"/>
      <w:numFmt w:val="lowerLetter"/>
      <w:lvlText w:val="%2)"/>
      <w:lvlJc w:val="left"/>
      <w:pPr>
        <w:ind w:left="630" w:hanging="420"/>
      </w:pPr>
    </w:lvl>
    <w:lvl w:ilvl="2" w:tentative="0">
      <w:start w:val="1"/>
      <w:numFmt w:val="lowerRoman"/>
      <w:lvlText w:val="%3."/>
      <w:lvlJc w:val="right"/>
      <w:pPr>
        <w:ind w:left="1050" w:hanging="420"/>
      </w:pPr>
    </w:lvl>
    <w:lvl w:ilvl="3" w:tentative="0">
      <w:start w:val="1"/>
      <w:numFmt w:val="decimal"/>
      <w:lvlText w:val="%4."/>
      <w:lvlJc w:val="left"/>
      <w:pPr>
        <w:ind w:left="1470" w:hanging="420"/>
      </w:pPr>
    </w:lvl>
    <w:lvl w:ilvl="4" w:tentative="0">
      <w:start w:val="1"/>
      <w:numFmt w:val="lowerLetter"/>
      <w:lvlText w:val="%5)"/>
      <w:lvlJc w:val="left"/>
      <w:pPr>
        <w:ind w:left="1890" w:hanging="420"/>
      </w:pPr>
    </w:lvl>
    <w:lvl w:ilvl="5" w:tentative="0">
      <w:start w:val="1"/>
      <w:numFmt w:val="lowerRoman"/>
      <w:lvlText w:val="%6."/>
      <w:lvlJc w:val="right"/>
      <w:pPr>
        <w:ind w:left="2310" w:hanging="420"/>
      </w:pPr>
    </w:lvl>
    <w:lvl w:ilvl="6" w:tentative="0">
      <w:start w:val="1"/>
      <w:numFmt w:val="decimal"/>
      <w:lvlText w:val="%7."/>
      <w:lvlJc w:val="left"/>
      <w:pPr>
        <w:ind w:left="2730" w:hanging="420"/>
      </w:pPr>
    </w:lvl>
    <w:lvl w:ilvl="7" w:tentative="0">
      <w:start w:val="1"/>
      <w:numFmt w:val="lowerLetter"/>
      <w:lvlText w:val="%8)"/>
      <w:lvlJc w:val="left"/>
      <w:pPr>
        <w:ind w:left="3150" w:hanging="420"/>
      </w:pPr>
    </w:lvl>
    <w:lvl w:ilvl="8" w:tentative="0">
      <w:start w:val="1"/>
      <w:numFmt w:val="lowerRoman"/>
      <w:lvlText w:val="%9."/>
      <w:lvlJc w:val="right"/>
      <w:pPr>
        <w:ind w:left="3570" w:hanging="420"/>
      </w:pPr>
    </w:lvl>
  </w:abstractNum>
  <w:abstractNum w:abstractNumId="1">
    <w:nsid w:val="729E3F0C"/>
    <w:multiLevelType w:val="singleLevel"/>
    <w:tmpl w:val="729E3F0C"/>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F8E"/>
    <w:rsid w:val="00153CA0"/>
    <w:rsid w:val="001671DD"/>
    <w:rsid w:val="00182F8E"/>
    <w:rsid w:val="002F5151"/>
    <w:rsid w:val="003F4023"/>
    <w:rsid w:val="005E7306"/>
    <w:rsid w:val="006B6360"/>
    <w:rsid w:val="00751FA1"/>
    <w:rsid w:val="008C70A7"/>
    <w:rsid w:val="008E7FC3"/>
    <w:rsid w:val="009D7CE3"/>
    <w:rsid w:val="00A03974"/>
    <w:rsid w:val="00A20B30"/>
    <w:rsid w:val="00AB3AE1"/>
    <w:rsid w:val="00B77742"/>
    <w:rsid w:val="00BE063C"/>
    <w:rsid w:val="00C0748C"/>
    <w:rsid w:val="00C15B44"/>
    <w:rsid w:val="00CB2C75"/>
    <w:rsid w:val="00D614CC"/>
    <w:rsid w:val="00DA21F4"/>
    <w:rsid w:val="00DF77A2"/>
    <w:rsid w:val="00E55D1A"/>
    <w:rsid w:val="00E57E6B"/>
    <w:rsid w:val="00F5503B"/>
    <w:rsid w:val="2DFA4A94"/>
    <w:rsid w:val="49496576"/>
    <w:rsid w:val="5A2A7FA1"/>
    <w:rsid w:val="76472434"/>
    <w:rsid w:val="7CA01B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9"/>
    <w:pPr>
      <w:keepNext/>
      <w:keepLines/>
      <w:ind w:firstLine="0" w:firstLineChars="0"/>
      <w:outlineLvl w:val="0"/>
    </w:pPr>
    <w:rPr>
      <w:b/>
      <w:bCs/>
      <w:kern w:val="44"/>
      <w:szCs w:val="44"/>
    </w:rPr>
  </w:style>
  <w:style w:type="paragraph" w:styleId="3">
    <w:name w:val="heading 2"/>
    <w:basedOn w:val="1"/>
    <w:next w:val="1"/>
    <w:link w:val="17"/>
    <w:unhideWhenUsed/>
    <w:qFormat/>
    <w:uiPriority w:val="9"/>
    <w:pPr>
      <w:keepNext/>
      <w:keepLines/>
      <w:ind w:firstLine="0" w:firstLineChars="0"/>
      <w:outlineLvl w:val="1"/>
    </w:pPr>
    <w:rPr>
      <w:rFonts w:cstheme="majorBidi"/>
      <w:b/>
      <w:bCs/>
      <w:szCs w:val="32"/>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6">
    <w:name w:val="footer"/>
    <w:basedOn w:val="1"/>
    <w:link w:val="14"/>
    <w:unhideWhenUsed/>
    <w:uiPriority w:val="0"/>
    <w:pPr>
      <w:tabs>
        <w:tab w:val="center" w:pos="4153"/>
        <w:tab w:val="right" w:pos="8306"/>
      </w:tabs>
      <w:snapToGrid w:val="0"/>
      <w:jc w:val="left"/>
    </w:pPr>
    <w:rPr>
      <w:sz w:val="18"/>
      <w:szCs w:val="18"/>
    </w:rPr>
  </w:style>
  <w:style w:type="paragraph" w:styleId="7">
    <w:name w:val="header"/>
    <w:basedOn w:val="1"/>
    <w:link w:val="13"/>
    <w:unhideWhenUsed/>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0">
    <w:name w:val="Table Grid"/>
    <w:basedOn w:val="9"/>
    <w:uiPriority w:val="5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uiPriority w:val="0"/>
  </w:style>
  <w:style w:type="character" w:customStyle="1" w:styleId="13">
    <w:name w:val="页眉 Char"/>
    <w:basedOn w:val="11"/>
    <w:link w:val="7"/>
    <w:qFormat/>
    <w:uiPriority w:val="99"/>
    <w:rPr>
      <w:sz w:val="18"/>
      <w:szCs w:val="18"/>
    </w:rPr>
  </w:style>
  <w:style w:type="character" w:customStyle="1" w:styleId="14">
    <w:name w:val="页脚 Char"/>
    <w:basedOn w:val="11"/>
    <w:link w:val="6"/>
    <w:uiPriority w:val="99"/>
    <w:rPr>
      <w:sz w:val="18"/>
      <w:szCs w:val="18"/>
    </w:rPr>
  </w:style>
  <w:style w:type="paragraph" w:styleId="15">
    <w:name w:val="List Paragraph"/>
    <w:basedOn w:val="1"/>
    <w:qFormat/>
    <w:uiPriority w:val="34"/>
    <w:pPr>
      <w:ind w:firstLine="420"/>
    </w:pPr>
  </w:style>
  <w:style w:type="character" w:customStyle="1" w:styleId="16">
    <w:name w:val="标题 1 Char"/>
    <w:basedOn w:val="11"/>
    <w:link w:val="2"/>
    <w:uiPriority w:val="9"/>
    <w:rPr>
      <w:rFonts w:ascii="Times New Roman" w:hAnsi="Times New Roman" w:eastAsia="宋体" w:cs="Times New Roman"/>
      <w:b/>
      <w:bCs/>
      <w:kern w:val="44"/>
      <w:szCs w:val="44"/>
    </w:rPr>
  </w:style>
  <w:style w:type="character" w:customStyle="1" w:styleId="17">
    <w:name w:val="标题 2 Char"/>
    <w:basedOn w:val="11"/>
    <w:link w:val="3"/>
    <w:qFormat/>
    <w:uiPriority w:val="9"/>
    <w:rPr>
      <w:rFonts w:ascii="Times New Roman" w:hAnsi="Times New Roman" w:eastAsia="宋体" w:cstheme="majorBidi"/>
      <w:b/>
      <w:bCs/>
      <w:szCs w:val="32"/>
    </w:rPr>
  </w:style>
  <w:style w:type="paragraph" w:styleId="18">
    <w:name w:val="No Spacing"/>
    <w:qFormat/>
    <w:uiPriority w:val="1"/>
    <w:pPr>
      <w:widowControl w:val="0"/>
      <w:ind w:firstLine="200" w:firstLineChars="20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6D802-5EAD-41BC-BC36-66C23021CE00}">
  <ds:schemaRefs/>
</ds:datastoreItem>
</file>

<file path=docProps/app.xml><?xml version="1.0" encoding="utf-8"?>
<Properties xmlns="http://schemas.openxmlformats.org/officeDocument/2006/extended-properties" xmlns:vt="http://schemas.openxmlformats.org/officeDocument/2006/docPropsVTypes">
  <Template>Normal.dotm</Template>
  <Pages>10</Pages>
  <Words>7426</Words>
  <Characters>10117</Characters>
  <Lines>1</Lines>
  <Paragraphs>1</Paragraphs>
  <TotalTime>497</TotalTime>
  <ScaleCrop>false</ScaleCrop>
  <LinksUpToDate>false</LinksUpToDate>
  <CharactersWithSpaces>10676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2024-02-23T02:28:00Z</dcterms:created>
  <dc:creator>tj s</dc:creator>
  <cp:lastModifiedBy>君宴</cp:lastModifiedBy>
  <dcterms:modified xsi:type="dcterms:W3CDTF">2026-03-27T09:55:03Z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eyJoZGlkIjoiZjFhYjkyYzFhZTFjNWU5MDQ1OWNhNWU4ZGZiNWM0NWIiLCJ1c2VySWQiOiI4OTE3MDU3NzkifQ==</vt:lpwstr>
  </property>
  <property fmtid="{D5CDD505-2E9C-101B-9397-08002B2CF9AE}" pid="3" name="KSOProductBuildVer">
    <vt:lpwstr>2052-12.1.0.25225</vt:lpwstr>
  </property>
  <property fmtid="{D5CDD505-2E9C-101B-9397-08002B2CF9AE}" pid="4" name="ICV">
    <vt:lpwstr>AC75EEF9DACF40768635E0E7618A5D4F_12</vt:lpwstr>
  </property>
</Properties>
</file>