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AEA3" w14:textId="77777777" w:rsidR="00EA081C" w:rsidRDefault="00000000">
      <w:pPr>
        <w:jc w:val="center"/>
      </w:pPr>
      <w:r>
        <w:rPr>
          <w:b/>
          <w:sz w:val="32"/>
        </w:rPr>
        <w:t>DISC5105 Week 2 — A1 Marking Guide</w:t>
      </w:r>
    </w:p>
    <w:p w14:paraId="418A58B7" w14:textId="77777777" w:rsidR="00EA081C" w:rsidRDefault="00000000">
      <w:r>
        <w:t>Suggested total: 10 marks. Adjust the weighting if the course coordinator has a different scheme.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081C" w14:paraId="44BD032A" w14:textId="77777777">
        <w:tc>
          <w:tcPr>
            <w:tcW w:w="2880" w:type="dxa"/>
          </w:tcPr>
          <w:p w14:paraId="737A327A" w14:textId="77777777" w:rsidR="00EA081C" w:rsidRDefault="00000000">
            <w:r>
              <w:t>Criterion</w:t>
            </w:r>
          </w:p>
        </w:tc>
        <w:tc>
          <w:tcPr>
            <w:tcW w:w="2880" w:type="dxa"/>
          </w:tcPr>
          <w:p w14:paraId="31EF75E5" w14:textId="77777777" w:rsidR="00EA081C" w:rsidRDefault="00000000">
            <w:r>
              <w:t>Marks</w:t>
            </w:r>
          </w:p>
        </w:tc>
        <w:tc>
          <w:tcPr>
            <w:tcW w:w="2880" w:type="dxa"/>
          </w:tcPr>
          <w:p w14:paraId="4A8AAA88" w14:textId="77777777" w:rsidR="00EA081C" w:rsidRDefault="00000000">
            <w:r>
              <w:t>Full-credit evidence</w:t>
            </w:r>
          </w:p>
        </w:tc>
      </w:tr>
      <w:tr w:rsidR="00EA081C" w14:paraId="0385DE49" w14:textId="77777777">
        <w:tc>
          <w:tcPr>
            <w:tcW w:w="2880" w:type="dxa"/>
          </w:tcPr>
          <w:p w14:paraId="222F4158" w14:textId="77777777" w:rsidR="00EA081C" w:rsidRDefault="00000000">
            <w:r>
              <w:t>Feature selection and rationale</w:t>
            </w:r>
          </w:p>
        </w:tc>
        <w:tc>
          <w:tcPr>
            <w:tcW w:w="2880" w:type="dxa"/>
          </w:tcPr>
          <w:p w14:paraId="09EA93B4" w14:textId="77777777" w:rsidR="00EA081C" w:rsidRDefault="00000000">
            <w:r>
              <w:t>2</w:t>
            </w:r>
          </w:p>
        </w:tc>
        <w:tc>
          <w:tcPr>
            <w:tcW w:w="2880" w:type="dxa"/>
          </w:tcPr>
          <w:p w14:paraId="073125DA" w14:textId="77777777" w:rsidR="00EA081C" w:rsidRDefault="00000000">
            <w:r>
              <w:t>At least four valid features are listed and each has a plausible housing-price rationale.</w:t>
            </w:r>
          </w:p>
        </w:tc>
      </w:tr>
      <w:tr w:rsidR="00EA081C" w14:paraId="4F251B13" w14:textId="77777777">
        <w:tc>
          <w:tcPr>
            <w:tcW w:w="2880" w:type="dxa"/>
          </w:tcPr>
          <w:p w14:paraId="41AD51F0" w14:textId="77777777" w:rsidR="00EA081C" w:rsidRDefault="00000000">
            <w:r>
              <w:t>Reproducible model setup</w:t>
            </w:r>
          </w:p>
        </w:tc>
        <w:tc>
          <w:tcPr>
            <w:tcW w:w="2880" w:type="dxa"/>
          </w:tcPr>
          <w:p w14:paraId="312D3F9A" w14:textId="77777777" w:rsidR="00EA081C" w:rsidRDefault="00000000">
            <w:r>
              <w:t>1</w:t>
            </w:r>
          </w:p>
        </w:tc>
        <w:tc>
          <w:tcPr>
            <w:tcW w:w="2880" w:type="dxa"/>
          </w:tcPr>
          <w:p w14:paraId="2FEDC180" w14:textId="77777777" w:rsidR="00EA081C" w:rsidRDefault="00000000">
            <w:r>
              <w:t>The same 80/20 split and random_state=3 are used for both models; price/id are not predictors.</w:t>
            </w:r>
          </w:p>
        </w:tc>
      </w:tr>
      <w:tr w:rsidR="00EA081C" w14:paraId="21FA8A40" w14:textId="77777777">
        <w:tc>
          <w:tcPr>
            <w:tcW w:w="2880" w:type="dxa"/>
          </w:tcPr>
          <w:p w14:paraId="5D8C7DFE" w14:textId="77777777" w:rsidR="00EA081C" w:rsidRDefault="00000000">
            <w:r>
              <w:t>Model comparison</w:t>
            </w:r>
          </w:p>
        </w:tc>
        <w:tc>
          <w:tcPr>
            <w:tcW w:w="2880" w:type="dxa"/>
          </w:tcPr>
          <w:p w14:paraId="71CA6E29" w14:textId="77777777" w:rsidR="00EA081C" w:rsidRDefault="00000000">
            <w:r>
              <w:t>3</w:t>
            </w:r>
          </w:p>
        </w:tc>
        <w:tc>
          <w:tcPr>
            <w:tcW w:w="2880" w:type="dxa"/>
          </w:tcPr>
          <w:p w14:paraId="7DF10284" w14:textId="77777777" w:rsidR="00EA081C" w:rsidRDefault="00000000">
            <w:r>
              <w:t>Both models report test R², MAE, and RMSE with correct direction of improvement.</w:t>
            </w:r>
          </w:p>
        </w:tc>
      </w:tr>
      <w:tr w:rsidR="00EA081C" w14:paraId="105DD569" w14:textId="77777777">
        <w:tc>
          <w:tcPr>
            <w:tcW w:w="2880" w:type="dxa"/>
          </w:tcPr>
          <w:p w14:paraId="23967C50" w14:textId="77777777" w:rsidR="00EA081C" w:rsidRDefault="00000000">
            <w:r>
              <w:t>Error-source explanation</w:t>
            </w:r>
          </w:p>
        </w:tc>
        <w:tc>
          <w:tcPr>
            <w:tcW w:w="2880" w:type="dxa"/>
          </w:tcPr>
          <w:p w14:paraId="5F2BD257" w14:textId="77777777" w:rsidR="00EA081C" w:rsidRDefault="00000000">
            <w:r>
              <w:t>3</w:t>
            </w:r>
          </w:p>
        </w:tc>
        <w:tc>
          <w:tcPr>
            <w:tcW w:w="2880" w:type="dxa"/>
          </w:tcPr>
          <w:p w14:paraId="2F31462C" w14:textId="77777777" w:rsidR="00EA081C" w:rsidRDefault="00000000">
            <w:r>
              <w:t>Two distinct error sources are explained with evidence from residuals or largest-error rows.</w:t>
            </w:r>
          </w:p>
        </w:tc>
      </w:tr>
      <w:tr w:rsidR="00EA081C" w14:paraId="5496BE69" w14:textId="77777777">
        <w:tc>
          <w:tcPr>
            <w:tcW w:w="2880" w:type="dxa"/>
          </w:tcPr>
          <w:p w14:paraId="7AD0E54C" w14:textId="77777777" w:rsidR="00EA081C" w:rsidRDefault="00000000">
            <w:r>
              <w:t>Clarity and completion</w:t>
            </w:r>
          </w:p>
        </w:tc>
        <w:tc>
          <w:tcPr>
            <w:tcW w:w="2880" w:type="dxa"/>
          </w:tcPr>
          <w:p w14:paraId="3AF991BE" w14:textId="77777777" w:rsidR="00EA081C" w:rsidRDefault="00000000">
            <w:r>
              <w:t>1</w:t>
            </w:r>
          </w:p>
        </w:tc>
        <w:tc>
          <w:tcPr>
            <w:tcW w:w="2880" w:type="dxa"/>
          </w:tcPr>
          <w:p w14:paraId="1358E6B1" w14:textId="77777777" w:rsidR="00EA081C" w:rsidRDefault="00000000">
            <w:r>
              <w:t>The PDF is readable, logically organised, and submitted in class.</w:t>
            </w:r>
          </w:p>
        </w:tc>
      </w:tr>
      <w:tr w:rsidR="001E0C82" w14:paraId="54013B9E" w14:textId="77777777">
        <w:tc>
          <w:tcPr>
            <w:tcW w:w="2880" w:type="dxa"/>
          </w:tcPr>
          <w:p w14:paraId="5EF71464" w14:textId="1F872138" w:rsidR="001E0C82" w:rsidRPr="001E0C82" w:rsidRDefault="001E0C82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Total</w:t>
            </w:r>
          </w:p>
        </w:tc>
        <w:tc>
          <w:tcPr>
            <w:tcW w:w="2880" w:type="dxa"/>
          </w:tcPr>
          <w:p w14:paraId="47D63597" w14:textId="2D008BE6" w:rsidR="001E0C82" w:rsidRPr="00984C48" w:rsidRDefault="00984C48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10</w:t>
            </w:r>
          </w:p>
        </w:tc>
        <w:tc>
          <w:tcPr>
            <w:tcW w:w="2880" w:type="dxa"/>
          </w:tcPr>
          <w:p w14:paraId="7FD2C5F5" w14:textId="0903BA25" w:rsidR="001E0C82" w:rsidRPr="00984C48" w:rsidRDefault="00984C48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-</w:t>
            </w:r>
          </w:p>
        </w:tc>
      </w:tr>
    </w:tbl>
    <w:p w14:paraId="36139F22" w14:textId="77777777" w:rsidR="00EA081C" w:rsidRDefault="00000000">
      <w:pPr>
        <w:pStyle w:val="1"/>
      </w:pPr>
      <w:r>
        <w:t>Instructor reference values</w:t>
      </w:r>
    </w:p>
    <w:p w14:paraId="29CC9ECA" w14:textId="77777777" w:rsidR="00EA081C" w:rsidRDefault="00000000">
      <w:r>
        <w:t>Guided Model A: test R²=0.496, MAE=169,638 USD, RMSE=254,289 USD.</w:t>
      </w:r>
    </w:p>
    <w:p w14:paraId="29F47125" w14:textId="77777777" w:rsidR="00EA081C" w:rsidRDefault="00000000">
      <w:r>
        <w:t>Guided Model B: test R²=0.697, MAE=125,522 USD, RMSE=197,346 USD.</w:t>
      </w:r>
    </w:p>
    <w:p w14:paraId="21A5500A" w14:textId="77777777" w:rsidR="00EA081C" w:rsidRDefault="00000000">
      <w:r>
        <w:t>Guided changes: ΔR²=+0.200; MAE reduction=26.0%; RMSE reduction=22.4%.</w:t>
      </w:r>
    </w:p>
    <w:p w14:paraId="5DFC60EE" w14:textId="77777777" w:rsidR="00EA081C" w:rsidRDefault="00000000">
      <w:r>
        <w:t>A student's feature set may differ. Do not require the guided values if the student used a valid, documented set and interpreted the metrics correctly.</w:t>
      </w:r>
    </w:p>
    <w:p w14:paraId="361F675F" w14:textId="77777777" w:rsidR="00EA081C" w:rsidRDefault="00000000">
      <w:pPr>
        <w:pStyle w:val="1"/>
      </w:pPr>
      <w:r>
        <w:t>References</w:t>
      </w:r>
    </w:p>
    <w:p w14:paraId="6DCD8A57" w14:textId="77777777" w:rsidR="00EA081C" w:rsidRDefault="00000000">
      <w:pPr>
        <w:pStyle w:val="a0"/>
      </w:pPr>
      <w:r>
        <w:t>Rafiei, M. H., &amp; Adeli, H. (2016). A novel machine learning model for estimation of sale prices of real estate units. Journal of Construction Engineering and Management, 142(10), 04016053. https://doi.org/10.1061/(ASCE)CO.1943-7862.0001047</w:t>
      </w:r>
    </w:p>
    <w:p w14:paraId="01411BDA" w14:textId="77777777" w:rsidR="00EA081C" w:rsidRDefault="00000000">
      <w:pPr>
        <w:pStyle w:val="a0"/>
      </w:pPr>
      <w:r>
        <w:t>Soltani, A., Heydari, M., Aghaei, F., &amp; Pettit, C. J. (2022). Housing price prediction incorporating spatio-temporal dependency into machine learning algorithms. Cities, 131, 103941. https://doi.org/10.1016/j.cities.2022.103941</w:t>
      </w:r>
    </w:p>
    <w:p w14:paraId="39D63191" w14:textId="77777777" w:rsidR="00EA081C" w:rsidRDefault="00000000">
      <w:pPr>
        <w:pStyle w:val="a0"/>
      </w:pPr>
      <w:r>
        <w:t>Calainho, F. D., van de Minne, A. M., &amp; Francke, M. K. (2024). A machine learning approach to price indices: Applications in commercial real estate. Journal of Real Estate Finance and Economics, 68(4), 1308–1339. https://doi.org/10.1007/s11146-022-09893-1</w:t>
      </w:r>
    </w:p>
    <w:p w14:paraId="69386A6E" w14:textId="77777777" w:rsidR="00EA081C" w:rsidRDefault="00000000">
      <w:pPr>
        <w:pStyle w:val="a0"/>
      </w:pPr>
      <w:r>
        <w:lastRenderedPageBreak/>
        <w:t>Lee, H., &amp; Han, H. (2024). Machine learning approach to residential valuation: A convolutional neural network model for geographic variation. The Annals of Regional Science, 72(2), 565–592. https://doi.org/10.1007/s00168-023-01212-7</w:t>
      </w:r>
    </w:p>
    <w:p w14:paraId="3457F2B3" w14:textId="77777777" w:rsidR="00EA081C" w:rsidRDefault="00000000">
      <w:pPr>
        <w:pStyle w:val="a0"/>
      </w:pPr>
      <w:r>
        <w:t>Chiu, S.-M., Chen, Y.-C., &amp; Lee, C. (2022). Estate price prediction system based on temporal and spatial features and lightweight deep learning model. Applied Intelligence, 52, 808–834. https://doi.org/10.1007/s10489-021-02472-6</w:t>
      </w:r>
    </w:p>
    <w:sectPr w:rsidR="00EA0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125434">
    <w:abstractNumId w:val="8"/>
  </w:num>
  <w:num w:numId="2" w16cid:durableId="2052458623">
    <w:abstractNumId w:val="6"/>
  </w:num>
  <w:num w:numId="3" w16cid:durableId="2128228932">
    <w:abstractNumId w:val="5"/>
  </w:num>
  <w:num w:numId="4" w16cid:durableId="413667269">
    <w:abstractNumId w:val="4"/>
  </w:num>
  <w:num w:numId="5" w16cid:durableId="971246941">
    <w:abstractNumId w:val="7"/>
  </w:num>
  <w:num w:numId="6" w16cid:durableId="1145242815">
    <w:abstractNumId w:val="3"/>
  </w:num>
  <w:num w:numId="7" w16cid:durableId="2060585658">
    <w:abstractNumId w:val="2"/>
  </w:num>
  <w:num w:numId="8" w16cid:durableId="1001812656">
    <w:abstractNumId w:val="1"/>
  </w:num>
  <w:num w:numId="9" w16cid:durableId="629436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C82"/>
    <w:rsid w:val="0029639D"/>
    <w:rsid w:val="00326F90"/>
    <w:rsid w:val="00983189"/>
    <w:rsid w:val="00984C48"/>
    <w:rsid w:val="00AA1D8D"/>
    <w:rsid w:val="00B47730"/>
    <w:rsid w:val="00CB0664"/>
    <w:rsid w:val="00EA0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E8C9C"/>
  <w14:defaultImageDpi w14:val="300"/>
  <w15:docId w15:val="{B0BB3C0C-B6D2-41DC-AE1A-77C34683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HUANG Xuhong</cp:lastModifiedBy>
  <cp:revision>3</cp:revision>
  <dcterms:created xsi:type="dcterms:W3CDTF">2013-12-23T23:15:00Z</dcterms:created>
  <dcterms:modified xsi:type="dcterms:W3CDTF">2026-08-24T02:01:00Z</dcterms:modified>
  <cp:category/>
</cp:coreProperties>
</file>