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00"/>
        <w:jc w:val="center"/>
      </w:pPr>
      <w:r>
        <w:rPr>
          <w:rFonts w:ascii="Arial" w:hAnsi="Arial" w:eastAsia="SimSun"/>
          <w:b/>
          <w:i w:val="0"/>
          <w:color w:val="1F4E79"/>
          <w:sz w:val="48"/>
        </w:rPr>
        <w:t>如何设计一个好用的Agent系统</w:t>
      </w:r>
    </w:p>
    <w:p>
      <w:pPr>
        <w:spacing w:after="160"/>
        <w:jc w:val="center"/>
      </w:pPr>
      <w:r>
        <w:rPr>
          <w:rFonts w:ascii="Arial" w:hAnsi="Arial" w:eastAsia="SimSun"/>
          <w:b w:val="0"/>
          <w:i w:val="0"/>
          <w:color w:val="666666"/>
          <w:sz w:val="28"/>
        </w:rPr>
        <w:t>系统调研报告（初稿）</w:t>
      </w:r>
    </w:p>
    <w:p>
      <w:pPr>
        <w:spacing w:after="400"/>
        <w:jc w:val="center"/>
      </w:pPr>
      <w:r>
        <w:rPr>
          <w:rFonts w:ascii="Arial" w:hAnsi="Arial" w:eastAsia="SimSun"/>
          <w:b w:val="0"/>
          <w:i w:val="0"/>
          <w:color w:val="666666"/>
          <w:sz w:val="21"/>
        </w:rPr>
        <w:t>更新日期：2026-04-28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8"/>
            <w:tcMar>
              <w:top w:w="14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SimSun"/>
                <w:b/>
                <w:i w:val="0"/>
                <w:color w:val="1F4E79"/>
                <w:sz w:val="23"/>
              </w:rPr>
              <w:t>一句话结论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21"/>
              </w:rPr>
              <w:t>“好用”的 Agent 系统，核心不是把模型做得更像自治生命体，而是把任务拆解、工具接口、状态恢复、评测闭环和人工接管点设计得足够清楚；单 Agent + 显式工作流往往比仓促上多 Agent 更容易真正落地。</w:t>
            </w:r>
          </w:p>
        </w:tc>
      </w:tr>
    </w:tbl>
    <w:p/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摘要</w:t>
      </w:r>
    </w:p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本报告围绕“如何设计一个好用的 Agent 系统”进行一轮系统调研，综合官方文档、代表性论文、评测基准与开源框架，目标是回答三个问题：第一，当前业内对 Agent 系统的主流理解和设计重点是什么；第二，哪些能力是从 demo 走向生产时必须补齐的；第三，在技术选型与架构设计上，哪些原则最值得优先坚持。</w:t>
      </w:r>
    </w:p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综合 2023 至 2026 年公开资料，本报告认为 Agent 系统设计正在从“让模型自己多想一点”转向“让系统在不确定任务中可控运行”。主流框架和官方指南都越来越强调 workflow、tool use、state、checkpoint、human review、guardrails 和 evals。换句话说，Agent 的价值来自可执行工作流，而不是抽象的“自主性”口号。</w:t>
      </w:r>
    </w:p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一、核心结论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先把单 Agent、工具调用和显式工作流做好，再考虑多 Agent。多 Agent 只有在并行拆分、权限分离、角色评审或上下文复杂度明显失控时才值得引入。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Agent-Computer Interface（ACI）是成败关键。工具描述、参数 schema、执行反馈、错误码、返回格式，比提示词措辞更直接影响成功率。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好用的 Agent 必须支持状态持久化与恢复。长任务、外部依赖、人工审批、失败重试都要求 checkpoint、thread/session 和 resume 能力。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评测必须从第一天开始建设。静态 benchmark 只能提供参考，生产可用性仍取决于贴近业务任务的在线或离线评测集。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安全设计必须内建，而不是上线前补丁。尤其要关注 prompt injection、工具滥用、权限越权、记忆污染和高风险写操作。</w:t>
      </w:r>
    </w:p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二、什么叫“好用”的 Agent 系统</w:t>
      </w:r>
    </w:p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从用户视角看，好用意味着结果稳定、失败可解释、上下文衔接自然、必要时可让人接管；从工程视角看，好用意味着容易调试、权限边界清楚、成本和延迟可控、能回放和持续改进；从业务视角看，好用意味着成功率、单次成本和交付速度之间的 tradeoff 是可管理的。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247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视角</w:t>
            </w:r>
          </w:p>
        </w:tc>
        <w:tc>
          <w:tcPr>
            <w:tcW w:type="dxa" w:w="345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“好用”的表现</w:t>
            </w:r>
          </w:p>
        </w:tc>
        <w:tc>
          <w:tcPr>
            <w:tcW w:type="dxa" w:w="4139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系统设计含义</w:t>
            </w:r>
          </w:p>
        </w:tc>
      </w:tr>
      <w:tr>
        <w:tc>
          <w:tcPr>
            <w:tcW w:type="dxa" w:w="124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用户</w:t>
            </w:r>
          </w:p>
        </w:tc>
        <w:tc>
          <w:tcPr>
            <w:tcW w:type="dxa" w:w="345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少出错、能解释、可继续</w:t>
            </w:r>
          </w:p>
        </w:tc>
        <w:tc>
          <w:tcPr>
            <w:tcW w:type="dxa" w:w="4139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需要清晰的任务边界、失败处理和会话状态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工程</w:t>
            </w:r>
          </w:p>
        </w:tc>
        <w:tc>
          <w:tcPr>
            <w:tcW w:type="dxa" w:w="345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能调试、能灰度、能替换组件</w:t>
            </w:r>
          </w:p>
        </w:tc>
        <w:tc>
          <w:tcPr>
            <w:tcW w:type="dxa" w:w="4139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需要 tracing、evals、typed tools、可观测性</w:t>
            </w:r>
          </w:p>
        </w:tc>
      </w:tr>
      <w:tr>
        <w:tc>
          <w:tcPr>
            <w:tcW w:type="dxa" w:w="124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业务</w:t>
            </w:r>
          </w:p>
        </w:tc>
        <w:tc>
          <w:tcPr>
            <w:tcW w:type="dxa" w:w="345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单位成本可接受、成功率可提升</w:t>
            </w:r>
          </w:p>
        </w:tc>
        <w:tc>
          <w:tcPr>
            <w:tcW w:type="dxa" w:w="4139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需要明确 KPI、任务分层和人机协同机制</w:t>
            </w:r>
          </w:p>
        </w:tc>
      </w:tr>
    </w:tbl>
    <w:p/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三、官方文档传递出的主流设计方向</w:t>
      </w:r>
    </w:p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Anthropic、OpenAI 和 Microsoft 在 2025 至 2026 年的公开文档中传递出一个非常一致的信号：Agent 不是单个模型能力的别名，而是模型、工具、知识、控制流、状态和安全机制的组合系统。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来源</w:t>
            </w:r>
          </w:p>
        </w:tc>
        <w:tc>
          <w:tcPr>
            <w:tcW w:type="dxa" w:w="362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核心观点</w:t>
            </w:r>
          </w:p>
        </w:tc>
        <w:tc>
          <w:tcPr>
            <w:tcW w:type="dxa" w:w="351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对设计的启发</w:t>
            </w:r>
          </w:p>
        </w:tc>
      </w:tr>
      <w:tr>
        <w:tc>
          <w:tcPr>
            <w:tcW w:type="dxa" w:w="170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Anthropic</w:t>
            </w:r>
          </w:p>
        </w:tc>
        <w:tc>
          <w:tcPr>
            <w:tcW w:type="dxa" w:w="362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先从简单模式开始，只有在复杂度真正带来收益时再升级到 agentic 系统</w:t>
            </w:r>
          </w:p>
        </w:tc>
        <w:tc>
          <w:tcPr>
            <w:tcW w:type="dxa" w:w="3515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优先 workflow 设计，不迷信多 Agent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OpenAI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构建 agent 是设计 workflow 并连接模型、工具、guardrails、知识与 logic 的过程</w:t>
            </w:r>
          </w:p>
        </w:tc>
        <w:tc>
          <w:tcPr>
            <w:tcW w:type="dxa" w:w="3515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把工具、逻辑节点、评测与安全一并纳入系统设计</w:t>
            </w:r>
          </w:p>
        </w:tc>
      </w:tr>
      <w:tr>
        <w:tc>
          <w:tcPr>
            <w:tcW w:type="dxa" w:w="170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Microsoft Agent Framework</w:t>
            </w:r>
          </w:p>
        </w:tc>
        <w:tc>
          <w:tcPr>
            <w:tcW w:type="dxa" w:w="362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明确区分 agents 与 workflows，并强调 session、checkpoint、type safety、MCP、telemetry</w:t>
            </w:r>
          </w:p>
        </w:tc>
        <w:tc>
          <w:tcPr>
            <w:tcW w:type="dxa" w:w="3515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生产系统更需要强编排与长任务恢复能力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8"/>
            <w:tcMar>
              <w:top w:w="14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SimSun"/>
                <w:b/>
                <w:i w:val="0"/>
                <w:color w:val="1F4E79"/>
                <w:sz w:val="23"/>
              </w:rPr>
              <w:t>判断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21"/>
              </w:rPr>
              <w:t>“能不能把流程写成函数”仍然是一个很好的分界线。若任务可以被稳定规则化处理，优先规则流或传统服务；只有在步骤不确定、需要动态检索和工具交互时，Agent 才更值得上场。</w:t>
            </w:r>
          </w:p>
        </w:tc>
      </w:tr>
    </w:tbl>
    <w:p/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四、研究与论文脉络</w:t>
      </w:r>
    </w:p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近三年的关键论文大致可以分成五条路线：推理与行动结合、工具使用、规划、反思与记忆、搜索与评测。它们共同塑造了今天 Agent 系统的主流设计语言。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87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方向</w:t>
            </w:r>
          </w:p>
        </w:tc>
        <w:tc>
          <w:tcPr>
            <w:tcW w:type="dxa" w:w="249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代表论文</w:t>
            </w:r>
          </w:p>
        </w:tc>
        <w:tc>
          <w:tcPr>
            <w:tcW w:type="dxa" w:w="476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关键启发</w:t>
            </w:r>
          </w:p>
        </w:tc>
      </w:tr>
      <w:tr>
        <w:tc>
          <w:tcPr>
            <w:tcW w:type="dxa" w:w="158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Reasoning + Acting</w:t>
            </w:r>
          </w:p>
        </w:tc>
        <w:tc>
          <w:tcPr>
            <w:tcW w:type="dxa" w:w="249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ReAct (2023)</w:t>
            </w:r>
          </w:p>
        </w:tc>
        <w:tc>
          <w:tcPr>
            <w:tcW w:type="dxa" w:w="4762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把推理轨迹与环境动作交错执行，降低幻觉并增强可解释性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Tool Use</w:t>
            </w:r>
          </w:p>
        </w:tc>
        <w:tc>
          <w:tcPr>
            <w:tcW w:type="dxa" w:w="249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Toolformer (2023)</w:t>
            </w:r>
          </w:p>
        </w:tc>
        <w:tc>
          <w:tcPr>
            <w:tcW w:type="dxa" w:w="4762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核心问题不只是“能不能调工具”，而是何时调、如何传参、如何吸收结果</w:t>
            </w:r>
          </w:p>
        </w:tc>
      </w:tr>
      <w:tr>
        <w:tc>
          <w:tcPr>
            <w:tcW w:type="dxa" w:w="158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Planning</w:t>
            </w:r>
          </w:p>
        </w:tc>
        <w:tc>
          <w:tcPr>
            <w:tcW w:type="dxa" w:w="249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Plan-and-Solve (2023)</w:t>
            </w:r>
          </w:p>
        </w:tc>
        <w:tc>
          <w:tcPr>
            <w:tcW w:type="dxa" w:w="4762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先规划再执行能显著改善多步任务的遗漏与失误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Reflection / Memory</w:t>
            </w:r>
          </w:p>
        </w:tc>
        <w:tc>
          <w:tcPr>
            <w:tcW w:type="dxa" w:w="249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Reflexion (2023)</w:t>
            </w:r>
          </w:p>
        </w:tc>
        <w:tc>
          <w:tcPr>
            <w:tcW w:type="dxa" w:w="4762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语言反馈与反思记忆可以替代昂贵微调，适合 evaluator-optimizer 结构</w:t>
            </w:r>
          </w:p>
        </w:tc>
      </w:tr>
      <w:tr>
        <w:tc>
          <w:tcPr>
            <w:tcW w:type="dxa" w:w="158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Search</w:t>
            </w:r>
          </w:p>
        </w:tc>
        <w:tc>
          <w:tcPr>
            <w:tcW w:type="dxa" w:w="249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LATS (2023)</w:t>
            </w:r>
          </w:p>
        </w:tc>
        <w:tc>
          <w:tcPr>
            <w:tcW w:type="dxa" w:w="4762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对高难任务，规划与树搜索能提升成功率，但代价是更高的成本和编排复杂度</w:t>
            </w:r>
          </w:p>
        </w:tc>
      </w:tr>
    </w:tbl>
    <w:p/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两篇综述尤其值得作为总览入口。《A Survey on Large Language Model based Autonomous Agents》提出了涵盖 profile、memory、planning、action 和 environment feedback 的统一分析框架；《Large Language Model based Multi-Agents: A Survey of Progress and Challenges》则更系统地梳理了多 Agent 系统中的角色设定、通信和协作问题。</w:t>
      </w:r>
    </w:p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五、设计一个好用 Agent 系统的关键模块</w:t>
      </w:r>
    </w:p>
    <w:p>
      <w:pPr>
        <w:spacing w:after="60" w:line="288" w:lineRule="auto"/>
      </w:pPr>
      <w:r>
        <w:rPr>
          <w:rFonts w:ascii="Arial" w:hAnsi="Arial" w:eastAsia="SimSun"/>
          <w:b/>
          <w:i w:val="0"/>
          <w:color w:val="1F4E79"/>
          <w:sz w:val="22"/>
        </w:rPr>
        <w:t>1. 任务建模</w:t>
      </w:r>
      <w:r>
        <w:rPr>
          <w:rFonts w:ascii="Arial" w:hAnsi="Arial" w:eastAsia="SimSun"/>
          <w:b w:val="0"/>
          <w:i w:val="0"/>
          <w:color w:val="222222"/>
          <w:sz w:val="21"/>
        </w:rPr>
        <w:t>：先定义任务类型、输入输出、完成标准、允许失败的范围，再决定是否需要 Agent，而不是反过来先定义“几个角色”。</w:t>
      </w:r>
    </w:p>
    <w:p>
      <w:pPr>
        <w:spacing w:after="60" w:line="288" w:lineRule="auto"/>
      </w:pPr>
      <w:r>
        <w:rPr>
          <w:rFonts w:ascii="Arial" w:hAnsi="Arial" w:eastAsia="SimSun"/>
          <w:b/>
          <w:i w:val="0"/>
          <w:color w:val="1F4E79"/>
          <w:sz w:val="22"/>
        </w:rPr>
        <w:t>2. 工具层与 ACI</w:t>
      </w:r>
      <w:r>
        <w:rPr>
          <w:rFonts w:ascii="Arial" w:hAnsi="Arial" w:eastAsia="SimSun"/>
          <w:b w:val="0"/>
          <w:i w:val="0"/>
          <w:color w:val="222222"/>
          <w:sz w:val="21"/>
        </w:rPr>
        <w:t>：工具应具备清晰的名称、用途、参数 schema、返回结构、错误信息和权限说明。模型最怕模糊工具。</w:t>
      </w:r>
    </w:p>
    <w:p>
      <w:pPr>
        <w:spacing w:after="60" w:line="288" w:lineRule="auto"/>
      </w:pPr>
      <w:r>
        <w:rPr>
          <w:rFonts w:ascii="Arial" w:hAnsi="Arial" w:eastAsia="SimSun"/>
          <w:b/>
          <w:i w:val="0"/>
          <w:color w:val="1F4E79"/>
          <w:sz w:val="22"/>
        </w:rPr>
        <w:t>3. 编排层</w:t>
      </w:r>
      <w:r>
        <w:rPr>
          <w:rFonts w:ascii="Arial" w:hAnsi="Arial" w:eastAsia="SimSun"/>
          <w:b w:val="0"/>
          <w:i w:val="0"/>
          <w:color w:val="222222"/>
          <w:sz w:val="21"/>
        </w:rPr>
        <w:t>：需要支持 routing、branching、parallelism、retry、budget control 与 stop condition。真正影响稳定性的往往是编排，不是模型本身。</w:t>
      </w:r>
    </w:p>
    <w:p>
      <w:pPr>
        <w:spacing w:after="60" w:line="288" w:lineRule="auto"/>
      </w:pPr>
      <w:r>
        <w:rPr>
          <w:rFonts w:ascii="Arial" w:hAnsi="Arial" w:eastAsia="SimSun"/>
          <w:b/>
          <w:i w:val="0"/>
          <w:color w:val="1F4E79"/>
          <w:sz w:val="22"/>
        </w:rPr>
        <w:t>4. 状态与记忆</w:t>
      </w:r>
      <w:r>
        <w:rPr>
          <w:rFonts w:ascii="Arial" w:hAnsi="Arial" w:eastAsia="SimSun"/>
          <w:b w:val="0"/>
          <w:i w:val="0"/>
          <w:color w:val="222222"/>
          <w:sz w:val="21"/>
        </w:rPr>
        <w:t>：至少区分短期工作记忆、会话状态、长期偏好或知识。并不是所有“记忆”都该长期保留。</w:t>
      </w:r>
    </w:p>
    <w:p>
      <w:pPr>
        <w:spacing w:after="60" w:line="288" w:lineRule="auto"/>
      </w:pPr>
      <w:r>
        <w:rPr>
          <w:rFonts w:ascii="Arial" w:hAnsi="Arial" w:eastAsia="SimSun"/>
          <w:b/>
          <w:i w:val="0"/>
          <w:color w:val="1F4E79"/>
          <w:sz w:val="22"/>
        </w:rPr>
        <w:t>5. 观察与评测</w:t>
      </w:r>
      <w:r>
        <w:rPr>
          <w:rFonts w:ascii="Arial" w:hAnsi="Arial" w:eastAsia="SimSun"/>
          <w:b w:val="0"/>
          <w:i w:val="0"/>
          <w:color w:val="222222"/>
          <w:sz w:val="21"/>
        </w:rPr>
        <w:t>：要能回看每一步输入、工具调用、模型输出、人工干预和最终结果，并把失败归因到具体环节。</w:t>
      </w:r>
    </w:p>
    <w:p>
      <w:pPr>
        <w:spacing w:after="60" w:line="288" w:lineRule="auto"/>
      </w:pPr>
      <w:r>
        <w:rPr>
          <w:rFonts w:ascii="Arial" w:hAnsi="Arial" w:eastAsia="SimSun"/>
          <w:b/>
          <w:i w:val="0"/>
          <w:color w:val="1F4E79"/>
          <w:sz w:val="22"/>
        </w:rPr>
        <w:t>6. 安全与治理</w:t>
      </w:r>
      <w:r>
        <w:rPr>
          <w:rFonts w:ascii="Arial" w:hAnsi="Arial" w:eastAsia="SimSun"/>
          <w:b w:val="0"/>
          <w:i w:val="0"/>
          <w:color w:val="222222"/>
          <w:sz w:val="21"/>
        </w:rPr>
        <w:t>：对写文件、发消息、调用外部系统、执行代码等高风险动作设置审批、白名单或策略检查。</w:t>
      </w:r>
    </w:p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六、代表性开源项目盘点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项目</w:t>
            </w:r>
          </w:p>
        </w:tc>
        <w:tc>
          <w:tcPr>
            <w:tcW w:type="dxa" w:w="215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定位</w:t>
            </w:r>
          </w:p>
        </w:tc>
        <w:tc>
          <w:tcPr>
            <w:tcW w:type="dxa" w:w="272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优势</w:t>
            </w:r>
          </w:p>
        </w:tc>
        <w:tc>
          <w:tcPr>
            <w:tcW w:type="dxa" w:w="277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初步判断</w:t>
            </w:r>
          </w:p>
        </w:tc>
      </w:tr>
      <w:tr>
        <w:tc>
          <w:tcPr>
            <w:tcW w:type="dxa" w:w="170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OpenAI Agents SDK</w:t>
            </w:r>
          </w:p>
        </w:tc>
        <w:tc>
          <w:tcPr>
            <w:tcW w:type="dxa" w:w="215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应用级 Agent 开发工具包</w:t>
            </w:r>
          </w:p>
        </w:tc>
        <w:tc>
          <w:tcPr>
            <w:tcW w:type="dxa" w:w="272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tools、handoffs、guardrails、tracing 概念完整</w:t>
            </w:r>
          </w:p>
        </w:tc>
        <w:tc>
          <w:tcPr>
            <w:tcW w:type="dxa" w:w="277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适合自控编排和生产集成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LangGraph</w:t>
            </w:r>
          </w:p>
        </w:tc>
        <w:tc>
          <w:tcPr>
            <w:tcW w:type="dxa" w:w="215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低层图式编排框架</w:t>
            </w:r>
          </w:p>
        </w:tc>
        <w:tc>
          <w:tcPr>
            <w:tcW w:type="dxa" w:w="272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durable execution、human-in-the-loop、memory 很强</w:t>
            </w:r>
          </w:p>
        </w:tc>
        <w:tc>
          <w:tcPr>
            <w:tcW w:type="dxa" w:w="277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适合复杂长流程和强状态系统</w:t>
            </w:r>
          </w:p>
        </w:tc>
      </w:tr>
      <w:tr>
        <w:tc>
          <w:tcPr>
            <w:tcW w:type="dxa" w:w="170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Microsoft Agent Framework</w:t>
            </w:r>
          </w:p>
        </w:tc>
        <w:tc>
          <w:tcPr>
            <w:tcW w:type="dxa" w:w="215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企业级 Agent + Workflow 框架</w:t>
            </w:r>
          </w:p>
        </w:tc>
        <w:tc>
          <w:tcPr>
            <w:tcW w:type="dxa" w:w="272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type safety、session、checkpoint、MCP、telemetry</w:t>
            </w:r>
          </w:p>
        </w:tc>
        <w:tc>
          <w:tcPr>
            <w:tcW w:type="dxa" w:w="277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适合企业级长期演进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AutoGen</w:t>
            </w:r>
          </w:p>
        </w:tc>
        <w:tc>
          <w:tcPr>
            <w:tcW w:type="dxa" w:w="215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老牌多 Agent 框架</w:t>
            </w:r>
          </w:p>
        </w:tc>
        <w:tc>
          <w:tcPr>
            <w:tcW w:type="dxa" w:w="272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历史影响大、资料多</w:t>
            </w:r>
          </w:p>
        </w:tc>
        <w:tc>
          <w:tcPr>
            <w:tcW w:type="dxa" w:w="277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已进入 maintenance mode，新项目不宜首选</w:t>
            </w:r>
          </w:p>
        </w:tc>
      </w:tr>
      <w:tr>
        <w:tc>
          <w:tcPr>
            <w:tcW w:type="dxa" w:w="170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CrewAI</w:t>
            </w:r>
          </w:p>
        </w:tc>
        <w:tc>
          <w:tcPr>
            <w:tcW w:type="dxa" w:w="215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强调 Crews 与 Flows</w:t>
            </w:r>
          </w:p>
        </w:tc>
        <w:tc>
          <w:tcPr>
            <w:tcW w:type="dxa" w:w="272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概念包装清楚、上手快</w:t>
            </w:r>
          </w:p>
        </w:tc>
        <w:tc>
          <w:tcPr>
            <w:tcW w:type="dxa" w:w="277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适合业务自动化原型，但要警惕过早多 Agent 化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smolagents</w:t>
            </w:r>
          </w:p>
        </w:tc>
        <w:tc>
          <w:tcPr>
            <w:tcW w:type="dxa" w:w="215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轻量代码型 Agent 框架</w:t>
            </w:r>
          </w:p>
        </w:tc>
        <w:tc>
          <w:tcPr>
            <w:tcW w:type="dxa" w:w="272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简洁透明、适合实验</w:t>
            </w:r>
          </w:p>
        </w:tc>
        <w:tc>
          <w:tcPr>
            <w:tcW w:type="dxa" w:w="277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适合原型和教学，不必承担过多生产期望</w:t>
            </w:r>
          </w:p>
        </w:tc>
      </w:tr>
      <w:tr>
        <w:tc>
          <w:tcPr>
            <w:tcW w:type="dxa" w:w="170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SWE-agent / OpenHands</w:t>
            </w:r>
          </w:p>
        </w:tc>
        <w:tc>
          <w:tcPr>
            <w:tcW w:type="dxa" w:w="215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垂直领域 software agent</w:t>
            </w:r>
          </w:p>
        </w:tc>
        <w:tc>
          <w:tcPr>
            <w:tcW w:type="dxa" w:w="272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ACI 与环境反馈设计很有参考价值</w:t>
            </w:r>
          </w:p>
        </w:tc>
        <w:tc>
          <w:tcPr>
            <w:tcW w:type="dxa" w:w="277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适合学习真实任务闭环，不是通用框架替代品</w:t>
            </w:r>
          </w:p>
        </w:tc>
      </w:tr>
    </w:tbl>
    <w:p/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七、评测与 benchmark 的启发</w:t>
      </w:r>
    </w:p>
    <w:p>
      <w:pPr>
        <w:spacing w:after="120" w:before="0" w:line="312" w:lineRule="auto"/>
        <w:ind w:firstLine="420"/>
      </w:pPr>
      <w:r>
        <w:rPr>
          <w:rFonts w:ascii="Arial" w:hAnsi="Arial" w:eastAsia="SimSun"/>
          <w:b w:val="0"/>
          <w:i w:val="0"/>
          <w:color w:val="222222"/>
          <w:sz w:val="22"/>
        </w:rPr>
        <w:t>AgentBench、SWE-bench、OSWorld 等 benchmark 为比较不同系统提供了共同语言，但它们并不能直接替代业务评测。尤其是 2026 年 2 月 23 日，OpenAI 发布《Why we no longer evaluate SWE-bench Verified》，明确指出单一公开基准对前沿 agent 的区分能力正在下降，这个信号很值得注意。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Benchmark / 资料</w:t>
            </w:r>
          </w:p>
        </w:tc>
        <w:tc>
          <w:tcPr>
            <w:tcW w:type="dxa" w:w="238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覆盖能力</w:t>
            </w:r>
          </w:p>
        </w:tc>
        <w:tc>
          <w:tcPr>
            <w:tcW w:type="dxa" w:w="419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对系统设计的启发</w:t>
            </w:r>
          </w:p>
        </w:tc>
      </w:tr>
      <w:tr>
        <w:tc>
          <w:tcPr>
            <w:tcW w:type="dxa" w:w="226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AgentBench</w:t>
            </w:r>
          </w:p>
        </w:tc>
        <w:tc>
          <w:tcPr>
            <w:tcW w:type="dxa" w:w="238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通用 agent 任务</w:t>
            </w:r>
          </w:p>
        </w:tc>
        <w:tc>
          <w:tcPr>
            <w:tcW w:type="dxa" w:w="4195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适合认识任务多样性，但离生产环境仍有距离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SWE-bench / SWE-agent</w:t>
            </w:r>
          </w:p>
        </w:tc>
        <w:tc>
          <w:tcPr>
            <w:tcW w:type="dxa" w:w="238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代码修复与仓库级任务</w:t>
            </w:r>
          </w:p>
        </w:tc>
        <w:tc>
          <w:tcPr>
            <w:tcW w:type="dxa" w:w="4195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强调环境、测试反馈和 ACI 的重要性</w:t>
            </w:r>
          </w:p>
        </w:tc>
      </w:tr>
      <w:tr>
        <w:tc>
          <w:tcPr>
            <w:tcW w:type="dxa" w:w="2268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OSWorld</w:t>
            </w:r>
          </w:p>
        </w:tc>
        <w:tc>
          <w:tcPr>
            <w:tcW w:type="dxa" w:w="2381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真实电脑环境中的多模态任务</w:t>
            </w:r>
          </w:p>
        </w:tc>
        <w:tc>
          <w:tcPr>
            <w:tcW w:type="dxa" w:w="4195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说明 GUI grounding、操作知识、长期任务仍是难点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OpenAI 对 SWE-bench Verified 的反思</w:t>
            </w:r>
          </w:p>
        </w:tc>
        <w:tc>
          <w:tcPr>
            <w:tcW w:type="dxa" w:w="2381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benchmark 有老化和污染风险</w:t>
            </w:r>
          </w:p>
        </w:tc>
        <w:tc>
          <w:tcPr>
            <w:tcW w:type="dxa" w:w="4195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企业必须建立自己的 eval flywheel</w:t>
            </w:r>
          </w:p>
        </w:tc>
      </w:tr>
    </w:tbl>
    <w:p/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八、初步技术判断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最稳妥的系统形态通常是“workflow 外壳 + 少量专业 agent 节点 + 强工具接口 + 强评测闭环”，而不是无限制自治体。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多 Agent 的价值主要来自任务分治、并行执行、上下文隔离和角色审核，而不是“像组织一样协作”这种叙事本身。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对多数企业任务，真正的难点是外部系统集成、权限设计、追踪与审计，而不是 prompt engineering。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长期记忆不是默认加分项。若没有生命周期、可信度和失效策略，记忆会迅速从能力变成风险源。</w:t>
      </w:r>
    </w:p>
    <w:p>
      <w:pPr>
        <w:pStyle w:val="ListBullet"/>
        <w:spacing w:after="80" w:line="288" w:lineRule="auto"/>
      </w:pPr>
      <w:r>
        <w:rPr>
          <w:rFonts w:ascii="Arial" w:hAnsi="Arial" w:eastAsia="SimSun"/>
          <w:b w:val="0"/>
          <w:i w:val="0"/>
          <w:color w:val="222222"/>
          <w:sz w:val="21"/>
        </w:rPr>
        <w:t>未来框架竞争的核心将更多落在状态管理、互操作协议、评测平台和人机协同体验，而不只是 agent DSL。</w:t>
      </w:r>
    </w:p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九、建议的落地路线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57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阶段</w:t>
            </w:r>
          </w:p>
        </w:tc>
        <w:tc>
          <w:tcPr>
            <w:tcW w:type="dxa" w:w="232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目标</w:t>
            </w:r>
          </w:p>
        </w:tc>
        <w:tc>
          <w:tcPr>
            <w:tcW w:type="dxa" w:w="476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imSun"/>
                <w:b/>
                <w:i w:val="0"/>
                <w:color w:val="1F4E79"/>
                <w:sz w:val="20"/>
              </w:rPr>
              <w:t>建议动作</w:t>
            </w:r>
          </w:p>
        </w:tc>
      </w:tr>
      <w:tr>
        <w:tc>
          <w:tcPr>
            <w:tcW w:type="dxa" w:w="175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阶段 1：任务选型</w:t>
            </w:r>
          </w:p>
        </w:tc>
        <w:tc>
          <w:tcPr>
            <w:tcW w:type="dxa" w:w="232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识别值得 agent 化的任务</w:t>
            </w:r>
          </w:p>
        </w:tc>
        <w:tc>
          <w:tcPr>
            <w:tcW w:type="dxa" w:w="4762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选择高价值、步骤不完全固定、能获得外部反馈的任务</w:t>
            </w:r>
          </w:p>
        </w:tc>
      </w:tr>
      <w:tr>
        <w:tc>
          <w:tcPr>
            <w:tcW w:type="dxa" w:w="1757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阶段 2：最小系统</w:t>
            </w:r>
          </w:p>
        </w:tc>
        <w:tc>
          <w:tcPr>
            <w:tcW w:type="dxa" w:w="232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验证单 Agent 闭环</w:t>
            </w:r>
          </w:p>
        </w:tc>
        <w:tc>
          <w:tcPr>
            <w:tcW w:type="dxa" w:w="4762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实现任务输入、工具调用、停止条件、失败回收和 tracing</w:t>
            </w:r>
          </w:p>
        </w:tc>
      </w:tr>
      <w:tr>
        <w:tc>
          <w:tcPr>
            <w:tcW w:type="dxa" w:w="1757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阶段 3：生产化底座</w:t>
            </w:r>
          </w:p>
        </w:tc>
        <w:tc>
          <w:tcPr>
            <w:tcW w:type="dxa" w:w="2324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提高稳定性</w:t>
            </w:r>
          </w:p>
        </w:tc>
        <w:tc>
          <w:tcPr>
            <w:tcW w:type="dxa" w:w="4762"/>
            <w:vAlign w:val="center"/>
            <w:shd w:fill="F8FB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补齐状态持久化、审批流、权限控制、监控和评测集</w:t>
            </w:r>
          </w:p>
        </w:tc>
      </w:tr>
      <w:tr>
        <w:tc>
          <w:tcPr>
            <w:tcW w:type="dxa" w:w="1757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阶段 4：结构升级</w:t>
            </w:r>
          </w:p>
        </w:tc>
        <w:tc>
          <w:tcPr>
            <w:tcW w:type="dxa" w:w="232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在必要时引入多 Agent</w:t>
            </w:r>
          </w:p>
        </w:tc>
        <w:tc>
          <w:tcPr>
            <w:tcW w:type="dxa" w:w="4762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SimSun"/>
                <w:b w:val="0"/>
                <w:i w:val="0"/>
                <w:color w:val="222222"/>
                <w:sz w:val="19"/>
              </w:rPr>
              <w:t>仅在单 Agent 上下文已失控或确实需要角色分工时再拆分</w:t>
            </w:r>
          </w:p>
        </w:tc>
      </w:tr>
    </w:tbl>
    <w:p/>
    <w:p>
      <w:pPr>
        <w:spacing w:before="200" w:after="100" w:line="276" w:lineRule="auto"/>
      </w:pPr>
      <w:r>
        <w:rPr>
          <w:rFonts w:ascii="Arial" w:hAnsi="Arial" w:eastAsia="SimSun"/>
          <w:b/>
          <w:i w:val="0"/>
          <w:color w:val="1F4E79"/>
          <w:sz w:val="32"/>
        </w:rPr>
        <w:t>十、参考资料（节选）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Anthropic. Building Effective Agents. https://www.anthropic.com/engineering/building-effective-agents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OpenAI. Agents. https://platform.openai.com/docs/guides/agents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OpenAI. Agent evals. https://platform.openai.com/docs/guides/agent-evals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OpenAI. Safety in building agents. https://platform.openai.com/docs/guides/agent-builder-safety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Microsoft Learn. Microsoft Agent Framework Overview. https://learn.microsoft.com/en-us/agent-framework/overview/ （页面显示最后更新：2026-02-20）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Model Context Protocol. Introduction / Architecture. https://modelcontextprotocol.io/schema/v1 ; https://modelcontextprotocol.io/specification/2024-11-05/architecture/index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Yao et al. ReAct: Synergizing Reasoning and Acting in Language Models. https://arxiv.org/abs/2210.03629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Schick et al. Toolformer: Language Models Can Teach Themselves to Use Tools. https://arxiv.org/abs/2302.04761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Wang et al. Plan-and-Solve Prompting. https://arxiv.org/abs/2305.04091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Shinn et al. Reflexion: Language Agents with Verbal Reinforcement Learning. https://arxiv.org/abs/2303.11366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Zhou et al. Language Agent Tree Search. https://arxiv.org/abs/2310.04406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Wang et al. A Survey on Large Language Model based Autonomous Agents. https://arxiv.org/abs/2308.11432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Guo et al. Large Language Model based Multi-Agents: A Survey of Progress and Challenges. https://arxiv.org/abs/2402.01680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Liu et al. AgentBench. https://arxiv.org/abs/2308.03688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Jimenez et al. SWE-bench. https://arxiv.org/abs/2310.06770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Xie et al. OSWorld. https://arxiv.org/abs/2404.07972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OpenAI. Why we no longer evaluate SWE-bench Verified. https://openai.com/index/why-we-no-longer-evaluate-swe-bench-verified/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OpenAI Agents SDK. https://github.com/openai/openai-agents-python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LangGraph. https://github.com/langchain-ai/langgraph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Microsoft Agent Framework. https://github.com/microsoft/agent-framework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AutoGen. https://github.com/microsoft/autogen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CrewAI. https://github.com/crewAIInc/crewAI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smolagents. https://github.com/huggingface/smolagents</w:t>
      </w:r>
    </w:p>
    <w:p>
      <w:pPr>
        <w:pStyle w:val="ListNumber"/>
        <w:spacing w:after="60" w:line="252" w:lineRule="auto"/>
      </w:pPr>
      <w:r>
        <w:rPr>
          <w:rFonts w:ascii="Arial" w:hAnsi="Arial" w:eastAsia="SimSun"/>
          <w:b w:val="0"/>
          <w:i w:val="0"/>
          <w:color w:val="222222"/>
          <w:sz w:val="18"/>
        </w:rPr>
        <w:t>OpenHands. https://github.com/All-Hands-AI/OpenHands</w:t>
      </w:r>
    </w:p>
    <w:sectPr w:rsidR="00FC693F" w:rsidRPr="0006063C" w:rsidSect="00034616">
      <w:footerReference w:type="default" r:id="rId9"/>
      <w:pgSz w:w="12240" w:h="15840"/>
      <w:pgMar w:top="1247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imSun"/>
        <w:b w:val="0"/>
        <w:i w:val="0"/>
        <w:color w:val="666666"/>
        <w:sz w:val="18"/>
      </w:rPr>
      <w:t>技术研究助理 | Agent 系统系统调研报告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