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蚀刻多智能体系统-subagent-能力规划与架构设计"/>
    <w:p>
      <w:pPr>
        <w:pStyle w:val="Heading1"/>
      </w:pPr>
      <w:r>
        <w:t xml:space="preserve">蚀刻多智能体系统 SubAgent 能力规划与架构设计</w:t>
      </w:r>
    </w:p>
    <w:p>
      <w:pPr>
        <w:pStyle w:val="BlockText"/>
      </w:pPr>
      <w:r>
        <w:rPr>
          <w:bCs/>
          <w:b/>
        </w:rPr>
        <w:t xml:space="preserve">版本</w:t>
      </w:r>
      <w:r>
        <w:t xml:space="preserve">: v1.0</w:t>
      </w:r>
      <w:r>
        <w:br/>
      </w:r>
      <w:r>
        <w:rPr>
          <w:bCs/>
          <w:b/>
        </w:rPr>
        <w:t xml:space="preserve">日期</w:t>
      </w:r>
      <w:r>
        <w:t xml:space="preserve">: 2026-05-27</w:t>
      </w:r>
      <w:r>
        <w:br/>
      </w:r>
      <w:r>
        <w:rPr>
          <w:bCs/>
          <w:b/>
        </w:rPr>
        <w:t xml:space="preserve">编制</w:t>
      </w:r>
      <w:r>
        <w:t xml:space="preserve">: 多智能体架构设计团队</w:t>
      </w:r>
      <w:r>
        <w:br/>
      </w:r>
      <w:r>
        <w:rPr>
          <w:bCs/>
          <w:b/>
        </w:rPr>
        <w:t xml:space="preserve">适用范围</w:t>
      </w:r>
      <w:r>
        <w:t xml:space="preserve">: 半导体蚀刻工艺优化多智能体系统</w:t>
      </w:r>
    </w:p>
    <w:p>
      <w:r>
        <w:pict>
          <v:rect style="width:0;height:1.5pt" o:hralign="center" o:hrstd="t" o:hr="t"/>
        </w:pict>
      </w:r>
    </w:p>
    <w:bookmarkEnd w:id="20"/>
    <w:bookmarkStart w:id="144" w:name="引言与系统愿景"/>
    <w:p>
      <w:pPr>
        <w:pStyle w:val="Heading1"/>
      </w:pPr>
      <w:r>
        <w:t xml:space="preserve">1. 引言与系统愿景</w:t>
      </w:r>
    </w:p>
    <w:bookmarkStart w:id="23" w:name="背景与问题定义"/>
    <w:p>
      <w:pPr>
        <w:pStyle w:val="Heading2"/>
      </w:pPr>
      <w:r>
        <w:t xml:space="preserve">1.1 背景与问题定义</w:t>
      </w:r>
    </w:p>
    <w:bookmarkStart w:id="21" w:name="半导体蚀刻工艺面临的核心挑战"/>
    <w:p>
      <w:pPr>
        <w:pStyle w:val="Heading3"/>
      </w:pPr>
      <w:r>
        <w:t xml:space="preserve">1.1.1 半导体蚀刻工艺面临的核心挑战</w:t>
      </w:r>
    </w:p>
    <w:p>
      <w:pPr>
        <w:pStyle w:val="FirstParagraph"/>
      </w:pPr>
      <w:r>
        <w:t xml:space="preserve">半导体蚀刻工艺是集成电路制造中的核心环节，其本质是通过化学反应或物理轰击将晶圆表面的特定材料选择性地移除，以形成精确的图形结构。随着工艺节点进入3 nm及以下，蚀刻工艺面临的技术挑战呈指数级增长。过刻蚀（Over-etching）控制精度要求在亚纳米尺度，极微小的深度偏差即可导致器件电学性能的显著退化</w:t>
      </w:r>
      <w:r>
        <w:rPr>
          <w:vertAlign w:val="superscript"/>
        </w:rPr>
        <w:footnoteReference w:id="1"/>
      </w:r>
      <w:r>
        <w:t xml:space="preserve">。负载效应（Loading Effect）以三种形式严重影响工艺均匀性：宏观负载效应（Macro-loading）指不同图形密度区域间的蚀刻速率差异；微观负载效应（Micro-loading）指单个芯片内图形密度变化引起的速率不均；宽高比相关刻蚀（Aspect Ratio Dependent Etching, ARDE）指高深宽比结构中的离子输运受限导致的底部蚀刻速率下降</w:t>
      </w:r>
      <w:r>
        <w:rPr>
          <w:vertAlign w:val="superscript"/>
        </w:rPr>
        <w:footnoteReference w:id="2"/>
      </w:r>
      <w:r>
        <w:t xml:space="preserve">。此外，选择比（Selectivity）控制——即在刻蚀目标材料的同时保护掩模和下层材料——随着新材料体系的引入而愈发困难</w:t>
      </w:r>
      <w:fldSimple w:instr="NOTEREF _Ref_Footnote_1 \h \f">
        <w:r>
          <w:rPr>
            <w:vertAlign w:val="superscript"/>
          </w:rPr>
          <w:t>1</w:t>
        </w:r>
      </w:fldSimple>
      <w:r>
        <w:t xml:space="preserve">。</w:t>
      </w:r>
    </w:p>
    <w:p>
      <w:pPr>
        <w:pStyle w:val="BodyText"/>
      </w:pPr>
      <w:r>
        <w:t xml:space="preserve">这些技术挑战的背后，是蚀刻工艺参数空间的高维性与复杂性。Lam Research的归纳表明，先进等离子体蚀刻腔室配备了数十个独立可调节的”旋钮”（knobs），涵盖射频功率系统、气体系统、压力系统、温度系统及电极间距等类别，每个类别内含多个强耦合参数</w:t>
      </w:r>
      <w:fldSimple w:instr="NOTEREF _Ref_Footnote_1 \h \f">
        <w:r>
          <w:rPr>
            <w:vertAlign w:val="superscript"/>
          </w:rPr>
          <w:t>1</w:t>
        </w:r>
      </w:fldSimple>
      <w:r>
        <w:t xml:space="preserve">。例如射频功率的升高虽可提升蚀刻速率，却同步降低选择比并增加物理损伤风险</w:t>
      </w:r>
      <w:r>
        <w:rPr>
          <w:vertAlign w:val="superscript"/>
        </w:rPr>
        <w:footnoteReference w:id="3"/>
      </w:r>
      <w:r>
        <w:t xml:space="preserve">。传统工艺优化依赖工程师经验和单因子实验（One-Factor-At-A-Time, OFAT）方法，但OFAT无法捕捉等离子体与化学过程中固有的多变量交互作用</w:t>
      </w:r>
      <w:r>
        <w:rPr>
          <w:vertAlign w:val="superscript"/>
        </w:rPr>
        <w:footnoteReference w:id="4"/>
      </w:r>
      <w:r>
        <w:t xml:space="preserve">，导致开发周期漫长——这一”巨大的工艺空间”直接转化为”漫长的开发周期”</w:t>
      </w:r>
      <w:fldSimple w:instr="NOTEREF _Ref_Footnote_1 \h \f">
        <w:r>
          <w:rPr>
            <w:vertAlign w:val="superscript"/>
          </w:rPr>
          <w:t>1</w:t>
        </w:r>
      </w:fldSimple>
      <w:r>
        <w:t xml:space="preserve">。</w:t>
      </w:r>
    </w:p>
    <w:p>
      <w:pPr>
        <w:pStyle w:val="BodyText"/>
      </w:pPr>
      <w:r>
        <w:t xml:space="preserve">实验成本构成另一重刚性约束。单次蚀刻实验的测试晶圆、耗材和设备机时成本可达数千美元</w:t>
      </w:r>
      <w:r>
        <w:rPr>
          <w:vertAlign w:val="superscript"/>
        </w:rPr>
        <w:footnoteReference w:id="5"/>
      </w:r>
      <w:r>
        <w:t xml:space="preserve">，而评估11个工艺参数的全因子设计需2048次运行</w:t>
      </w:r>
      <w:fldSimple w:instr="NOTEREF _Ref_Footnote_4 \h \f">
        <w:r>
          <w:rPr>
            <w:vertAlign w:val="superscript"/>
          </w:rPr>
          <w:t>4</w:t>
        </w:r>
      </w:fldSimple>
      <w:r>
        <w:t xml:space="preserve">，穷尽式搜索在经济上完全不可行。</w:t>
      </w:r>
    </w:p>
    <w:bookmarkEnd w:id="21"/>
    <w:bookmarkStart w:id="22" w:name="多智能体方法的价值主张"/>
    <w:p>
      <w:pPr>
        <w:pStyle w:val="Heading3"/>
      </w:pPr>
      <w:r>
        <w:t xml:space="preserve">1.1.3 多智能体方法的价值主张</w:t>
      </w:r>
    </w:p>
    <w:p>
      <w:pPr>
        <w:pStyle w:val="FirstParagraph"/>
      </w:pPr>
      <w:r>
        <w:t xml:space="preserve">多智能体系统（Multi-Agent System, MAS）为上述困境提供了新的方法论路径。其核心价值建立在三个支柱之上。第一，专业化分工：各SubAgent聚焦特定能力域并行推进——机理仿真负责物理约束建模、贝叶斯预测负责统计优化、DOE负责实验规划、蓝军负责质量审查——实现问题分解与并行求解。第二，知识整合：通过标准化的消息协议将仿真数据、实验数据、文献知识和经验规则整合到统一决策框架中，弥合传统工艺优化中的知识碎片化问题。第三，迭代加速：贝叶斯优化已证实在5–8次迭代内收敛至合格工艺窗口，减少超过60%的测试晶圆消耗</w:t>
      </w:r>
      <w:r>
        <w:rPr>
          <w:vertAlign w:val="superscript"/>
        </w:rPr>
        <w:footnoteReference w:id="6"/>
      </w:r>
      <w:r>
        <w:t xml:space="preserve">；少样本测试时优化框架仅需5次迭代即可生成推荐配方，远低于资深工程师平均所需的84次迭代</w:t>
      </w:r>
      <w:r>
        <w:rPr>
          <w:vertAlign w:val="superscript"/>
        </w:rPr>
        <w:footnoteReference w:id="7"/>
      </w:r>
      <w:r>
        <w:t xml:space="preserve">。</w:t>
      </w:r>
    </w:p>
    <w:bookmarkEnd w:id="22"/>
    <w:bookmarkEnd w:id="23"/>
    <w:bookmarkStart w:id="27" w:name="架构愿景"/>
    <w:p>
      <w:pPr>
        <w:pStyle w:val="Heading2"/>
      </w:pPr>
      <w:r>
        <w:t xml:space="preserve">1.2 架构愿景</w:t>
      </w:r>
    </w:p>
    <w:bookmarkStart w:id="24" w:name="设计目标"/>
    <w:p>
      <w:pPr>
        <w:pStyle w:val="Heading3"/>
      </w:pPr>
      <w:r>
        <w:t xml:space="preserve">1.2.1 设计目标</w:t>
      </w:r>
    </w:p>
    <w:p>
      <w:pPr>
        <w:pStyle w:val="FirstParagraph"/>
      </w:pPr>
      <w:r>
        <w:t xml:space="preserve">本报告设计一套面向半导体蚀刻工艺的主Agent+8 SubAgent协作系统，参照OpenCode平台的SubAgent设计模式</w:t>
      </w:r>
      <w:r>
        <w:rPr>
          <w:vertAlign w:val="superscript"/>
        </w:rPr>
        <w:footnoteReference w:id="8"/>
      </w:r>
      <w:r>
        <w:t xml:space="preserve">，构建集中调度、职责单一、上下文隔离的多智能体架构。</w:t>
      </w:r>
    </w:p>
    <w:bookmarkEnd w:id="24"/>
    <w:bookmarkStart w:id="25" w:name="架构原则"/>
    <w:p>
      <w:pPr>
        <w:pStyle w:val="Heading3"/>
      </w:pPr>
      <w:r>
        <w:t xml:space="preserve">1.2.2 架构原则</w:t>
      </w:r>
    </w:p>
    <w:p>
      <w:pPr>
        <w:pStyle w:val="FirstParagraph"/>
      </w:pPr>
      <w:r>
        <w:t xml:space="preserve">系统遵循四项架构原则。第一，职责单一：每个SubAgent承担一个明确定义的功能角色——机理模型Agent专注于多尺度仿真建模，RCP参数Agent专注于配方优化，文献Agent专注于知识检索与沉淀，数据预测Agent专注于贝叶斯统计建模，DOE Agent专注于小样本实验设计，蓝军Agent专注于批判性审查与质量门禁，TRIZ Agent专注于创新矛盾分析，Summary Agent专注于信息综合与报告生成。第二，上下文隔离：各SubAgent之间不直接共享状态，所有交互通过主Agent的显式消息传递完成，确保推理可追溯。第三，结果压缩：每个SubAgent输出须经过结构化压缩（关键结论+置信度评分），减少上下文负载。第四，集中调度：主Agent作为唯一编排器（Orchestrator），负责任务分解、Agent调用与结果聚合，参考Critic-Reviewer模式中”生成-评估”协作范式</w:t>
      </w:r>
      <w:r>
        <w:rPr>
          <w:vertAlign w:val="superscript"/>
        </w:rPr>
        <w:footnoteReference w:id="9"/>
      </w:r>
      <w:r>
        <w:t xml:space="preserve">。</w:t>
      </w:r>
    </w:p>
    <w:bookmarkEnd w:id="25"/>
    <w:bookmarkStart w:id="26" w:name="系统整体架构图"/>
    <w:p>
      <w:pPr>
        <w:pStyle w:val="Heading3"/>
      </w:pPr>
      <w:r>
        <w:t xml:space="preserve">1.2.3 系统整体架构图</w:t>
      </w:r>
    </w:p>
    <w:p>
      <w:pPr>
        <w:pStyle w:val="FirstParagraph"/>
      </w:pPr>
      <w:r>
        <w:t xml:space="preserve">下图展示系统整体架构及8个SubAgent的功能定位与协作关系。</w:t>
      </w:r>
    </w:p>
    <w:p>
      <w:pPr>
        <w:pStyle w:val="SourceCode"/>
      </w:pPr>
      <w:r>
        <w:rPr>
          <w:rStyle w:val="VerbatimChar"/>
        </w:rPr>
        <w:t xml:space="preserve">graph TB</w:t>
      </w:r>
      <w:r>
        <w:br/>
      </w:r>
      <w:r>
        <w:rPr>
          <w:rStyle w:val="VerbatimChar"/>
        </w:rPr>
        <w:t xml:space="preserve">    User[工艺工程师/User Query] --&gt; MA[主Agent Orchestrator]</w:t>
      </w:r>
      <w:r>
        <w:br/>
      </w:r>
      <w:r>
        <w:rPr>
          <w:rStyle w:val="VerbatimChar"/>
        </w:rPr>
        <w:t xml:space="preserve">    MA &lt;--&gt; SA1[机理模型Agent&lt;br/&gt;多尺度仿真/物理约束]</w:t>
      </w:r>
      <w:r>
        <w:br/>
      </w:r>
      <w:r>
        <w:rPr>
          <w:rStyle w:val="VerbatimChar"/>
        </w:rPr>
        <w:t xml:space="preserve">    MA &lt;--&gt; SA2[RCP参数Agent&lt;br/&gt;配方推荐/参数优化]</w:t>
      </w:r>
      <w:r>
        <w:br/>
      </w:r>
      <w:r>
        <w:rPr>
          <w:rStyle w:val="VerbatimChar"/>
        </w:rPr>
        <w:t xml:space="preserve">    MA &lt;--&gt; SA3[文献Agent&lt;br/&gt;知识检索/案例沉淀]</w:t>
      </w:r>
      <w:r>
        <w:br/>
      </w:r>
      <w:r>
        <w:rPr>
          <w:rStyle w:val="VerbatimChar"/>
        </w:rPr>
        <w:t xml:space="preserve">    MA &lt;--&gt; SA4[数据预测Agent&lt;br/&gt;贝叶斯建模/虚拟量测]</w:t>
      </w:r>
      <w:r>
        <w:br/>
      </w:r>
      <w:r>
        <w:rPr>
          <w:rStyle w:val="VerbatimChar"/>
        </w:rPr>
        <w:t xml:space="preserve">    MA &lt;--&gt; SA5[DOE Agent&lt;br/&gt;实验设计/样本规划]</w:t>
      </w:r>
      <w:r>
        <w:br/>
      </w:r>
      <w:r>
        <w:rPr>
          <w:rStyle w:val="VerbatimChar"/>
        </w:rPr>
        <w:t xml:space="preserve">    MA &lt;--&gt; SA6[蓝军Agent&lt;br/&gt;批判审查/质量门禁]</w:t>
      </w:r>
      <w:r>
        <w:br/>
      </w:r>
      <w:r>
        <w:rPr>
          <w:rStyle w:val="VerbatimChar"/>
        </w:rPr>
        <w:t xml:space="preserve">    MA &lt;--&gt; SA7[TRIZ Agent&lt;br/&gt;矛盾分析/创新触发]</w:t>
      </w:r>
      <w:r>
        <w:br/>
      </w:r>
      <w:r>
        <w:rPr>
          <w:rStyle w:val="VerbatimChar"/>
        </w:rPr>
        <w:t xml:space="preserve">    MA &lt;--&gt; SA8[Summary Agent&lt;br/&gt;信息融合/报告生成]</w:t>
      </w:r>
      <w:r>
        <w:br/>
      </w:r>
      <w:r>
        <w:rPr>
          <w:rStyle w:val="VerbatimChar"/>
        </w:rPr>
        <w:t xml:space="preserve">    SA1 -.-&gt;|物理先验| SA4</w:t>
      </w:r>
      <w:r>
        <w:br/>
      </w:r>
      <w:r>
        <w:rPr>
          <w:rStyle w:val="VerbatimChar"/>
        </w:rPr>
        <w:t xml:space="preserve">    SA4 -.-&gt;|预测偏差反馈| SA1</w:t>
      </w:r>
      <w:r>
        <w:br/>
      </w:r>
      <w:r>
        <w:rPr>
          <w:rStyle w:val="VerbatimChar"/>
        </w:rPr>
        <w:t xml:space="preserve">    SA5 -.-&gt;|实验方案| SA6</w:t>
      </w:r>
      <w:r>
        <w:br/>
      </w:r>
      <w:r>
        <w:rPr>
          <w:rStyle w:val="VerbatimChar"/>
        </w:rPr>
        <w:t xml:space="preserve">    SA6 -.-&gt;|审查意见| SA5</w:t>
      </w:r>
      <w:r>
        <w:br/>
      </w:r>
      <w:r>
        <w:rPr>
          <w:rStyle w:val="VerbatimChar"/>
        </w:rPr>
        <w:t xml:space="preserve">    SA3 -.-&gt;|历史案例| SA7</w:t>
      </w:r>
      <w:r>
        <w:br/>
      </w:r>
      <w:r>
        <w:rPr>
          <w:rStyle w:val="VerbatimChar"/>
        </w:rPr>
        <w:t xml:space="preserve">    SA7 -.-&gt;|创新方向| SA1</w:t>
      </w:r>
      <w:r>
        <w:br/>
      </w:r>
      <w:r>
        <w:rPr>
          <w:rStyle w:val="VerbatimChar"/>
        </w:rPr>
        <w:t xml:space="preserve">    SA4 -.-&gt;|置信区间| SA8</w:t>
      </w:r>
      <w:r>
        <w:br/>
      </w:r>
      <w:r>
        <w:rPr>
          <w:rStyle w:val="VerbatimChar"/>
        </w:rPr>
        <w:t xml:space="preserve">    SA6 -.-&gt;|可信度评级| SA8</w:t>
      </w:r>
      <w:r>
        <w:br/>
      </w:r>
      <w:r>
        <w:rPr>
          <w:rStyle w:val="VerbatimChar"/>
        </w:rPr>
        <w:t xml:space="preserve">    style MA fill:#f0f0f0,stroke:#333,stroke-width:2px</w:t>
      </w:r>
      <w:r>
        <w:br/>
      </w:r>
      <w:r>
        <w:rPr>
          <w:rStyle w:val="VerbatimChar"/>
        </w:rPr>
        <w:t xml:space="preserve">    style User fill:#fff,stroke:#333</w:t>
      </w:r>
    </w:p>
    <w:p>
      <w:pPr>
        <w:pStyle w:val="FirstParagraph"/>
      </w:pPr>
      <w:r>
        <w:t xml:space="preserve">架构图中实线表示主Agent的调度指令与SubAgent的结果返回，虚线表示SubAgent间的协作信息流。机理模型Agent与数据预测Agent形成”物理引导的数据驱动”闭环：机理输出作为贝叶斯先验约束，预测偏差反馈用于模型校准。DOE Agent与蓝军Agent形成”设计-审查”闭环，蓝军在方案执行前进行质量门禁而非事后审查。TRIZ Agent作为”战略储备”，在系统陷入局部最优或遇到全新工艺场景时由主Agent激活，结合文献Agent的历史案例进行跨领域类比创新。Summary Agent基于各Agent的可信度评分生成加权综合报告，而非简单拼接文本。第2章至第9章将逐一详述各SubAgent的能力设计。</w:t>
      </w:r>
    </w:p>
    <w:bookmarkEnd w:id="26"/>
    <w:bookmarkEnd w:id="27"/>
    <w:bookmarkStart w:id="39" w:name="机理模型仿真subagent"/>
    <w:p>
      <w:pPr>
        <w:pStyle w:val="Heading2"/>
      </w:pPr>
      <w:r>
        <w:t xml:space="preserve">2. 机理模型（仿真）SubAgent</w:t>
      </w:r>
    </w:p>
    <w:p>
      <w:pPr>
        <w:pStyle w:val="FirstParagraph"/>
      </w:pPr>
      <w:r>
        <w:t xml:space="preserve">机理模型（仿真）SubAgent是蚀刻工艺多智能体系统的物理引擎，承担从第一性原理到工程近似的多尺度建模任务。该Agent的核心价值在于提供物理可解释的先验约束——其蚀刻速率预测、剖面演化轨迹和参数敏感性排序，是数据驱动模型的正则化基础，也是故障诊断中”从现象反推根因”的因果链条载体</w:t>
      </w:r>
      <w:fldSimple w:instr="NOTEREF _Ref_Footnote_2 \h \f">
        <w:r>
          <w:rPr>
            <w:vertAlign w:val="superscript"/>
          </w:rPr>
          <w:t>2</w:t>
        </w:r>
      </w:fldSimple>
      <w:r>
        <w:t xml:space="preserve">。</w:t>
      </w:r>
    </w:p>
    <w:bookmarkStart w:id="32" w:name="技术能力设计"/>
    <w:p>
      <w:pPr>
        <w:pStyle w:val="Heading3"/>
      </w:pPr>
      <w:r>
        <w:t xml:space="preserve">2.1 技术能力设计</w:t>
      </w:r>
    </w:p>
    <w:bookmarkStart w:id="28" w:name="多尺度仿真能力反应器尺度鞘层模型特征尺度原子尺度"/>
    <w:p>
      <w:pPr>
        <w:pStyle w:val="Heading4"/>
      </w:pPr>
      <w:r>
        <w:t xml:space="preserve">2.1.1 多尺度仿真能力：反应器尺度→鞘层模型→特征尺度→原子尺度</w:t>
      </w:r>
    </w:p>
    <w:p>
      <w:pPr>
        <w:pStyle w:val="FirstParagraph"/>
      </w:pPr>
      <w:r>
        <w:t xml:space="preserve">蚀刻工艺仿真依空间尺度划分为四个层次：</w:t>
      </w:r>
      <w:r>
        <w:rPr>
          <w:bCs/>
          <w:b/>
        </w:rPr>
        <w:t xml:space="preserve">反应器尺度</w:t>
      </w:r>
      <w:r>
        <w:t xml:space="preserve">（Reactor Scale, cm级）、</w:t>
      </w:r>
      <w:r>
        <w:rPr>
          <w:bCs/>
          <w:b/>
        </w:rPr>
        <w:t xml:space="preserve">鞘层尺度</w:t>
      </w:r>
      <w:r>
        <w:t xml:space="preserve">（Sheath Scale, mm级）、</w:t>
      </w:r>
      <w:r>
        <w:rPr>
          <w:bCs/>
          <w:b/>
        </w:rPr>
        <w:t xml:space="preserve">特征尺度</w:t>
      </w:r>
      <w:r>
        <w:t xml:space="preserve">（Feature Scale, μm级）和</w:t>
      </w:r>
      <w:r>
        <w:rPr>
          <w:bCs/>
          <w:b/>
        </w:rPr>
        <w:t xml:space="preserve">原子尺度</w:t>
      </w:r>
      <w:r>
        <w:t xml:space="preserve">（Atomistic Scale, nm级）</w:t>
      </w:r>
      <w:fldSimple w:instr="NOTEREF _Ref_Footnote_2 \h \f">
        <w:r>
          <w:rPr>
            <w:vertAlign w:val="superscript"/>
          </w:rPr>
          <w:t>2</w:t>
        </w:r>
      </w:fldSimple>
      <w:r>
        <w:t xml:space="preserve">。信息从反应器向特征单向流动——反应器尺度的等离子体参数通过鞘层模型传递为离子能量分布函数（Ion Energy Distribution, IED）和离子角度分布（Ion Angular Distribution, IAD），再驱动特征尺度的剖面演化</w:t>
      </w:r>
      <w:fldSimple w:instr="NOTEREF _Ref_Footnote_2 \h \f">
        <w:r>
          <w:rPr>
            <w:vertAlign w:val="superscript"/>
          </w:rPr>
          <w:t>2</w:t>
        </w:r>
      </w:fldSimple>
      <w:r>
        <w:t xml:space="preserve">。</w:t>
      </w:r>
    </w:p>
    <w:p>
      <w:pPr>
        <w:pStyle w:val="SourceCode"/>
      </w:pPr>
      <w:r>
        <w:rPr>
          <w:rStyle w:val="VerbatimChar"/>
        </w:rPr>
        <w:t xml:space="preserve">flowchart TD</w:t>
      </w:r>
      <w:r>
        <w:br/>
      </w:r>
      <w:r>
        <w:rPr>
          <w:rStyle w:val="VerbatimChar"/>
        </w:rPr>
        <w:t xml:space="preserve">    subgraph RS["反应器尺度 (cm级)"]</w:t>
      </w:r>
      <w:r>
        <w:br/>
      </w:r>
      <w:r>
        <w:rPr>
          <w:rStyle w:val="VerbatimChar"/>
        </w:rPr>
        <w:t xml:space="preserve">        A1["流体模型 / PIC-MCC"]</w:t>
      </w:r>
      <w:r>
        <w:br/>
      </w:r>
      <w:r>
        <w:rPr>
          <w:rStyle w:val="VerbatimChar"/>
        </w:rPr>
        <w:t xml:space="preserve">        A2["等离子体密度 ne, Te"]</w:t>
      </w:r>
      <w:r>
        <w:br/>
      </w:r>
      <w:r>
        <w:rPr>
          <w:rStyle w:val="VerbatimChar"/>
        </w:rPr>
        <w:t xml:space="preserve">        A1 --&gt; A2</w:t>
      </w:r>
      <w:r>
        <w:br/>
      </w:r>
      <w:r>
        <w:rPr>
          <w:rStyle w:val="VerbatimChar"/>
        </w:rPr>
        <w:t xml:space="preserve">    end</w:t>
      </w:r>
      <w:r>
        <w:br/>
      </w:r>
      <w:r>
        <w:rPr>
          <w:rStyle w:val="VerbatimChar"/>
        </w:rPr>
        <w:t xml:space="preserve">    subgraph SS["鞘层尺度 (mm级)"]</w:t>
      </w:r>
      <w:r>
        <w:br/>
      </w:r>
      <w:r>
        <w:rPr>
          <w:rStyle w:val="VerbatimChar"/>
        </w:rPr>
        <w:t xml:space="preserve">        B1["DC/RF鞘层模型"]</w:t>
      </w:r>
      <w:r>
        <w:br/>
      </w:r>
      <w:r>
        <w:rPr>
          <w:rStyle w:val="VerbatimChar"/>
        </w:rPr>
        <w:t xml:space="preserve">        B2["IED / IAD"]</w:t>
      </w:r>
      <w:r>
        <w:br/>
      </w:r>
      <w:r>
        <w:rPr>
          <w:rStyle w:val="VerbatimChar"/>
        </w:rPr>
        <w:t xml:space="preserve">        A2 --&gt; B1</w:t>
      </w:r>
      <w:r>
        <w:br/>
      </w:r>
      <w:r>
        <w:rPr>
          <w:rStyle w:val="VerbatimChar"/>
        </w:rPr>
        <w:t xml:space="preserve">        B1 --&gt; B2</w:t>
      </w:r>
      <w:r>
        <w:br/>
      </w:r>
      <w:r>
        <w:rPr>
          <w:rStyle w:val="VerbatimChar"/>
        </w:rPr>
        <w:t xml:space="preserve">    end</w:t>
      </w:r>
      <w:r>
        <w:br/>
      </w:r>
      <w:r>
        <w:rPr>
          <w:rStyle w:val="VerbatimChar"/>
        </w:rPr>
        <w:t xml:space="preserve">    subgraph FS["特征尺度 (μm级)"]</w:t>
      </w:r>
      <w:r>
        <w:br/>
      </w:r>
      <w:r>
        <w:rPr>
          <w:rStyle w:val="VerbatimChar"/>
        </w:rPr>
        <w:t xml:space="preserve">        C1["水平集法 / 元胞法 / MC"]</w:t>
      </w:r>
      <w:r>
        <w:br/>
      </w:r>
      <w:r>
        <w:rPr>
          <w:rStyle w:val="VerbatimChar"/>
        </w:rPr>
        <w:t xml:space="preserve">        C2["剖面演化 / 蚀刻速率"]</w:t>
      </w:r>
      <w:r>
        <w:br/>
      </w:r>
      <w:r>
        <w:rPr>
          <w:rStyle w:val="VerbatimChar"/>
        </w:rPr>
        <w:t xml:space="preserve">        B2 --&gt; C1</w:t>
      </w:r>
      <w:r>
        <w:br/>
      </w:r>
      <w:r>
        <w:rPr>
          <w:rStyle w:val="VerbatimChar"/>
        </w:rPr>
        <w:t xml:space="preserve">        C1 --&gt; C2</w:t>
      </w:r>
      <w:r>
        <w:br/>
      </w:r>
      <w:r>
        <w:rPr>
          <w:rStyle w:val="VerbatimChar"/>
        </w:rPr>
        <w:t xml:space="preserve">    end</w:t>
      </w:r>
      <w:r>
        <w:br/>
      </w:r>
      <w:r>
        <w:rPr>
          <w:rStyle w:val="VerbatimChar"/>
        </w:rPr>
        <w:t xml:space="preserve">    subgraph AS["原子尺度 (nm级)"]</w:t>
      </w:r>
      <w:r>
        <w:br/>
      </w:r>
      <w:r>
        <w:rPr>
          <w:rStyle w:val="VerbatimChar"/>
        </w:rPr>
        <w:t xml:space="preserve">        D1["MD / DFT / ReaxFF"]</w:t>
      </w:r>
      <w:r>
        <w:br/>
      </w:r>
      <w:r>
        <w:rPr>
          <w:rStyle w:val="VerbatimChar"/>
        </w:rPr>
        <w:t xml:space="preserve">        D2["反应参数 / 激活能"]</w:t>
      </w:r>
      <w:r>
        <w:br/>
      </w:r>
      <w:r>
        <w:rPr>
          <w:rStyle w:val="VerbatimChar"/>
        </w:rPr>
        <w:t xml:space="preserve">        D2 -.-&gt;|"标定输入"| C1</w:t>
      </w:r>
      <w:r>
        <w:br/>
      </w:r>
      <w:r>
        <w:rPr>
          <w:rStyle w:val="VerbatimChar"/>
        </w:rPr>
        <w:t xml:space="preserve">        D2 -.-&gt;|"标定输入"| B1</w:t>
      </w:r>
      <w:r>
        <w:br/>
      </w:r>
      <w:r>
        <w:rPr>
          <w:rStyle w:val="VerbatimChar"/>
        </w:rPr>
        <w:t xml:space="preserve">    end</w:t>
      </w:r>
      <w:r>
        <w:br/>
      </w:r>
      <w:r>
        <w:rPr>
          <w:rStyle w:val="VerbatimChar"/>
        </w:rPr>
        <w:t xml:space="preserve">    C2 --&gt; E["输出: 蚀刻深度、CD、均匀性、侧壁角"]</w:t>
      </w:r>
      <w:r>
        <w:br/>
      </w:r>
      <w:r>
        <w:rPr>
          <w:rStyle w:val="VerbatimChar"/>
        </w:rPr>
        <w:t xml:space="preserve">    style RS fill:#f5f5f5,stroke:#333</w:t>
      </w:r>
      <w:r>
        <w:br/>
      </w:r>
      <w:r>
        <w:rPr>
          <w:rStyle w:val="VerbatimChar"/>
        </w:rPr>
        <w:t xml:space="preserve">    style SS fill:#f5f5f5,stroke:#333</w:t>
      </w:r>
      <w:r>
        <w:br/>
      </w:r>
      <w:r>
        <w:rPr>
          <w:rStyle w:val="VerbatimChar"/>
        </w:rPr>
        <w:t xml:space="preserve">    style FS fill:#f5f5f5,stroke:#333</w:t>
      </w:r>
      <w:r>
        <w:br/>
      </w:r>
      <w:r>
        <w:rPr>
          <w:rStyle w:val="VerbatimChar"/>
        </w:rPr>
        <w:t xml:space="preserve">    style AS fill:#f5f5f5,stroke:#333</w:t>
      </w:r>
    </w:p>
    <w:p>
      <w:pPr>
        <w:pStyle w:val="FirstParagraph"/>
      </w:pPr>
      <w:r>
        <w:t xml:space="preserve">在</w:t>
      </w:r>
      <w:r>
        <w:rPr>
          <w:bCs/>
          <w:b/>
        </w:rPr>
        <w:t xml:space="preserve">反应器尺度</w:t>
      </w:r>
      <w:r>
        <w:t xml:space="preserve">，Agent根据工艺条件选择策略：常规CCP/ICP刻蚀采用基于连续性方程的</w:t>
      </w:r>
      <w:r>
        <w:rPr>
          <w:bCs/>
          <w:b/>
        </w:rPr>
        <w:t xml:space="preserve">流体模型</w:t>
      </w:r>
      <w:r>
        <w:t xml:space="preserve">，精度±20%，成本适中</w:t>
      </w:r>
      <w:r>
        <w:rPr>
          <w:vertAlign w:val="superscript"/>
        </w:rPr>
        <w:footnoteReference w:id="10"/>
      </w:r>
      <w:r>
        <w:t xml:space="preserve">；低压（&lt;10 mTorr）、高电压条件下，粒子可在鞘层获得高达10 keV能量，非局域动理学效应不可忽略，需采用</w:t>
      </w:r>
      <w:r>
        <w:rPr>
          <w:bCs/>
          <w:b/>
        </w:rPr>
        <w:t xml:space="preserve">PIC/MCC</w:t>
      </w:r>
      <w:r>
        <w:t xml:space="preserve">方法</w:t>
      </w:r>
      <w:r>
        <w:rPr>
          <w:vertAlign w:val="superscript"/>
        </w:rPr>
        <w:footnoteReference w:id="11"/>
      </w:r>
      <w:r>
        <w:t xml:space="preserve">；介于两者之间时，</w:t>
      </w:r>
      <w:r>
        <w:rPr>
          <w:bCs/>
          <w:b/>
        </w:rPr>
        <w:t xml:space="preserve">混合模型</w:t>
      </w:r>
      <w:r>
        <w:t xml:space="preserve">（电子流体描述、离子粒子描述）可取得平衡，HPEM是其代表</w:t>
      </w:r>
      <w:r>
        <w:rPr>
          <w:vertAlign w:val="superscript"/>
        </w:rPr>
        <w:footnoteReference w:id="12"/>
      </w:r>
      <w:r>
        <w:t xml:space="preserve">。</w:t>
      </w:r>
    </w:p>
    <w:p>
      <w:pPr>
        <w:pStyle w:val="BodyText"/>
      </w:pPr>
      <w:r>
        <w:t xml:space="preserve">在</w:t>
      </w:r>
      <w:r>
        <w:rPr>
          <w:bCs/>
          <w:b/>
        </w:rPr>
        <w:t xml:space="preserve">鞘层尺度</w:t>
      </w:r>
      <w:r>
        <w:t xml:space="preserve">，Agent支持两级建模：DC鞘层模型描述时间平均离子加速行为；RF鞘层模型考虑射频电场时间变化，关键参数ωτᵢ（射频频率与离子穿越鞘层时间乘积）决定离子能量分布的单峰/多峰结构</w:t>
      </w:r>
      <w:fldSimple w:instr="NOTEREF _Ref_Footnote_2 \h \f">
        <w:r>
          <w:rPr>
            <w:vertAlign w:val="superscript"/>
          </w:rPr>
          <w:t>2</w:t>
        </w:r>
      </w:fldSimple>
      <w:r>
        <w:t xml:space="preserve">。</w:t>
      </w:r>
    </w:p>
    <w:p>
      <w:pPr>
        <w:pStyle w:val="BodyText"/>
      </w:pPr>
      <w:r>
        <w:t xml:space="preserve">在</w:t>
      </w:r>
      <w:r>
        <w:rPr>
          <w:bCs/>
          <w:b/>
        </w:rPr>
        <w:t xml:space="preserve">特征尺度</w:t>
      </w:r>
      <w:r>
        <w:t xml:space="preserve">，</w:t>
      </w:r>
      <w:r>
        <w:rPr>
          <w:bCs/>
          <w:b/>
        </w:rPr>
        <w:t xml:space="preserve">水平集法</w:t>
      </w:r>
      <w:r>
        <w:t xml:space="preserve">将界面嵌入高维函数求解Hamilton-Jacobi方程，消除弦法拓扑奇异性，适合拐角和侧蚀</w:t>
      </w:r>
      <w:r>
        <w:rPr>
          <w:vertAlign w:val="superscript"/>
        </w:rPr>
        <w:footnoteReference w:id="13"/>
      </w:r>
      <w:r>
        <w:t xml:space="preserve"> </w:t>
      </w:r>
      <w:r>
        <w:rPr>
          <w:vertAlign w:val="superscript"/>
        </w:rPr>
        <w:footnoteReference w:id="14"/>
      </w:r>
      <w:r>
        <w:t xml:space="preserve">；</w:t>
      </w:r>
      <w:r>
        <w:rPr>
          <w:bCs/>
          <w:b/>
        </w:rPr>
        <w:t xml:space="preserve">元胞自动机法</w:t>
      </w:r>
      <w:r>
        <w:t xml:space="preserve">离散材料域为单元，通过蒙特卡洛追踪粒子入射和原子移除，可直接模拟再沉积和钝化层动力学</w:t>
      </w:r>
      <w:r>
        <w:rPr>
          <w:vertAlign w:val="superscript"/>
        </w:rPr>
        <w:footnoteReference w:id="15"/>
      </w:r>
      <w:r>
        <w:t xml:space="preserve"> </w:t>
      </w:r>
      <w:fldSimple w:instr="NOTEREF _Ref_Footnote_13 \h \f">
        <w:r>
          <w:rPr>
            <w:vertAlign w:val="superscript"/>
          </w:rPr>
          <w:t>13</w:t>
        </w:r>
      </w:fldSimple>
      <w:r>
        <w:t xml:space="preserve">。GPU并行化实现（如K-SPEED）可将3D特征仿真加速一个数量级</w:t>
      </w:r>
      <w:fldSimple w:instr="NOTEREF _Ref_Footnote_13 \h \f">
        <w:r>
          <w:rPr>
            <w:vertAlign w:val="superscript"/>
          </w:rPr>
          <w:t>13</w:t>
        </w:r>
      </w:fldSimple>
      <w:r>
        <w:t xml:space="preserve">。</w:t>
      </w:r>
    </w:p>
    <w:p>
      <w:pPr>
        <w:pStyle w:val="BodyText"/>
      </w:pPr>
      <w:r>
        <w:t xml:space="preserve">在</w:t>
      </w:r>
      <w:r>
        <w:rPr>
          <w:bCs/>
          <w:b/>
        </w:rPr>
        <w:t xml:space="preserve">原子尺度</w:t>
      </w:r>
      <w:r>
        <w:t xml:space="preserve">，</w:t>
      </w:r>
      <w:r>
        <w:rPr>
          <w:bCs/>
          <w:b/>
        </w:rPr>
        <w:t xml:space="preserve">分子动力学</w:t>
      </w:r>
      <w:r>
        <w:t xml:space="preserve">（MD）模拟粒子轰击表面的微观过程</w:t>
      </w:r>
      <w:r>
        <w:rPr>
          <w:vertAlign w:val="superscript"/>
        </w:rPr>
        <w:footnoteReference w:id="16"/>
      </w:r>
      <w:r>
        <w:t xml:space="preserve">；</w:t>
      </w:r>
      <w:r>
        <w:rPr>
          <w:bCs/>
          <w:b/>
        </w:rPr>
        <w:t xml:space="preserve">密度泛函理论</w:t>
      </w:r>
      <w:r>
        <w:t xml:space="preserve">（DFT）计算反应激活能和路径</w:t>
      </w:r>
      <w:r>
        <w:rPr>
          <w:vertAlign w:val="superscript"/>
        </w:rPr>
        <w:footnoteReference w:id="17"/>
      </w:r>
      <w:r>
        <w:t xml:space="preserve"> </w:t>
      </w:r>
      <w:r>
        <w:rPr>
          <w:vertAlign w:val="superscript"/>
        </w:rPr>
        <w:footnoteReference w:id="18"/>
      </w:r>
      <w:r>
        <w:t xml:space="preserve">；</w:t>
      </w:r>
      <w:r>
        <w:rPr>
          <w:bCs/>
          <w:b/>
        </w:rPr>
        <w:t xml:space="preserve">ReaxFF</w:t>
      </w:r>
      <w:r>
        <w:t xml:space="preserve">反应力场在量子精度与经典效率间折中</w:t>
      </w:r>
      <w:r>
        <w:rPr>
          <w:vertAlign w:val="superscript"/>
        </w:rPr>
        <w:footnoteReference w:id="19"/>
      </w:r>
      <w:r>
        <w:t xml:space="preserve">。</w:t>
      </w:r>
    </w:p>
    <w:tbl>
      <w:tblPr>
        <w:tblStyle w:val="Table"/>
        <w:tblW w:type="pct" w:w="5000"/>
        <w:tblLook w:firstRow="1" w:lastRow="0" w:firstColumn="0" w:lastColumn="0" w:noHBand="0" w:noVBand="0" w:val="0020"/>
      </w:tblPr>
      <w:tblGrid>
        <w:gridCol w:w="1365"/>
        <w:gridCol w:w="1365"/>
        <w:gridCol w:w="1365"/>
        <w:gridCol w:w="1365"/>
        <w:gridCol w:w="1365"/>
        <w:gridCol w:w="1092"/>
      </w:tblGrid>
      <w:tr>
        <w:trPr>
          <w:tblHeader w:val="true"/>
        </w:trPr>
        <w:tc>
          <w:tcPr/>
          <w:p>
            <w:pPr>
              <w:pStyle w:val="Compact"/>
              <w:jc w:val="center"/>
            </w:pPr>
            <w:r>
              <w:t xml:space="preserve">仿真层级</w:t>
            </w:r>
          </w:p>
        </w:tc>
        <w:tc>
          <w:tcPr/>
          <w:p>
            <w:pPr>
              <w:pStyle w:val="Compact"/>
              <w:jc w:val="center"/>
            </w:pPr>
            <w:r>
              <w:t xml:space="preserve">空间尺度</w:t>
            </w:r>
          </w:p>
        </w:tc>
        <w:tc>
          <w:tcPr/>
          <w:p>
            <w:pPr>
              <w:pStyle w:val="Compact"/>
              <w:jc w:val="center"/>
            </w:pPr>
            <w:r>
              <w:t xml:space="preserve">核心方法</w:t>
            </w:r>
          </w:p>
        </w:tc>
        <w:tc>
          <w:tcPr/>
          <w:p>
            <w:pPr>
              <w:pStyle w:val="Compact"/>
              <w:jc w:val="center"/>
            </w:pPr>
            <w:r>
              <w:t xml:space="preserve">计算成本</w:t>
            </w:r>
          </w:p>
        </w:tc>
        <w:tc>
          <w:tcPr/>
          <w:p>
            <w:pPr>
              <w:pStyle w:val="Compact"/>
              <w:jc w:val="center"/>
            </w:pPr>
            <w:r>
              <w:t xml:space="preserve">典型精度</w:t>
            </w:r>
          </w:p>
        </w:tc>
        <w:tc>
          <w:tcPr/>
          <w:p>
            <w:pPr>
              <w:pStyle w:val="Compact"/>
              <w:jc w:val="left"/>
            </w:pPr>
            <w:r>
              <w:t xml:space="preserve">关键输出</w:t>
            </w:r>
          </w:p>
        </w:tc>
      </w:tr>
      <w:tr>
        <w:tc>
          <w:tcPr/>
          <w:p>
            <w:pPr>
              <w:pStyle w:val="Compact"/>
              <w:jc w:val="center"/>
            </w:pPr>
            <w:r>
              <w:t xml:space="preserve">反应器尺度</w:t>
            </w:r>
          </w:p>
        </w:tc>
        <w:tc>
          <w:tcPr/>
          <w:p>
            <w:pPr>
              <w:pStyle w:val="Compact"/>
              <w:jc w:val="center"/>
            </w:pPr>
            <w:r>
              <w:t xml:space="preserve">cm级</w:t>
            </w:r>
          </w:p>
        </w:tc>
        <w:tc>
          <w:tcPr/>
          <w:p>
            <w:pPr>
              <w:pStyle w:val="Compact"/>
              <w:jc w:val="center"/>
            </w:pPr>
            <w:r>
              <w:t xml:space="preserve">流体模型、PIC-MCC、混合模型</w:t>
            </w:r>
          </w:p>
        </w:tc>
        <w:tc>
          <w:tcPr/>
          <w:p>
            <w:pPr>
              <w:pStyle w:val="Compact"/>
              <w:jc w:val="center"/>
            </w:pPr>
            <w:r>
              <w:t xml:space="preserve">中—高</w:t>
            </w:r>
          </w:p>
        </w:tc>
        <w:tc>
          <w:tcPr/>
          <w:p>
            <w:pPr>
              <w:pStyle w:val="Compact"/>
              <w:jc w:val="center"/>
            </w:pPr>
            <w:r>
              <w:t xml:space="preserve">±10%—±20%</w:t>
            </w:r>
          </w:p>
        </w:tc>
        <w:tc>
          <w:tcPr/>
          <w:p>
            <w:pPr>
              <w:pStyle w:val="Compact"/>
              <w:jc w:val="left"/>
            </w:pPr>
            <w:r>
              <w:t xml:space="preserve">等离子体密度、电子温度、电势分布</w:t>
            </w:r>
          </w:p>
        </w:tc>
      </w:tr>
      <w:tr>
        <w:tc>
          <w:tcPr/>
          <w:p>
            <w:pPr>
              <w:pStyle w:val="Compact"/>
              <w:jc w:val="center"/>
            </w:pPr>
            <w:r>
              <w:t xml:space="preserve">鞘层尺度</w:t>
            </w:r>
          </w:p>
        </w:tc>
        <w:tc>
          <w:tcPr/>
          <w:p>
            <w:pPr>
              <w:pStyle w:val="Compact"/>
              <w:jc w:val="center"/>
            </w:pPr>
            <w:r>
              <w:t xml:space="preserve">mm级</w:t>
            </w:r>
          </w:p>
        </w:tc>
        <w:tc>
          <w:tcPr/>
          <w:p>
            <w:pPr>
              <w:pStyle w:val="Compact"/>
              <w:jc w:val="center"/>
            </w:pPr>
            <w:r>
              <w:t xml:space="preserve">DC/RF鞘层模型</w:t>
            </w:r>
          </w:p>
        </w:tc>
        <w:tc>
          <w:tcPr/>
          <w:p>
            <w:pPr>
              <w:pStyle w:val="Compact"/>
              <w:jc w:val="center"/>
            </w:pPr>
            <w:r>
              <w:t xml:space="preserve">低—中</w:t>
            </w:r>
          </w:p>
        </w:tc>
        <w:tc>
          <w:tcPr/>
          <w:p>
            <w:pPr>
              <w:pStyle w:val="Compact"/>
              <w:jc w:val="center"/>
            </w:pPr>
            <w:r>
              <w:t xml:space="preserve">±15%</w:t>
            </w:r>
          </w:p>
        </w:tc>
        <w:tc>
          <w:tcPr/>
          <w:p>
            <w:pPr>
              <w:pStyle w:val="Compact"/>
              <w:jc w:val="left"/>
            </w:pPr>
            <w:r>
              <w:t xml:space="preserve">IED、IAD、鞘层电势降</w:t>
            </w:r>
          </w:p>
        </w:tc>
      </w:tr>
      <w:tr>
        <w:tc>
          <w:tcPr/>
          <w:p>
            <w:pPr>
              <w:pStyle w:val="Compact"/>
              <w:jc w:val="center"/>
            </w:pPr>
            <w:r>
              <w:t xml:space="preserve">特征尺度</w:t>
            </w:r>
          </w:p>
        </w:tc>
        <w:tc>
          <w:tcPr/>
          <w:p>
            <w:pPr>
              <w:pStyle w:val="Compact"/>
              <w:jc w:val="center"/>
            </w:pPr>
            <w:r>
              <w:t xml:space="preserve">μm级</w:t>
            </w:r>
          </w:p>
        </w:tc>
        <w:tc>
          <w:tcPr/>
          <w:p>
            <w:pPr>
              <w:pStyle w:val="Compact"/>
              <w:jc w:val="center"/>
            </w:pPr>
            <w:r>
              <w:t xml:space="preserve">水平集法、元胞法、MC射线追踪</w:t>
            </w:r>
          </w:p>
        </w:tc>
        <w:tc>
          <w:tcPr/>
          <w:p>
            <w:pPr>
              <w:pStyle w:val="Compact"/>
              <w:jc w:val="center"/>
            </w:pPr>
            <w:r>
              <w:t xml:space="preserve">中—高</w:t>
            </w:r>
          </w:p>
        </w:tc>
        <w:tc>
          <w:tcPr/>
          <w:p>
            <w:pPr>
              <w:pStyle w:val="Compact"/>
              <w:jc w:val="center"/>
            </w:pPr>
            <w:r>
              <w:t xml:space="preserve">±10%—±15%</w:t>
            </w:r>
          </w:p>
        </w:tc>
        <w:tc>
          <w:tcPr/>
          <w:p>
            <w:pPr>
              <w:pStyle w:val="Compact"/>
              <w:jc w:val="left"/>
            </w:pPr>
            <w:r>
              <w:t xml:space="preserve">剖面演化、CD、侧壁角、底部粗糙度</w:t>
            </w:r>
          </w:p>
        </w:tc>
      </w:tr>
      <w:tr>
        <w:tc>
          <w:tcPr/>
          <w:p>
            <w:pPr>
              <w:pStyle w:val="Compact"/>
              <w:jc w:val="center"/>
            </w:pPr>
            <w:r>
              <w:t xml:space="preserve">原子尺度</w:t>
            </w:r>
          </w:p>
        </w:tc>
        <w:tc>
          <w:tcPr/>
          <w:p>
            <w:pPr>
              <w:pStyle w:val="Compact"/>
              <w:jc w:val="center"/>
            </w:pPr>
            <w:r>
              <w:t xml:space="preserve">nm级</w:t>
            </w:r>
          </w:p>
        </w:tc>
        <w:tc>
          <w:tcPr/>
          <w:p>
            <w:pPr>
              <w:pStyle w:val="Compact"/>
              <w:jc w:val="center"/>
            </w:pPr>
            <w:r>
              <w:t xml:space="preserve">MD、DFT、ReaxFF</w:t>
            </w:r>
          </w:p>
        </w:tc>
        <w:tc>
          <w:tcPr/>
          <w:p>
            <w:pPr>
              <w:pStyle w:val="Compact"/>
              <w:jc w:val="center"/>
            </w:pPr>
            <w:r>
              <w:t xml:space="preserve">很高</w:t>
            </w:r>
          </w:p>
        </w:tc>
        <w:tc>
          <w:tcPr/>
          <w:p>
            <w:pPr>
              <w:pStyle w:val="Compact"/>
              <w:jc w:val="center"/>
            </w:pPr>
            <w:r>
              <w:t xml:space="preserve">定性—半定量</w:t>
            </w:r>
          </w:p>
        </w:tc>
        <w:tc>
          <w:tcPr/>
          <w:p>
            <w:pPr>
              <w:pStyle w:val="Compact"/>
              <w:jc w:val="left"/>
            </w:pPr>
            <w:r>
              <w:t xml:space="preserve">激活能、反应路径、粘附系数</w:t>
            </w:r>
          </w:p>
        </w:tc>
      </w:tr>
    </w:tbl>
    <w:p>
      <w:pPr>
        <w:pStyle w:val="BodyText"/>
      </w:pPr>
      <w:r>
        <w:t xml:space="preserve">上表反映了精度-成本的根本权衡。Agent根据任务动态选择仿真层级：新工艺窗口探索以流体模型+水平集法的两级级联即可；HARC的bowing/twisting缺陷诊断，则需PIC/MCC+元胞法的全耦合计算链</w:t>
      </w:r>
      <w:fldSimple w:instr="NOTEREF _Ref_Footnote_11 \h \f">
        <w:r>
          <w:rPr>
            <w:vertAlign w:val="superscript"/>
          </w:rPr>
          <w:t>11</w:t>
        </w:r>
      </w:fldSimple>
      <w:r>
        <w:t xml:space="preserve"> </w:t>
      </w:r>
      <w:r>
        <w:rPr>
          <w:vertAlign w:val="superscript"/>
        </w:rPr>
        <w:footnoteReference w:id="20"/>
      </w:r>
      <w:r>
        <w:t xml:space="preserve">。</w:t>
      </w:r>
    </w:p>
    <w:bookmarkEnd w:id="28"/>
    <w:bookmarkStart w:id="29" w:name="表面反应机理建模"/>
    <w:p>
      <w:pPr>
        <w:pStyle w:val="Heading4"/>
      </w:pPr>
      <w:r>
        <w:t xml:space="preserve">2.1.2 表面反应机理建模</w:t>
      </w:r>
    </w:p>
    <w:p>
      <w:pPr>
        <w:pStyle w:val="FirstParagraph"/>
      </w:pPr>
      <w:r>
        <w:t xml:space="preserve">表面反应机理决定仿真可信度。</w:t>
      </w:r>
      <w:r>
        <w:rPr>
          <w:bCs/>
          <w:b/>
        </w:rPr>
        <w:t xml:space="preserve">Langmuir-Hinshelwood（L-H）模型</w:t>
      </w:r>
      <w:r>
        <w:t xml:space="preserve">通过覆盖度变量自洽描述吸附-反应-脱附的竞争平衡，是求解返回通量和表面覆盖度的标准框架</w:t>
      </w:r>
      <w:fldSimple w:instr="NOTEREF _Ref_Footnote_2 \h \f">
        <w:r>
          <w:rPr>
            <w:vertAlign w:val="superscript"/>
          </w:rPr>
          <w:t>2</w:t>
        </w:r>
      </w:fldSimple>
      <w:r>
        <w:t xml:space="preserve">。</w:t>
      </w:r>
      <w:r>
        <w:rPr>
          <w:bCs/>
          <w:b/>
        </w:rPr>
        <w:t xml:space="preserve">离子增强蚀刻模型</w:t>
      </w:r>
      <w:r>
        <w:t xml:space="preserve">将速率分解为化学蚀刻、物理溅射和离子增强蚀刻三部分叠加，其中离子增强蚀刻是各向异性的主要来源</w:t>
      </w:r>
      <w:fldSimple w:instr="NOTEREF _Ref_Footnote_1 \h \f">
        <w:r>
          <w:rPr>
            <w:vertAlign w:val="superscript"/>
          </w:rPr>
          <w:t>1</w:t>
        </w:r>
      </w:fldSimple>
      <w:r>
        <w:t xml:space="preserve">。</w:t>
      </w:r>
      <w:r>
        <w:rPr>
          <w:bCs/>
          <w:b/>
        </w:rPr>
        <w:t xml:space="preserve">聚合物钝化层动力学</w:t>
      </w:r>
      <w:r>
        <w:t xml:space="preserve">处理氟碳等离子体中聚合物生长与消耗的竞争，SKM可与HPEM自洽耦合，同时模拟等离子体化学和表面化学</w:t>
      </w:r>
      <w:fldSimple w:instr="NOTEREF _Ref_Footnote_12 \h \f">
        <w:r>
          <w:rPr>
            <w:vertAlign w:val="superscript"/>
          </w:rPr>
          <w:t>12</w:t>
        </w:r>
      </w:fldSimple>
      <w:r>
        <w:t xml:space="preserve">。</w:t>
      </w:r>
    </w:p>
    <w:bookmarkEnd w:id="29"/>
    <w:bookmarkStart w:id="30" w:name="负载效应仿真macro-loadingmicro-loadingarde"/>
    <w:p>
      <w:pPr>
        <w:pStyle w:val="Heading4"/>
      </w:pPr>
      <w:r>
        <w:t xml:space="preserve">2.1.3 负载效应仿真：Macro-loading/Micro-loading/ARDE</w:t>
      </w:r>
    </w:p>
    <w:p>
      <w:pPr>
        <w:pStyle w:val="FirstParagraph"/>
      </w:pPr>
      <w:r>
        <w:t xml:space="preserve">负载效应指蚀刻速率随蚀刻面积或结构变化的现象</w:t>
      </w:r>
      <w:r>
        <w:rPr>
          <w:vertAlign w:val="superscript"/>
        </w:rPr>
        <w:footnoteReference w:id="21"/>
      </w:r>
      <w:r>
        <w:t xml:space="preserve"> </w:t>
      </w:r>
      <w:r>
        <w:rPr>
          <w:vertAlign w:val="superscript"/>
        </w:rPr>
        <w:footnoteReference w:id="22"/>
      </w:r>
      <w:r>
        <w:t xml:space="preserve">。Agent定量模拟三级效应：</w:t>
      </w:r>
      <w:r>
        <w:rPr>
          <w:bCs/>
          <w:b/>
        </w:rPr>
        <w:t xml:space="preserve">宏观负载效应</w:t>
      </w:r>
      <w:r>
        <w:t xml:space="preserve">（Macro-loading，晶圆尺度）通过反应器尺度连续性方程耦合全局消耗项修正</w:t>
      </w:r>
      <w:fldSimple w:instr="NOTEREF _Ref_Footnote_22 \h \f">
        <w:r>
          <w:rPr>
            <w:vertAlign w:val="superscript"/>
          </w:rPr>
          <w:t>22</w:t>
        </w:r>
      </w:fldSimple>
      <w:r>
        <w:t xml:space="preserve">；</w:t>
      </w:r>
      <w:r>
        <w:rPr>
          <w:bCs/>
          <w:b/>
        </w:rPr>
        <w:t xml:space="preserve">微观负载效应</w:t>
      </w:r>
      <w:r>
        <w:t xml:space="preserve">（Micro-loading，芯片尺度）耦合连续介质浓度求解器与特征模型，模拟局部图形密度差异导致的反应物非均匀输运</w:t>
      </w:r>
      <w:fldSimple w:instr="NOTEREF _Ref_Footnote_22 \h \f">
        <w:r>
          <w:rPr>
            <w:vertAlign w:val="superscript"/>
          </w:rPr>
          <w:t>22</w:t>
        </w:r>
      </w:fldSimple>
      <w:r>
        <w:t xml:space="preserve">；</w:t>
      </w:r>
      <w:r>
        <w:rPr>
          <w:bCs/>
          <w:b/>
        </w:rPr>
        <w:t xml:space="preserve">深宽比相关蚀刻</w:t>
      </w:r>
      <w:r>
        <w:t xml:space="preserve">（ARDE）考虑高深宽比结构中离子阴影效应和中性粒子传输限制</w:t>
      </w:r>
      <w:fldSimple w:instr="NOTEREF _Ref_Footnote_21 \h \f">
        <w:r>
          <w:rPr>
            <w:vertAlign w:val="superscript"/>
          </w:rPr>
          <w:t>21</w:t>
        </w:r>
      </w:fldSimple>
      <w:r>
        <w:t xml:space="preserve">。三级效应在多尺度耦合架构中同时求解，实现综合评估。</w:t>
      </w:r>
    </w:p>
    <w:bookmarkEnd w:id="30"/>
    <w:bookmarkStart w:id="31" w:name="代理模型与实时预测pinnrnn降阶模型数字孪生"/>
    <w:p>
      <w:pPr>
        <w:pStyle w:val="Heading4"/>
      </w:pPr>
      <w:r>
        <w:t xml:space="preserve">2.1.4 代理模型与实时预测：PINN、RNN降阶模型、数字孪生</w:t>
      </w:r>
    </w:p>
    <w:p>
      <w:pPr>
        <w:pStyle w:val="FirstParagraph"/>
      </w:pPr>
      <w:r>
        <w:t xml:space="preserve">高保真仿真成本（数小时至数天）与产线实时决策（秒级）的矛盾通过代理模型解决。</w:t>
      </w:r>
      <w:r>
        <w:rPr>
          <w:bCs/>
          <w:b/>
        </w:rPr>
        <w:t xml:space="preserve">物理信息神经网络</w:t>
      </w:r>
      <w:r>
        <w:t xml:space="preserve">（PINNs）将物理约束以偏微分方程残差嵌入损失函数，使模型在稀疏数据下满足守恒定律</w:t>
      </w:r>
      <w:r>
        <w:rPr>
          <w:vertAlign w:val="superscript"/>
        </w:rPr>
        <w:footnoteReference w:id="23"/>
      </w:r>
      <w:r>
        <w:t xml:space="preserve">。</w:t>
      </w:r>
      <w:r>
        <w:rPr>
          <w:bCs/>
          <w:b/>
        </w:rPr>
        <w:t xml:space="preserve">RNN降阶模型</w:t>
      </w:r>
      <w:r>
        <w:t xml:space="preserve">基于LSTM/GRU学习蚀刻速率动态响应，TensorFlow代理模型可达RMSE&lt;2 Å/min、R²=0.9966</w:t>
      </w:r>
      <w:r>
        <w:rPr>
          <w:vertAlign w:val="superscript"/>
        </w:rPr>
        <w:footnoteReference w:id="24"/>
      </w:r>
      <w:r>
        <w:t xml:space="preserve">，Xiao等人的RNN-ROM结合模型预测控制已获验证</w:t>
      </w:r>
      <w:fldSimple w:instr="NOTEREF _Ref_Footnote_23 \h \f">
        <w:r>
          <w:rPr>
            <w:vertAlign w:val="superscript"/>
          </w:rPr>
          <w:t>23</w:t>
        </w:r>
      </w:fldSimple>
      <w:r>
        <w:t xml:space="preserve">。</w:t>
      </w:r>
      <w:r>
        <w:rPr>
          <w:bCs/>
          <w:b/>
        </w:rPr>
        <w:t xml:space="preserve">数字孪生集成</w:t>
      </w:r>
      <w:r>
        <w:t xml:space="preserve">方面，TEL的虚拟实验结合ML自动参数拟合大幅减少硅实验次数</w:t>
      </w:r>
      <w:r>
        <w:rPr>
          <w:vertAlign w:val="superscript"/>
        </w:rPr>
        <w:footnoteReference w:id="25"/>
      </w:r>
      <w:r>
        <w:t xml:space="preserve"> </w:t>
      </w:r>
      <w:fldSimple w:instr="NOTEREF _Ref_Footnote_20 \h \f">
        <w:r>
          <w:rPr>
            <w:vertAlign w:val="superscript"/>
          </w:rPr>
          <w:t>20</w:t>
        </w:r>
      </w:fldSimple>
      <w:r>
        <w:t xml:space="preserve">；Lam Research在特定交接点实现99%情况下AI胜过人类工程师</w:t>
      </w:r>
      <w:r>
        <w:rPr>
          <w:vertAlign w:val="superscript"/>
        </w:rPr>
        <w:footnoteReference w:id="26"/>
      </w:r>
      <w:r>
        <w:t xml:space="preserve">。Agent输出代理模型的推理延迟应&lt;100 ms以支持边缘部署</w:t>
      </w:r>
      <w:fldSimple w:instr="NOTEREF _Ref_Footnote_24 \h \f">
        <w:r>
          <w:rPr>
            <w:vertAlign w:val="superscript"/>
          </w:rPr>
          <w:t>24</w:t>
        </w:r>
      </w:fldSimple>
      <w:r>
        <w:t xml:space="preserve">。</w:t>
      </w:r>
    </w:p>
    <w:bookmarkEnd w:id="31"/>
    <w:bookmarkEnd w:id="32"/>
    <w:bookmarkStart w:id="35" w:name="输入输出规范"/>
    <w:p>
      <w:pPr>
        <w:pStyle w:val="Heading3"/>
      </w:pPr>
      <w:r>
        <w:t xml:space="preserve">2.2 输入输出规范</w:t>
      </w:r>
    </w:p>
    <w:bookmarkStart w:id="33" w:name="输入json-schema"/>
    <w:p>
      <w:pPr>
        <w:pStyle w:val="Heading4"/>
      </w:pPr>
      <w:r>
        <w:t xml:space="preserve">2.2.1 输入JSON Schema</w:t>
      </w:r>
    </w:p>
    <w:p>
      <w:pPr>
        <w:pStyle w:val="FirstParagraph"/>
      </w:pPr>
      <w:r>
        <w:t xml:space="preserve">输入包含工艺-设备-材料-目标完整描述，核心字段包括：</w:t>
      </w:r>
      <w:r>
        <w:rPr>
          <w:rStyle w:val="VerbatimChar"/>
        </w:rPr>
        <w:t xml:space="preserve">process_type</w:t>
      </w:r>
      <w:r>
        <w:t xml:space="preserve">（CCP/ICP/ECR/RIE）、</w:t>
      </w:r>
      <w:r>
        <w:rPr>
          <w:rStyle w:val="VerbatimChar"/>
        </w:rPr>
        <w:t xml:space="preserve">etch_material</w:t>
      </w:r>
      <w:r>
        <w:t xml:space="preserve">（Si/SiO₂/Si₃N₄/TiN等）、</w:t>
      </w:r>
      <w:r>
        <w:rPr>
          <w:rStyle w:val="VerbatimChar"/>
        </w:rPr>
        <w:t xml:space="preserve">gas_chemistry</w:t>
      </w:r>
      <w:r>
        <w:t xml:space="preserve">（进气种类及流量）、</w:t>
      </w:r>
      <w:r>
        <w:rPr>
          <w:rStyle w:val="VerbatimChar"/>
        </w:rPr>
        <w:t xml:space="preserve">reactor_parameters</w:t>
      </w:r>
      <w:r>
        <w:t xml:space="preserve">（压力、射频功率、偏置功率、温度等）、</w:t>
      </w:r>
      <w:r>
        <w:rPr>
          <w:rStyle w:val="VerbatimChar"/>
        </w:rPr>
        <w:t xml:space="preserve">feature_geometry</w:t>
      </w:r>
      <w:r>
        <w:t xml:space="preserve">（沟槽宽度、深宽比、图形密度）、</w:t>
      </w:r>
      <w:r>
        <w:rPr>
          <w:rStyle w:val="VerbatimChar"/>
        </w:rPr>
        <w:t xml:space="preserve">simulation_request</w:t>
      </w:r>
      <w:r>
        <w:t xml:space="preserve">（仿真类型、目标尺度、是否需要代理模型），以及可选的</w:t>
      </w:r>
      <w:r>
        <w:rPr>
          <w:rStyle w:val="VerbatimChar"/>
        </w:rPr>
        <w:t xml:space="preserve">calibration_data</w:t>
      </w:r>
      <w:r>
        <w:t xml:space="preserve">（实验蚀刻速率、SEM图像等标定数据）。当提供实验数据时，Agent自动执行参数反演，通过贝叶斯优化或系统辨识法调整粘附系数、离子反射比等标定参数</w:t>
      </w:r>
      <w:r>
        <w:rPr>
          <w:vertAlign w:val="superscript"/>
        </w:rPr>
        <w:footnoteReference w:id="27"/>
      </w:r>
      <w:r>
        <w:t xml:space="preserve"> </w:t>
      </w:r>
      <w:r>
        <w:rPr>
          <w:vertAlign w:val="superscript"/>
        </w:rPr>
        <w:footnoteReference w:id="28"/>
      </w:r>
      <w:r>
        <w:t xml:space="preserve">。</w:t>
      </w:r>
    </w:p>
    <w:bookmarkEnd w:id="33"/>
    <w:bookmarkStart w:id="34" w:name="输出json-schema"/>
    <w:p>
      <w:pPr>
        <w:pStyle w:val="Heading4"/>
      </w:pPr>
      <w:r>
        <w:t xml:space="preserve">2.2.2 输出JSON Schema</w:t>
      </w:r>
    </w:p>
    <w:p>
      <w:pPr>
        <w:pStyle w:val="FirstParagraph"/>
      </w:pPr>
      <w:r>
        <w:t xml:space="preserve">输出包含六类核心字段：</w:t>
      </w:r>
      <w:r>
        <w:rPr>
          <w:rStyle w:val="VerbatimChar"/>
        </w:rPr>
        <w:t xml:space="preserve">etch_rate_nm_min</w:t>
      </w:r>
      <w:r>
        <w:t xml:space="preserve">（预测蚀刻速率）；</w:t>
      </w:r>
      <w:r>
        <w:rPr>
          <w:rStyle w:val="VerbatimChar"/>
        </w:rPr>
        <w:t xml:space="preserve">uniformity</w:t>
      </w:r>
      <w:r>
        <w:t xml:space="preserve">（晶圆内非均匀性1σ、局部CD变化）；</w:t>
      </w:r>
      <w:r>
        <w:rPr>
          <w:rStyle w:val="VerbatimChar"/>
        </w:rPr>
        <w:t xml:space="preserve">profile_evolution</w:t>
      </w:r>
      <w:r>
        <w:t xml:space="preserve">（最终剖面SVG、侧壁角、bowing深度、底部粗糙度）；</w:t>
      </w:r>
      <w:r>
        <w:rPr>
          <w:rStyle w:val="VerbatimChar"/>
        </w:rPr>
        <w:t xml:space="preserve">loading_effect</w:t>
      </w:r>
      <w:r>
        <w:t xml:space="preserve">（宏观/微观负载因子、ARDE系数）；</w:t>
      </w:r>
      <w:r>
        <w:rPr>
          <w:rStyle w:val="VerbatimChar"/>
        </w:rPr>
        <w:t xml:space="preserve">mechanism_analysis</w:t>
      </w:r>
      <w:r>
        <w:t xml:space="preserve">（主导蚀刻机制、钝化层厚度、离子能量分布、表面覆盖度）；</w:t>
      </w:r>
      <w:r>
        <w:rPr>
          <w:rStyle w:val="VerbatimChar"/>
        </w:rPr>
        <w:t xml:space="preserve">parameter_sensitivity</w:t>
      </w:r>
      <w:r>
        <w:t xml:space="preserve">（各参数敏感性得分排序）。此外包含</w:t>
      </w:r>
      <w:r>
        <w:rPr>
          <w:rStyle w:val="VerbatimChar"/>
        </w:rPr>
        <w:t xml:space="preserve">recommendations</w:t>
      </w:r>
      <w:r>
        <w:t xml:space="preserve">（工艺建议列表）和</w:t>
      </w:r>
      <w:r>
        <w:rPr>
          <w:rStyle w:val="VerbatimChar"/>
        </w:rPr>
        <w:t xml:space="preserve">surrogate_model</w:t>
      </w:r>
      <w:r>
        <w:t xml:space="preserve">（代理模型类型、精度指标、推理延迟）。敏感性排序直接服务DOE Agent的因子筛选——高敏感性参数选为主要因子，低敏感性参数固定为默认值以缩减搜索空间。</w:t>
      </w:r>
    </w:p>
    <w:bookmarkEnd w:id="34"/>
    <w:bookmarkEnd w:id="35"/>
    <w:bookmarkStart w:id="38" w:name="触发条件与协作关系"/>
    <w:p>
      <w:pPr>
        <w:pStyle w:val="Heading3"/>
      </w:pPr>
      <w:r>
        <w:t xml:space="preserve">2.3 触发条件与协作关系</w:t>
      </w:r>
    </w:p>
    <w:bookmarkStart w:id="36" w:name="触发条件"/>
    <w:p>
      <w:pPr>
        <w:pStyle w:val="Heading4"/>
      </w:pPr>
      <w:r>
        <w:t xml:space="preserve">2.3.1 触发条件</w:t>
      </w:r>
    </w:p>
    <w:p>
      <w:pPr>
        <w:pStyle w:val="FirstParagraph"/>
      </w:pPr>
      <w:r>
        <w:t xml:space="preserve">Agent激活由主Agent动态决策，覆盖四类场景：</w:t>
      </w:r>
      <w:r>
        <w:rPr>
          <w:bCs/>
          <w:b/>
        </w:rPr>
        <w:t xml:space="preserve">新工艺开发请求</w:t>
      </w:r>
      <w:r>
        <w:t xml:space="preserve">（process_type变更或新材料首次出现时，执行全尺度级联仿真，为DOE Agent提供先验）；</w:t>
      </w:r>
      <w:r>
        <w:rPr>
          <w:bCs/>
          <w:b/>
        </w:rPr>
        <w:t xml:space="preserve">故障诊断请求</w:t>
      </w:r>
      <w:r>
        <w:t xml:space="preserve">（产线出现bowing、notching、twisting或均匀性超标时，复现异常剖面并识别主导机制，输出至蓝军Agent交叉验证</w:t>
      </w:r>
      <w:fldSimple w:instr="NOTEREF _Ref_Footnote_20 \h \f">
        <w:r>
          <w:rPr>
            <w:vertAlign w:val="superscript"/>
          </w:rPr>
          <w:t>20</w:t>
        </w:r>
      </w:fldSimple>
      <w:r>
        <w:t xml:space="preserve">）；</w:t>
      </w:r>
      <w:r>
        <w:rPr>
          <w:bCs/>
          <w:b/>
        </w:rPr>
        <w:t xml:space="preserve">参数敏感性分析需求</w:t>
      </w:r>
      <w:r>
        <w:t xml:space="preserve">（DOE/RCP Agent发起的系统性参数扫描，输出敏感性排序和响应面近似）；</w:t>
      </w:r>
      <w:r>
        <w:rPr>
          <w:bCs/>
          <w:b/>
        </w:rPr>
        <w:t xml:space="preserve">数字孪生构建请求</w:t>
      </w:r>
      <w:r>
        <w:t xml:space="preserve">（批量高保真仿真生成训练数据，训练代理模型后台异步执行）。</w:t>
      </w:r>
    </w:p>
    <w:bookmarkEnd w:id="36"/>
    <w:bookmarkStart w:id="37" w:name="上游依赖与下游贡献"/>
    <w:p>
      <w:pPr>
        <w:pStyle w:val="Heading4"/>
      </w:pPr>
      <w:r>
        <w:t xml:space="preserve">2.3.2 上游依赖与下游贡献</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上游Agent</w:t>
            </w:r>
          </w:p>
        </w:tc>
        <w:tc>
          <w:tcPr/>
          <w:p>
            <w:pPr>
              <w:pStyle w:val="Compact"/>
              <w:jc w:val="left"/>
            </w:pPr>
            <w:r>
              <w:t xml:space="preserve">提供内容</w:t>
            </w:r>
          </w:p>
        </w:tc>
        <w:tc>
          <w:tcPr/>
          <w:p>
            <w:pPr>
              <w:pStyle w:val="Compact"/>
              <w:jc w:val="left"/>
            </w:pPr>
            <w:r>
              <w:t xml:space="preserve">用途</w:t>
            </w:r>
          </w:p>
        </w:tc>
      </w:tr>
      <w:tr>
        <w:tc>
          <w:tcPr/>
          <w:p>
            <w:pPr>
              <w:pStyle w:val="Compact"/>
              <w:jc w:val="left"/>
            </w:pPr>
            <w:r>
              <w:t xml:space="preserve">主Agent</w:t>
            </w:r>
          </w:p>
        </w:tc>
        <w:tc>
          <w:tcPr/>
          <w:p>
            <w:pPr>
              <w:pStyle w:val="Compact"/>
              <w:jc w:val="left"/>
            </w:pPr>
            <w:r>
              <w:t xml:space="preserve">任务指令、优先级、约束条件</w:t>
            </w:r>
          </w:p>
        </w:tc>
        <w:tc>
          <w:tcPr/>
          <w:p>
            <w:pPr>
              <w:pStyle w:val="Compact"/>
              <w:jc w:val="left"/>
            </w:pPr>
            <w:r>
              <w:t xml:space="preserve">确定仿真类型、精度等级和时间预算</w:t>
            </w:r>
          </w:p>
        </w:tc>
      </w:tr>
      <w:tr>
        <w:tc>
          <w:tcPr/>
          <w:p>
            <w:pPr>
              <w:pStyle w:val="Compact"/>
              <w:jc w:val="left"/>
            </w:pPr>
            <w:r>
              <w:t xml:space="preserve">RCP Agent</w:t>
            </w:r>
          </w:p>
        </w:tc>
        <w:tc>
          <w:tcPr/>
          <w:p>
            <w:pPr>
              <w:pStyle w:val="Compact"/>
              <w:jc w:val="left"/>
            </w:pPr>
            <w:r>
              <w:t xml:space="preserve">候选工艺参数组合</w:t>
            </w:r>
          </w:p>
        </w:tc>
        <w:tc>
          <w:tcPr/>
          <w:p>
            <w:pPr>
              <w:pStyle w:val="Compact"/>
              <w:jc w:val="left"/>
            </w:pPr>
            <w:r>
              <w:t xml:space="preserve">作为仿真输入条件，评估候选参数可行性</w:t>
            </w:r>
          </w:p>
        </w:tc>
      </w:tr>
      <w:tr>
        <w:tc>
          <w:tcPr/>
          <w:p>
            <w:pPr>
              <w:pStyle w:val="Compact"/>
              <w:jc w:val="left"/>
            </w:pPr>
            <w:r>
              <w:t xml:space="preserve">文献Agent</w:t>
            </w:r>
          </w:p>
        </w:tc>
        <w:tc>
          <w:tcPr/>
          <w:p>
            <w:pPr>
              <w:pStyle w:val="Compact"/>
              <w:jc w:val="left"/>
            </w:pPr>
            <w:r>
              <w:t xml:space="preserve">反应机理、截面数据、先例工艺</w:t>
            </w:r>
          </w:p>
        </w:tc>
        <w:tc>
          <w:tcPr/>
          <w:p>
            <w:pPr>
              <w:pStyle w:val="Compact"/>
              <w:jc w:val="left"/>
            </w:pPr>
            <w:r>
              <w:t xml:space="preserve">构建表面反应模型的化学参数基础</w:t>
            </w:r>
            <w:fldSimple w:instr="NOTEREF _Ref_Footnote_10 \h \f">
              <w:r>
                <w:rPr>
                  <w:vertAlign w:val="superscript"/>
                </w:rPr>
                <w:t>10</w:t>
              </w:r>
            </w:fldSimple>
          </w:p>
        </w:tc>
      </w:tr>
      <w:tr>
        <w:tc>
          <w:tcPr/>
          <w:p>
            <w:pPr>
              <w:pStyle w:val="Compact"/>
              <w:jc w:val="left"/>
            </w:pPr>
            <w:r>
              <w:t xml:space="preserve">数据Agent</w:t>
            </w:r>
          </w:p>
        </w:tc>
        <w:tc>
          <w:tcPr/>
          <w:p>
            <w:pPr>
              <w:pStyle w:val="Compact"/>
              <w:jc w:val="left"/>
            </w:pPr>
            <w:r>
              <w:t xml:space="preserve">实验测量数据（蚀刻速率、均匀性、SEM剖面）</w:t>
            </w:r>
          </w:p>
        </w:tc>
        <w:tc>
          <w:tcPr/>
          <w:p>
            <w:pPr>
              <w:pStyle w:val="Compact"/>
              <w:jc w:val="left"/>
            </w:pPr>
            <w:r>
              <w:t xml:space="preserve">模型标定与验证的基准数据</w:t>
            </w:r>
            <w:fldSimple w:instr="NOTEREF _Ref_Footnote_27 \h \f">
              <w:r>
                <w:rPr>
                  <w:vertAlign w:val="superscript"/>
                </w:rPr>
                <w:t>27</w:t>
              </w:r>
            </w:fldSimple>
          </w:p>
        </w:tc>
      </w:tr>
    </w:tbl>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下游Agent</w:t>
            </w:r>
          </w:p>
        </w:tc>
        <w:tc>
          <w:tcPr/>
          <w:p>
            <w:pPr>
              <w:pStyle w:val="Compact"/>
              <w:jc w:val="left"/>
            </w:pPr>
            <w:r>
              <w:t xml:space="preserve">提供内容</w:t>
            </w:r>
          </w:p>
        </w:tc>
        <w:tc>
          <w:tcPr/>
          <w:p>
            <w:pPr>
              <w:pStyle w:val="Compact"/>
              <w:jc w:val="left"/>
            </w:pPr>
            <w:r>
              <w:t xml:space="preserve">价值</w:t>
            </w:r>
          </w:p>
        </w:tc>
      </w:tr>
      <w:tr>
        <w:tc>
          <w:tcPr/>
          <w:p>
            <w:pPr>
              <w:pStyle w:val="Compact"/>
              <w:jc w:val="left"/>
            </w:pPr>
            <w:r>
              <w:t xml:space="preserve">数据Agent</w:t>
            </w:r>
          </w:p>
        </w:tc>
        <w:tc>
          <w:tcPr/>
          <w:p>
            <w:pPr>
              <w:pStyle w:val="Compact"/>
              <w:jc w:val="left"/>
            </w:pPr>
            <w:r>
              <w:t xml:space="preserve">物理约束先验（PINN损失项、贝叶斯先验分布）</w:t>
            </w:r>
          </w:p>
        </w:tc>
        <w:tc>
          <w:tcPr/>
          <w:p>
            <w:pPr>
              <w:pStyle w:val="Compact"/>
              <w:jc w:val="left"/>
            </w:pPr>
            <w:r>
              <w:t xml:space="preserve">使数据驱动模型满足物理守恒，提升外推能力</w:t>
            </w:r>
            <w:fldSimple w:instr="NOTEREF _Ref_Footnote_23 \h \f">
              <w:r>
                <w:rPr>
                  <w:vertAlign w:val="superscript"/>
                </w:rPr>
                <w:t>23</w:t>
              </w:r>
            </w:fldSimple>
          </w:p>
        </w:tc>
      </w:tr>
      <w:tr>
        <w:tc>
          <w:tcPr/>
          <w:p>
            <w:pPr>
              <w:pStyle w:val="Compact"/>
              <w:jc w:val="left"/>
            </w:pPr>
            <w:r>
              <w:t xml:space="preserve">DOE Agent</w:t>
            </w:r>
          </w:p>
        </w:tc>
        <w:tc>
          <w:tcPr/>
          <w:p>
            <w:pPr>
              <w:pStyle w:val="Compact"/>
              <w:jc w:val="left"/>
            </w:pPr>
            <w:r>
              <w:t xml:space="preserve">虚拟实验环境、参数敏感性排序</w:t>
            </w:r>
          </w:p>
        </w:tc>
        <w:tc>
          <w:tcPr/>
          <w:p>
            <w:pPr>
              <w:pStyle w:val="Compact"/>
              <w:jc w:val="left"/>
            </w:pPr>
            <w:r>
              <w:t xml:space="preserve">将实验搜索空间缩小60%以上</w:t>
            </w:r>
            <w:r>
              <w:rPr>
                <w:vertAlign w:val="superscript"/>
              </w:rPr>
              <w:footnoteReference w:id="29"/>
            </w:r>
          </w:p>
        </w:tc>
      </w:tr>
      <w:tr>
        <w:tc>
          <w:tcPr/>
          <w:p>
            <w:pPr>
              <w:pStyle w:val="Compact"/>
              <w:jc w:val="left"/>
            </w:pPr>
            <w:r>
              <w:t xml:space="preserve">蓝军Agent</w:t>
            </w:r>
          </w:p>
        </w:tc>
        <w:tc>
          <w:tcPr/>
          <w:p>
            <w:pPr>
              <w:pStyle w:val="Compact"/>
              <w:jc w:val="left"/>
            </w:pPr>
            <w:r>
              <w:t xml:space="preserve">可解释性依据（机理分析、参数影响链）</w:t>
            </w:r>
          </w:p>
        </w:tc>
        <w:tc>
          <w:tcPr/>
          <w:p>
            <w:pPr>
              <w:pStyle w:val="Compact"/>
              <w:jc w:val="left"/>
            </w:pPr>
            <w:r>
              <w:t xml:space="preserve">为审查提供物理因果链替代纯统计论证</w:t>
            </w:r>
            <w:fldSimple w:instr="NOTEREF _Ref_Footnote_26 \h \f">
              <w:r>
                <w:rPr>
                  <w:vertAlign w:val="superscript"/>
                </w:rPr>
                <w:t>26</w:t>
              </w:r>
            </w:fldSimple>
          </w:p>
        </w:tc>
      </w:tr>
      <w:tr>
        <w:tc>
          <w:tcPr/>
          <w:p>
            <w:pPr>
              <w:pStyle w:val="Compact"/>
              <w:jc w:val="left"/>
            </w:pPr>
            <w:r>
              <w:t xml:space="preserve">摘要Agent</w:t>
            </w:r>
          </w:p>
        </w:tc>
        <w:tc>
          <w:tcPr/>
          <w:p>
            <w:pPr>
              <w:pStyle w:val="Compact"/>
              <w:jc w:val="left"/>
            </w:pPr>
            <w:r>
              <w:t xml:space="preserve">仿真结果、置信度评级</w:t>
            </w:r>
          </w:p>
        </w:tc>
        <w:tc>
          <w:tcPr/>
          <w:p>
            <w:pPr>
              <w:pStyle w:val="Compact"/>
              <w:jc w:val="left"/>
            </w:pPr>
            <w:r>
              <w:t xml:space="preserve">支撑最终报告的证据强度标注</w:t>
            </w:r>
          </w:p>
        </w:tc>
      </w:tr>
    </w:tbl>
    <w:p>
      <w:pPr>
        <w:pStyle w:val="BodyText"/>
      </w:pPr>
      <w:r>
        <w:t xml:space="preserve">机理Agent与数据Agent形成互补闭环：机理Agent输出的物理约束作为数据Agent的贝叶斯先验，数据Agent的预测偏差反馈给机理Agent用于校准。这种”物理引导的数据驱动”架构可在小样本条件下达到更优预测精度</w:t>
      </w:r>
      <w:fldSimple w:instr="NOTEREF _Ref_Footnote_24 \h \f">
        <w:r>
          <w:rPr>
            <w:vertAlign w:val="superscript"/>
          </w:rPr>
          <w:t>24</w:t>
        </w:r>
      </w:fldSimple>
      <w:r>
        <w:t xml:space="preserve"> </w:t>
      </w:r>
      <w:fldSimple w:instr="NOTEREF _Ref_Footnote_23 \h \f">
        <w:r>
          <w:rPr>
            <w:vertAlign w:val="superscript"/>
          </w:rPr>
          <w:t>23</w:t>
        </w:r>
      </w:fldSimple>
      <w:r>
        <w:t xml:space="preserve">。</w:t>
      </w:r>
    </w:p>
    <w:tbl>
      <w:tblPr>
        <w:tblStyle w:val="Table"/>
        <w:tblW w:type="pct" w:w="5000"/>
        <w:tblLook w:firstRow="1" w:lastRow="0" w:firstColumn="0" w:lastColumn="0" w:noHBand="0" w:noVBand="0" w:val="0020"/>
      </w:tblPr>
      <w:tblGrid>
        <w:gridCol w:w="1218"/>
        <w:gridCol w:w="1218"/>
        <w:gridCol w:w="1218"/>
        <w:gridCol w:w="1523"/>
        <w:gridCol w:w="1218"/>
        <w:gridCol w:w="1523"/>
      </w:tblGrid>
      <w:tr>
        <w:trPr>
          <w:tblHeader w:val="true"/>
        </w:trPr>
        <w:tc>
          <w:tcPr/>
          <w:p>
            <w:pPr>
              <w:pStyle w:val="Compact"/>
              <w:jc w:val="left"/>
            </w:pPr>
            <w:r>
              <w:t xml:space="preserve">工具/平台</w:t>
            </w:r>
          </w:p>
        </w:tc>
        <w:tc>
          <w:tcPr/>
          <w:p>
            <w:pPr>
              <w:pStyle w:val="Compact"/>
              <w:jc w:val="left"/>
            </w:pPr>
            <w:r>
              <w:t xml:space="preserve">开发方</w:t>
            </w:r>
          </w:p>
        </w:tc>
        <w:tc>
          <w:tcPr/>
          <w:p>
            <w:pPr>
              <w:pStyle w:val="Compact"/>
              <w:jc w:val="left"/>
            </w:pPr>
            <w:r>
              <w:t xml:space="preserve">核心方法</w:t>
            </w:r>
          </w:p>
        </w:tc>
        <w:tc>
          <w:tcPr/>
          <w:p>
            <w:pPr>
              <w:pStyle w:val="Compact"/>
              <w:jc w:val="center"/>
            </w:pPr>
            <w:r>
              <w:t xml:space="preserve">适用尺度</w:t>
            </w:r>
          </w:p>
        </w:tc>
        <w:tc>
          <w:tcPr/>
          <w:p>
            <w:pPr>
              <w:pStyle w:val="Compact"/>
              <w:jc w:val="left"/>
            </w:pPr>
            <w:r>
              <w:t xml:space="preserve">关键能力</w:t>
            </w:r>
          </w:p>
        </w:tc>
        <w:tc>
          <w:tcPr/>
          <w:p>
            <w:pPr>
              <w:pStyle w:val="Compact"/>
              <w:jc w:val="center"/>
            </w:pPr>
            <w:r>
              <w:t xml:space="preserve">技术成熟度</w:t>
            </w:r>
          </w:p>
        </w:tc>
      </w:tr>
      <w:tr>
        <w:tc>
          <w:tcPr/>
          <w:p>
            <w:pPr>
              <w:pStyle w:val="Compact"/>
              <w:jc w:val="left"/>
            </w:pPr>
            <w:r>
              <w:t xml:space="preserve">COMSOL Multiphysics</w:t>
            </w:r>
          </w:p>
        </w:tc>
        <w:tc>
          <w:tcPr/>
          <w:p>
            <w:pPr>
              <w:pStyle w:val="Compact"/>
              <w:jc w:val="left"/>
            </w:pPr>
            <w:r>
              <w:t xml:space="preserve">COMSOL</w:t>
            </w:r>
          </w:p>
        </w:tc>
        <w:tc>
          <w:tcPr/>
          <w:p>
            <w:pPr>
              <w:pStyle w:val="Compact"/>
              <w:jc w:val="left"/>
            </w:pPr>
            <w:r>
              <w:t xml:space="preserve">流体模型、玻尔兹曼方程</w:t>
            </w:r>
          </w:p>
        </w:tc>
        <w:tc>
          <w:tcPr/>
          <w:p>
            <w:pPr>
              <w:pStyle w:val="Compact"/>
              <w:jc w:val="center"/>
            </w:pPr>
            <w:r>
              <w:t xml:space="preserve">反应器/鞘层</w:t>
            </w:r>
          </w:p>
        </w:tc>
        <w:tc>
          <w:tcPr/>
          <w:p>
            <w:pPr>
              <w:pStyle w:val="Compact"/>
              <w:jc w:val="left"/>
            </w:pPr>
            <w:r>
              <w:t xml:space="preserve">内置等离子体模块，支持CCP/ICP多物理场耦合</w:t>
            </w:r>
            <w:fldSimple w:instr="NOTEREF _Ref_Footnote_10 \h \f">
              <w:r>
                <w:rPr>
                  <w:vertAlign w:val="superscript"/>
                </w:rPr>
                <w:t>10</w:t>
              </w:r>
            </w:fldSimple>
            <w:r>
              <w:t xml:space="preserve"> </w:t>
            </w:r>
            <w:r>
              <w:rPr>
                <w:vertAlign w:val="superscript"/>
              </w:rPr>
              <w:footnoteReference w:id="30"/>
            </w:r>
          </w:p>
        </w:tc>
        <w:tc>
          <w:tcPr/>
          <w:p>
            <w:pPr>
              <w:pStyle w:val="Compact"/>
              <w:jc w:val="center"/>
            </w:pPr>
            <w:r>
              <w:t xml:space="preserve">TRL 8-9</w:t>
            </w:r>
          </w:p>
        </w:tc>
      </w:tr>
      <w:tr>
        <w:tc>
          <w:tcPr/>
          <w:p>
            <w:pPr>
              <w:pStyle w:val="Compact"/>
              <w:jc w:val="left"/>
            </w:pPr>
            <w:r>
              <w:t xml:space="preserve">ANSYS Fluent</w:t>
            </w:r>
          </w:p>
        </w:tc>
        <w:tc>
          <w:tcPr/>
          <w:p>
            <w:pPr>
              <w:pStyle w:val="Compact"/>
              <w:jc w:val="left"/>
            </w:pPr>
            <w:r>
              <w:t xml:space="preserve">ANSYS</w:t>
            </w:r>
          </w:p>
        </w:tc>
        <w:tc>
          <w:tcPr/>
          <w:p>
            <w:pPr>
              <w:pStyle w:val="Compact"/>
              <w:jc w:val="left"/>
            </w:pPr>
            <w:r>
              <w:t xml:space="preserve">CFD</w:t>
            </w:r>
          </w:p>
        </w:tc>
        <w:tc>
          <w:tcPr/>
          <w:p>
            <w:pPr>
              <w:pStyle w:val="Compact"/>
              <w:jc w:val="center"/>
            </w:pPr>
            <w:r>
              <w:t xml:space="preserve">反应器</w:t>
            </w:r>
          </w:p>
        </w:tc>
        <w:tc>
          <w:tcPr/>
          <w:p>
            <w:pPr>
              <w:pStyle w:val="Compact"/>
              <w:jc w:val="left"/>
            </w:pPr>
            <w:r>
              <w:t xml:space="preserve">气流、热传递、等离子体耦合</w:t>
            </w:r>
            <w:fldSimple w:instr="NOTEREF _Ref_Footnote_10 \h \f">
              <w:r>
                <w:rPr>
                  <w:vertAlign w:val="superscript"/>
                </w:rPr>
                <w:t>10</w:t>
              </w:r>
            </w:fldSimple>
          </w:p>
        </w:tc>
        <w:tc>
          <w:tcPr/>
          <w:p>
            <w:pPr>
              <w:pStyle w:val="Compact"/>
              <w:jc w:val="center"/>
            </w:pPr>
            <w:r>
              <w:t xml:space="preserve">TRL 8-9</w:t>
            </w:r>
          </w:p>
        </w:tc>
      </w:tr>
      <w:tr>
        <w:tc>
          <w:tcPr/>
          <w:p>
            <w:pPr>
              <w:pStyle w:val="Compact"/>
              <w:jc w:val="left"/>
            </w:pPr>
            <w:r>
              <w:t xml:space="preserve">VSim (Vorpal)</w:t>
            </w:r>
          </w:p>
        </w:tc>
        <w:tc>
          <w:tcPr/>
          <w:p>
            <w:pPr>
              <w:pStyle w:val="Compact"/>
              <w:jc w:val="left"/>
            </w:pPr>
            <w:r>
              <w:t xml:space="preserve">Tech-X</w:t>
            </w:r>
          </w:p>
        </w:tc>
        <w:tc>
          <w:tcPr/>
          <w:p>
            <w:pPr>
              <w:pStyle w:val="Compact"/>
              <w:jc w:val="left"/>
            </w:pPr>
            <w:r>
              <w:t xml:space="preserve">PIC/MCC</w:t>
            </w:r>
          </w:p>
        </w:tc>
        <w:tc>
          <w:tcPr/>
          <w:p>
            <w:pPr>
              <w:pStyle w:val="Compact"/>
              <w:jc w:val="center"/>
            </w:pPr>
            <w:r>
              <w:t xml:space="preserve">反应器/鞘层</w:t>
            </w:r>
          </w:p>
        </w:tc>
        <w:tc>
          <w:tcPr/>
          <w:p>
            <w:pPr>
              <w:pStyle w:val="Compact"/>
              <w:jc w:val="left"/>
            </w:pPr>
            <w:r>
              <w:t xml:space="preserve">高非平衡等离子体动理学模拟</w:t>
            </w:r>
            <w:fldSimple w:instr="NOTEREF _Ref_Footnote_10 \h \f">
              <w:r>
                <w:rPr>
                  <w:vertAlign w:val="superscript"/>
                </w:rPr>
                <w:t>10</w:t>
              </w:r>
            </w:fldSimple>
          </w:p>
        </w:tc>
        <w:tc>
          <w:tcPr/>
          <w:p>
            <w:pPr>
              <w:pStyle w:val="Compact"/>
              <w:jc w:val="center"/>
            </w:pPr>
            <w:r>
              <w:t xml:space="preserve">TRL 6-7</w:t>
            </w:r>
          </w:p>
        </w:tc>
      </w:tr>
      <w:tr>
        <w:tc>
          <w:tcPr/>
          <w:p>
            <w:pPr>
              <w:pStyle w:val="Compact"/>
              <w:jc w:val="left"/>
            </w:pPr>
            <w:r>
              <w:t xml:space="preserve">SEMulator3D</w:t>
            </w:r>
          </w:p>
        </w:tc>
        <w:tc>
          <w:tcPr/>
          <w:p>
            <w:pPr>
              <w:pStyle w:val="Compact"/>
              <w:jc w:val="left"/>
            </w:pPr>
            <w:r>
              <w:t xml:space="preserve">Coventor</w:t>
            </w:r>
          </w:p>
        </w:tc>
        <w:tc>
          <w:tcPr/>
          <w:p>
            <w:pPr>
              <w:pStyle w:val="Compact"/>
              <w:jc w:val="left"/>
            </w:pPr>
            <w:r>
              <w:t xml:space="preserve">元胞/体素法</w:t>
            </w:r>
          </w:p>
        </w:tc>
        <w:tc>
          <w:tcPr/>
          <w:p>
            <w:pPr>
              <w:pStyle w:val="Compact"/>
              <w:jc w:val="center"/>
            </w:pPr>
            <w:r>
              <w:t xml:space="preserve">特征尺度</w:t>
            </w:r>
          </w:p>
        </w:tc>
        <w:tc>
          <w:tcPr/>
          <w:p>
            <w:pPr>
              <w:pStyle w:val="Compact"/>
              <w:jc w:val="left"/>
            </w:pPr>
            <w:r>
              <w:t xml:space="preserve">MultiEtch模块支持多种负载效应同时模拟</w:t>
            </w:r>
            <w:r>
              <w:rPr>
                <w:vertAlign w:val="superscript"/>
              </w:rPr>
              <w:footnoteReference w:id="31"/>
            </w:r>
          </w:p>
        </w:tc>
        <w:tc>
          <w:tcPr/>
          <w:p>
            <w:pPr>
              <w:pStyle w:val="Compact"/>
              <w:jc w:val="center"/>
            </w:pPr>
            <w:r>
              <w:t xml:space="preserve">TRL 8-9</w:t>
            </w:r>
          </w:p>
        </w:tc>
      </w:tr>
      <w:tr>
        <w:tc>
          <w:tcPr/>
          <w:p>
            <w:pPr>
              <w:pStyle w:val="Compact"/>
              <w:jc w:val="left"/>
            </w:pPr>
            <w:r>
              <w:t xml:space="preserve">Sentaurus Topography</w:t>
            </w:r>
          </w:p>
        </w:tc>
        <w:tc>
          <w:tcPr/>
          <w:p>
            <w:pPr>
              <w:pStyle w:val="Compact"/>
              <w:jc w:val="left"/>
            </w:pPr>
            <w:r>
              <w:t xml:space="preserve">Synopsys</w:t>
            </w:r>
          </w:p>
        </w:tc>
        <w:tc>
          <w:tcPr/>
          <w:p>
            <w:pPr>
              <w:pStyle w:val="Compact"/>
              <w:jc w:val="left"/>
            </w:pPr>
            <w:r>
              <w:t xml:space="preserve">水平集/弦法</w:t>
            </w:r>
          </w:p>
        </w:tc>
        <w:tc>
          <w:tcPr/>
          <w:p>
            <w:pPr>
              <w:pStyle w:val="Compact"/>
              <w:jc w:val="center"/>
            </w:pPr>
            <w:r>
              <w:t xml:space="preserve">特征尺度</w:t>
            </w:r>
          </w:p>
        </w:tc>
        <w:tc>
          <w:tcPr/>
          <w:p>
            <w:pPr>
              <w:pStyle w:val="Compact"/>
              <w:jc w:val="left"/>
            </w:pPr>
            <w:r>
              <w:t xml:space="preserve">离子铣削、反应离子刻蚀等多模块</w:t>
            </w:r>
            <w:r>
              <w:rPr>
                <w:vertAlign w:val="superscript"/>
              </w:rPr>
              <w:footnoteReference w:id="32"/>
            </w:r>
          </w:p>
        </w:tc>
        <w:tc>
          <w:tcPr/>
          <w:p>
            <w:pPr>
              <w:pStyle w:val="Compact"/>
              <w:jc w:val="center"/>
            </w:pPr>
            <w:r>
              <w:t xml:space="preserve">TRL 7-8</w:t>
            </w:r>
          </w:p>
        </w:tc>
      </w:tr>
      <w:tr>
        <w:tc>
          <w:tcPr/>
          <w:p>
            <w:pPr>
              <w:pStyle w:val="Compact"/>
              <w:jc w:val="left"/>
            </w:pPr>
            <w:r>
              <w:t xml:space="preserve">ViennaRay</w:t>
            </w:r>
          </w:p>
        </w:tc>
        <w:tc>
          <w:tcPr/>
          <w:p>
            <w:pPr>
              <w:pStyle w:val="Compact"/>
              <w:jc w:val="left"/>
            </w:pPr>
            <w:r>
              <w:t xml:space="preserve">开源</w:t>
            </w:r>
          </w:p>
        </w:tc>
        <w:tc>
          <w:tcPr/>
          <w:p>
            <w:pPr>
              <w:pStyle w:val="Compact"/>
              <w:jc w:val="left"/>
            </w:pPr>
            <w:r>
              <w:t xml:space="preserve">射线追踪/MC</w:t>
            </w:r>
          </w:p>
        </w:tc>
        <w:tc>
          <w:tcPr/>
          <w:p>
            <w:pPr>
              <w:pStyle w:val="Compact"/>
              <w:jc w:val="center"/>
            </w:pPr>
            <w:r>
              <w:t xml:space="preserve">特征尺度</w:t>
            </w:r>
          </w:p>
        </w:tc>
        <w:tc>
          <w:tcPr/>
          <w:p>
            <w:pPr>
              <w:pStyle w:val="Compact"/>
              <w:jc w:val="left"/>
            </w:pPr>
            <w:r>
              <w:t xml:space="preserve">计算粒子入射通量与角分布</w:t>
            </w:r>
            <w:fldSimple w:instr="NOTEREF _Ref_Footnote_1 \h \f">
              <w:r>
                <w:rPr>
                  <w:vertAlign w:val="superscript"/>
                </w:rPr>
                <w:t>1</w:t>
              </w:r>
            </w:fldSimple>
          </w:p>
        </w:tc>
        <w:tc>
          <w:tcPr/>
          <w:p>
            <w:pPr>
              <w:pStyle w:val="Compact"/>
              <w:jc w:val="center"/>
            </w:pPr>
            <w:r>
              <w:t xml:space="preserve">TRL 6-7</w:t>
            </w:r>
          </w:p>
        </w:tc>
      </w:tr>
      <w:tr>
        <w:tc>
          <w:tcPr/>
          <w:p>
            <w:pPr>
              <w:pStyle w:val="Compact"/>
              <w:jc w:val="left"/>
            </w:pPr>
            <w:r>
              <w:t xml:space="preserve">HPEM</w:t>
            </w:r>
          </w:p>
        </w:tc>
        <w:tc>
          <w:tcPr/>
          <w:p>
            <w:pPr>
              <w:pStyle w:val="Compact"/>
              <w:jc w:val="left"/>
            </w:pPr>
            <w:r>
              <w:t xml:space="preserve">学术研究</w:t>
            </w:r>
          </w:p>
        </w:tc>
        <w:tc>
          <w:tcPr/>
          <w:p>
            <w:pPr>
              <w:pStyle w:val="Compact"/>
              <w:jc w:val="left"/>
            </w:pPr>
            <w:r>
              <w:t xml:space="preserve">混合模型</w:t>
            </w:r>
          </w:p>
        </w:tc>
        <w:tc>
          <w:tcPr/>
          <w:p>
            <w:pPr>
              <w:pStyle w:val="Compact"/>
              <w:jc w:val="center"/>
            </w:pPr>
            <w:r>
              <w:t xml:space="preserve">反应器</w:t>
            </w:r>
          </w:p>
        </w:tc>
        <w:tc>
          <w:tcPr/>
          <w:p>
            <w:pPr>
              <w:pStyle w:val="Compact"/>
              <w:jc w:val="left"/>
            </w:pPr>
            <w:r>
              <w:t xml:space="preserve">等离子体-表面化学自洽耦合</w:t>
            </w:r>
            <w:fldSimple w:instr="NOTEREF _Ref_Footnote_12 \h \f">
              <w:r>
                <w:rPr>
                  <w:vertAlign w:val="superscript"/>
                </w:rPr>
                <w:t>12</w:t>
              </w:r>
            </w:fldSimple>
          </w:p>
        </w:tc>
        <w:tc>
          <w:tcPr/>
          <w:p>
            <w:pPr>
              <w:pStyle w:val="Compact"/>
              <w:jc w:val="center"/>
            </w:pPr>
            <w:r>
              <w:t xml:space="preserve">TRL 6-7</w:t>
            </w:r>
          </w:p>
        </w:tc>
      </w:tr>
      <w:tr>
        <w:tc>
          <w:tcPr/>
          <w:p>
            <w:pPr>
              <w:pStyle w:val="Compact"/>
              <w:jc w:val="left"/>
            </w:pPr>
            <w:r>
              <w:t xml:space="preserve">BOLSIG+/LXCat</w:t>
            </w:r>
          </w:p>
        </w:tc>
        <w:tc>
          <w:tcPr/>
          <w:p>
            <w:pPr>
              <w:pStyle w:val="Compact"/>
              <w:jc w:val="left"/>
            </w:pPr>
            <w:r>
              <w:t xml:space="preserve">开源</w:t>
            </w:r>
          </w:p>
        </w:tc>
        <w:tc>
          <w:tcPr/>
          <w:p>
            <w:pPr>
              <w:pStyle w:val="Compact"/>
              <w:jc w:val="left"/>
            </w:pPr>
            <w:r>
              <w:t xml:space="preserve">玻尔兹曼求解</w:t>
            </w:r>
          </w:p>
        </w:tc>
        <w:tc>
          <w:tcPr/>
          <w:p>
            <w:pPr>
              <w:pStyle w:val="Compact"/>
              <w:jc w:val="center"/>
            </w:pPr>
            <w:r>
              <w:t xml:space="preserve">—</w:t>
            </w:r>
          </w:p>
        </w:tc>
        <w:tc>
          <w:tcPr/>
          <w:p>
            <w:pPr>
              <w:pStyle w:val="Compact"/>
              <w:jc w:val="left"/>
            </w:pPr>
            <w:r>
              <w:t xml:space="preserve">电子碰撞截面与输运系数数据库</w:t>
            </w:r>
            <w:fldSimple w:instr="NOTEREF _Ref_Footnote_10 \h \f">
              <w:r>
                <w:rPr>
                  <w:vertAlign w:val="superscript"/>
                </w:rPr>
                <w:t>10</w:t>
              </w:r>
            </w:fldSimple>
          </w:p>
        </w:tc>
        <w:tc>
          <w:tcPr/>
          <w:p>
            <w:pPr>
              <w:pStyle w:val="Compact"/>
              <w:jc w:val="center"/>
            </w:pPr>
            <w:r>
              <w:t xml:space="preserve">TRL 8-9</w:t>
            </w:r>
          </w:p>
        </w:tc>
      </w:tr>
    </w:tbl>
    <w:p>
      <w:pPr>
        <w:pStyle w:val="BodyText"/>
      </w:pPr>
      <w:r>
        <w:t xml:space="preserve">上表选型遵循任务驱动原则：COMSOL/ANSYS Fluent用于反应器尺度工艺窗口探索，VSim用于低压高非平衡动理学分析；特征尺度上，SEMulator3D在同时模拟三级负载效应方面具独特优势</w:t>
      </w:r>
      <w:fldSimple w:instr="NOTEREF _Ref_Footnote_31 \h \f">
        <w:r>
          <w:rPr>
            <w:vertAlign w:val="superscript"/>
          </w:rPr>
          <w:t>31</w:t>
        </w:r>
      </w:fldSimple>
      <w:r>
        <w:t xml:space="preserve">，Sentaurus Topography在传统RIE模块上更成熟</w:t>
      </w:r>
      <w:fldSimple w:instr="NOTEREF _Ref_Footnote_32 \h \f">
        <w:r>
          <w:rPr>
            <w:vertAlign w:val="superscript"/>
          </w:rPr>
          <w:t>32</w:t>
        </w:r>
      </w:fldSimple>
      <w:r>
        <w:t xml:space="preserve">。Agent技术栈应支持上述工具无缝调用，输出统一转换为标准化JSON，使下游Agent无需关心底层仿真工具差异。</w:t>
      </w:r>
    </w:p>
    <w:bookmarkEnd w:id="37"/>
    <w:bookmarkEnd w:id="38"/>
    <w:bookmarkEnd w:id="39"/>
    <w:bookmarkStart w:id="52" w:name="设备rcp参数推荐subagent"/>
    <w:p>
      <w:pPr>
        <w:pStyle w:val="Heading2"/>
      </w:pPr>
      <w:r>
        <w:t xml:space="preserve">3. 设备RCP参数推荐SubAgent</w:t>
      </w:r>
    </w:p>
    <w:p>
      <w:pPr>
        <w:pStyle w:val="FirstParagraph"/>
      </w:pPr>
      <w:r>
        <w:t xml:space="preserve">设备RCP（Recipe Control Parameter，工艺配方控制参数）参数推荐SubAgent负责将工艺目标转化为可执行的设备控制指令。蚀刻工程师可用的工艺控制”旋钮”（knobs）涵盖RF功率、气体流量、腔室压力、电极温度等六大类参数，构成”tremendously large process space”</w:t>
      </w:r>
      <w:fldSimple w:instr="NOTEREF _Ref_Footnote_1 \h \f">
        <w:r>
          <w:rPr>
            <w:vertAlign w:val="superscript"/>
          </w:rPr>
          <w:t>1</w:t>
        </w:r>
      </w:fldSimple>
      <w:r>
        <w:t xml:space="preserve">，传统OFAT（One-Factor-At-A-Time）方法需消耗80–120片晶圆</w:t>
      </w:r>
      <w:r>
        <w:rPr>
          <w:vertAlign w:val="superscript"/>
        </w:rPr>
        <w:footnoteReference w:id="33"/>
      </w:r>
      <w:r>
        <w:t xml:space="preserve">。该SubAgent通过整合参数知识库、规则引擎、敏感性分析模块和APC（Advanced Process Control）接口，将Recipe开发效率projected to提升60%以上。</w:t>
      </w:r>
    </w:p>
    <w:bookmarkStart w:id="44" w:name="技术能力设计-1"/>
    <w:p>
      <w:pPr>
        <w:pStyle w:val="Heading3"/>
      </w:pPr>
      <w:r>
        <w:t xml:space="preserve">3.1 技术能力设计</w:t>
      </w:r>
    </w:p>
    <w:bookmarkStart w:id="40" w:name="rcp参数知识库管理"/>
    <w:p>
      <w:pPr>
        <w:pStyle w:val="Heading4"/>
      </w:pPr>
      <w:r>
        <w:t xml:space="preserve">3.1.1 RCP参数知识库管理</w:t>
      </w:r>
    </w:p>
    <w:p>
      <w:pPr>
        <w:pStyle w:val="FirstParagraph"/>
      </w:pPr>
      <w:r>
        <w:t xml:space="preserve">知识库设计遵循SEMI E42标准（Recipe Management Standard），该标准定义了Recipe标识格式</w:t>
      </w:r>
      <w:r>
        <w:rPr>
          <w:rStyle w:val="VerbatimChar"/>
        </w:rPr>
        <w:t xml:space="preserve">/CLASS/NAME;VERSION</w:t>
      </w:r>
      <w:r>
        <w:t xml:space="preserve">（最多80字符）、对象配方与执行配方的分类体系，以及创建、存储、校验、版本控制等核心操作</w:t>
      </w:r>
      <w:r>
        <w:rPr>
          <w:vertAlign w:val="superscript"/>
        </w:rPr>
        <w:footnoteReference w:id="34"/>
      </w:r>
      <w:r>
        <w:t xml:space="preserve">。知识库采用三层架构：参数本体层维护核心工艺参数的约束定义；材料-设备映射层管理不同靶材（Si、SiO₂、SiN、Al、GaN、Mo等）的推荐气体化学体系；设备平台适配层存储各厂商设备的参数范围差异和偏移表。</w:t>
      </w:r>
    </w:p>
    <w:p>
      <w:pPr>
        <w:pStyle w:val="BodyText"/>
      </w:pPr>
      <w:r>
        <w:rPr>
          <w:bCs/>
          <w:b/>
        </w:rPr>
        <w:t xml:space="preserve">表1 核心蚀刻工艺参数分类表</w:t>
      </w:r>
    </w:p>
    <w:tbl>
      <w:tblPr>
        <w:tblStyle w:val="Table"/>
        <w:tblW w:type="pct" w:w="5000"/>
        <w:tblLook w:firstRow="1" w:lastRow="0" w:firstColumn="0" w:lastColumn="0" w:noHBand="0" w:noVBand="0" w:val="0020"/>
      </w:tblPr>
      <w:tblGrid>
        <w:gridCol w:w="1397"/>
        <w:gridCol w:w="1397"/>
        <w:gridCol w:w="1863"/>
        <w:gridCol w:w="1397"/>
        <w:gridCol w:w="1863"/>
      </w:tblGrid>
      <w:tr>
        <w:trPr>
          <w:tblHeader w:val="true"/>
        </w:trPr>
        <w:tc>
          <w:tcPr/>
          <w:p>
            <w:pPr>
              <w:pStyle w:val="Compact"/>
              <w:jc w:val="left"/>
            </w:pPr>
            <w:r>
              <w:t xml:space="preserve">参数类别</w:t>
            </w:r>
          </w:p>
        </w:tc>
        <w:tc>
          <w:tcPr/>
          <w:p>
            <w:pPr>
              <w:pStyle w:val="Compact"/>
              <w:jc w:val="left"/>
            </w:pPr>
            <w:r>
              <w:t xml:space="preserve">具体参数</w:t>
            </w:r>
          </w:p>
        </w:tc>
        <w:tc>
          <w:tcPr/>
          <w:p>
            <w:pPr>
              <w:pStyle w:val="Compact"/>
              <w:jc w:val="left"/>
            </w:pPr>
            <w:r>
              <w:t xml:space="preserve">典型工作范围</w:t>
            </w:r>
          </w:p>
        </w:tc>
        <w:tc>
          <w:tcPr/>
          <w:p>
            <w:pPr>
              <w:pStyle w:val="Compact"/>
              <w:jc w:val="left"/>
            </w:pPr>
            <w:r>
              <w:t xml:space="preserve">功能描述</w:t>
            </w:r>
          </w:p>
        </w:tc>
        <w:tc>
          <w:tcPr/>
          <w:p>
            <w:pPr>
              <w:pStyle w:val="Compact"/>
              <w:jc w:val="left"/>
            </w:pPr>
            <w:r>
              <w:t xml:space="preserve">关联输出指标</w:t>
            </w:r>
          </w:p>
        </w:tc>
      </w:tr>
      <w:tr>
        <w:tc>
          <w:tcPr/>
          <w:p>
            <w:pPr>
              <w:pStyle w:val="Compact"/>
              <w:jc w:val="left"/>
            </w:pPr>
            <w:r>
              <w:t xml:space="preserve">RF功率系统</w:t>
            </w:r>
          </w:p>
        </w:tc>
        <w:tc>
          <w:tcPr/>
          <w:p>
            <w:pPr>
              <w:pStyle w:val="Compact"/>
              <w:jc w:val="left"/>
            </w:pPr>
            <w:r>
              <w:t xml:space="preserve">ICP源功率（上电极）</w:t>
            </w:r>
          </w:p>
        </w:tc>
        <w:tc>
          <w:tcPr/>
          <w:p>
            <w:pPr>
              <w:pStyle w:val="Compact"/>
              <w:jc w:val="left"/>
            </w:pPr>
            <w:r>
              <w:t xml:space="preserve">0–2000 W</w:t>
            </w:r>
          </w:p>
        </w:tc>
        <w:tc>
          <w:tcPr/>
          <w:p>
            <w:pPr>
              <w:pStyle w:val="Compact"/>
              <w:jc w:val="left"/>
            </w:pPr>
            <w:r>
              <w:t xml:space="preserve">控制等离子体密度与离化率</w:t>
            </w:r>
          </w:p>
        </w:tc>
        <w:tc>
          <w:tcPr/>
          <w:p>
            <w:pPr>
              <w:pStyle w:val="Compact"/>
              <w:jc w:val="left"/>
            </w:pPr>
            <w:r>
              <w:t xml:space="preserve">刻蚀速率、均匀性</w:t>
            </w:r>
          </w:p>
        </w:tc>
      </w:tr>
      <w:tr>
        <w:tc>
          <w:tcPr/>
          <w:p>
            <w:pPr>
              <w:pStyle w:val="Compact"/>
            </w:pPr>
          </w:p>
        </w:tc>
        <w:tc>
          <w:tcPr/>
          <w:p>
            <w:pPr>
              <w:pStyle w:val="Compact"/>
              <w:jc w:val="left"/>
            </w:pPr>
            <w:r>
              <w:t xml:space="preserve">Bias功率（下电极）</w:t>
            </w:r>
          </w:p>
        </w:tc>
        <w:tc>
          <w:tcPr/>
          <w:p>
            <w:pPr>
              <w:pStyle w:val="Compact"/>
              <w:jc w:val="left"/>
            </w:pPr>
            <w:r>
              <w:t xml:space="preserve">0–500 W</w:t>
            </w:r>
          </w:p>
        </w:tc>
        <w:tc>
          <w:tcPr/>
          <w:p>
            <w:pPr>
              <w:pStyle w:val="Compact"/>
              <w:jc w:val="left"/>
            </w:pPr>
            <w:r>
              <w:t xml:space="preserve">控制离子轰击能量与直流偏压</w:t>
            </w:r>
          </w:p>
        </w:tc>
        <w:tc>
          <w:tcPr/>
          <w:p>
            <w:pPr>
              <w:pStyle w:val="Compact"/>
              <w:jc w:val="left"/>
            </w:pPr>
            <w:r>
              <w:t xml:space="preserve">各向异性、选择比</w:t>
            </w:r>
          </w:p>
        </w:tc>
      </w:tr>
      <w:tr>
        <w:tc>
          <w:tcPr/>
          <w:p>
            <w:pPr>
              <w:pStyle w:val="Compact"/>
            </w:pPr>
          </w:p>
        </w:tc>
        <w:tc>
          <w:tcPr/>
          <w:p>
            <w:pPr>
              <w:pStyle w:val="Compact"/>
              <w:jc w:val="left"/>
            </w:pPr>
            <w:r>
              <w:t xml:space="preserve">RF脉冲占空比/频率</w:t>
            </w:r>
          </w:p>
        </w:tc>
        <w:tc>
          <w:tcPr/>
          <w:p>
            <w:pPr>
              <w:pStyle w:val="Compact"/>
              <w:jc w:val="left"/>
            </w:pPr>
            <w:r>
              <w:t xml:space="preserve">可调</w:t>
            </w:r>
          </w:p>
        </w:tc>
        <w:tc>
          <w:tcPr/>
          <w:p>
            <w:pPr>
              <w:pStyle w:val="Compact"/>
              <w:jc w:val="left"/>
            </w:pPr>
            <w:r>
              <w:t xml:space="preserve">优化选择比与刻蚀速率平衡</w:t>
            </w:r>
          </w:p>
        </w:tc>
        <w:tc>
          <w:tcPr/>
          <w:p>
            <w:pPr>
              <w:pStyle w:val="Compact"/>
              <w:jc w:val="left"/>
            </w:pPr>
            <w:r>
              <w:t xml:space="preserve">侧壁形貌</w:t>
            </w:r>
          </w:p>
        </w:tc>
      </w:tr>
      <w:tr>
        <w:tc>
          <w:tcPr/>
          <w:p>
            <w:pPr>
              <w:pStyle w:val="Compact"/>
              <w:jc w:val="left"/>
            </w:pPr>
            <w:r>
              <w:t xml:space="preserve">气体系统</w:t>
            </w:r>
          </w:p>
        </w:tc>
        <w:tc>
          <w:tcPr/>
          <w:p>
            <w:pPr>
              <w:pStyle w:val="Compact"/>
              <w:jc w:val="left"/>
            </w:pPr>
            <w:r>
              <w:t xml:space="preserve">工艺气体种类</w:t>
            </w:r>
          </w:p>
        </w:tc>
        <w:tc>
          <w:tcPr/>
          <w:p>
            <w:pPr>
              <w:pStyle w:val="Compact"/>
              <w:jc w:val="left"/>
            </w:pPr>
            <w:r>
              <w:t xml:space="preserve">SF₆、CF₄、CHF₃、C₄F₈等</w:t>
            </w:r>
          </w:p>
        </w:tc>
        <w:tc>
          <w:tcPr/>
          <w:p>
            <w:pPr>
              <w:pStyle w:val="Compact"/>
              <w:jc w:val="left"/>
            </w:pPr>
            <w:r>
              <w:t xml:space="preserve">提供反应活性粒子和轰击介质</w:t>
            </w:r>
          </w:p>
        </w:tc>
        <w:tc>
          <w:tcPr/>
          <w:p>
            <w:pPr>
              <w:pStyle w:val="Compact"/>
              <w:jc w:val="left"/>
            </w:pPr>
            <w:r>
              <w:t xml:space="preserve">化学选择性</w:t>
            </w:r>
          </w:p>
        </w:tc>
      </w:tr>
      <w:tr>
        <w:tc>
          <w:tcPr/>
          <w:p>
            <w:pPr>
              <w:pStyle w:val="Compact"/>
            </w:pPr>
          </w:p>
        </w:tc>
        <w:tc>
          <w:tcPr/>
          <w:p>
            <w:pPr>
              <w:pStyle w:val="Compact"/>
              <w:jc w:val="left"/>
            </w:pPr>
            <w:r>
              <w:t xml:space="preserve">各气体流量</w:t>
            </w:r>
          </w:p>
        </w:tc>
        <w:tc>
          <w:tcPr/>
          <w:p>
            <w:pPr>
              <w:pStyle w:val="Compact"/>
              <w:jc w:val="left"/>
            </w:pPr>
            <w:r>
              <w:t xml:space="preserve">0–500 sccm</w:t>
            </w:r>
          </w:p>
        </w:tc>
        <w:tc>
          <w:tcPr/>
          <w:p>
            <w:pPr>
              <w:pStyle w:val="Compact"/>
              <w:jc w:val="left"/>
            </w:pPr>
            <w:r>
              <w:t xml:space="preserve">控制活性粒子浓度和反应速率</w:t>
            </w:r>
          </w:p>
        </w:tc>
        <w:tc>
          <w:tcPr/>
          <w:p>
            <w:pPr>
              <w:pStyle w:val="Compact"/>
              <w:jc w:val="left"/>
            </w:pPr>
            <w:r>
              <w:t xml:space="preserve">刻蚀速率</w:t>
            </w:r>
          </w:p>
        </w:tc>
      </w:tr>
      <w:tr>
        <w:tc>
          <w:tcPr/>
          <w:p>
            <w:pPr>
              <w:pStyle w:val="Compact"/>
            </w:pPr>
          </w:p>
        </w:tc>
        <w:tc>
          <w:tcPr/>
          <w:p>
            <w:pPr>
              <w:pStyle w:val="Compact"/>
              <w:jc w:val="left"/>
            </w:pPr>
            <w:r>
              <w:t xml:space="preserve">气体配比/混合比</w:t>
            </w:r>
          </w:p>
        </w:tc>
        <w:tc>
          <w:tcPr/>
          <w:p>
            <w:pPr>
              <w:pStyle w:val="Compact"/>
              <w:jc w:val="left"/>
            </w:pPr>
            <w:r>
              <w:t xml:space="preserve">按工艺需求定制</w:t>
            </w:r>
          </w:p>
        </w:tc>
        <w:tc>
          <w:tcPr/>
          <w:p>
            <w:pPr>
              <w:pStyle w:val="Compact"/>
              <w:jc w:val="left"/>
            </w:pPr>
            <w:r>
              <w:t xml:space="preserve">影响选择比和各向异性</w:t>
            </w:r>
          </w:p>
        </w:tc>
        <w:tc>
          <w:tcPr/>
          <w:p>
            <w:pPr>
              <w:pStyle w:val="Compact"/>
              <w:jc w:val="left"/>
            </w:pPr>
            <w:r>
              <w:t xml:space="preserve">钝化层厚度</w:t>
            </w:r>
          </w:p>
        </w:tc>
      </w:tr>
      <w:tr>
        <w:tc>
          <w:tcPr/>
          <w:p>
            <w:pPr>
              <w:pStyle w:val="Compact"/>
              <w:jc w:val="left"/>
            </w:pPr>
            <w:r>
              <w:t xml:space="preserve">压力系统</w:t>
            </w:r>
          </w:p>
        </w:tc>
        <w:tc>
          <w:tcPr/>
          <w:p>
            <w:pPr>
              <w:pStyle w:val="Compact"/>
              <w:jc w:val="left"/>
            </w:pPr>
            <w:r>
              <w:t xml:space="preserve">腔室压力</w:t>
            </w:r>
          </w:p>
        </w:tc>
        <w:tc>
          <w:tcPr/>
          <w:p>
            <w:pPr>
              <w:pStyle w:val="Compact"/>
              <w:jc w:val="left"/>
            </w:pPr>
            <w:r>
              <w:t xml:space="preserve">1–100 mTorr</w:t>
            </w:r>
          </w:p>
        </w:tc>
        <w:tc>
          <w:tcPr/>
          <w:p>
            <w:pPr>
              <w:pStyle w:val="Compact"/>
              <w:jc w:val="left"/>
            </w:pPr>
            <w:r>
              <w:t xml:space="preserve">影响离子平均自由程和方向性</w:t>
            </w:r>
          </w:p>
        </w:tc>
        <w:tc>
          <w:tcPr/>
          <w:p>
            <w:pPr>
              <w:pStyle w:val="Compact"/>
              <w:jc w:val="left"/>
            </w:pPr>
            <w:r>
              <w:t xml:space="preserve">各向异性、选择比</w:t>
            </w:r>
          </w:p>
        </w:tc>
      </w:tr>
      <w:tr>
        <w:tc>
          <w:tcPr/>
          <w:p>
            <w:pPr>
              <w:pStyle w:val="Compact"/>
              <w:jc w:val="left"/>
            </w:pPr>
            <w:r>
              <w:t xml:space="preserve">温度系统</w:t>
            </w:r>
          </w:p>
        </w:tc>
        <w:tc>
          <w:tcPr/>
          <w:p>
            <w:pPr>
              <w:pStyle w:val="Compact"/>
              <w:jc w:val="left"/>
            </w:pPr>
            <w:r>
              <w:t xml:space="preserve">晶圆/下电极温度</w:t>
            </w:r>
          </w:p>
        </w:tc>
        <w:tc>
          <w:tcPr/>
          <w:p>
            <w:pPr>
              <w:pStyle w:val="Compact"/>
              <w:jc w:val="left"/>
            </w:pPr>
            <w:r>
              <w:t xml:space="preserve">−100°C ~ +200°C</w:t>
            </w:r>
          </w:p>
        </w:tc>
        <w:tc>
          <w:tcPr/>
          <w:p>
            <w:pPr>
              <w:pStyle w:val="Compact"/>
              <w:jc w:val="left"/>
            </w:pPr>
            <w:r>
              <w:t xml:space="preserve">影响反应速率和聚合物沉积</w:t>
            </w:r>
          </w:p>
        </w:tc>
        <w:tc>
          <w:tcPr/>
          <w:p>
            <w:pPr>
              <w:pStyle w:val="Compact"/>
              <w:jc w:val="left"/>
            </w:pPr>
            <w:r>
              <w:t xml:space="preserve">表面粗糙度</w:t>
            </w:r>
          </w:p>
        </w:tc>
      </w:tr>
      <w:tr>
        <w:tc>
          <w:tcPr/>
          <w:p>
            <w:pPr>
              <w:pStyle w:val="Compact"/>
            </w:pPr>
          </w:p>
        </w:tc>
        <w:tc>
          <w:tcPr/>
          <w:p>
            <w:pPr>
              <w:pStyle w:val="Compact"/>
              <w:jc w:val="left"/>
            </w:pPr>
            <w:r>
              <w:t xml:space="preserve">背氦冷却压力</w:t>
            </w:r>
          </w:p>
        </w:tc>
        <w:tc>
          <w:tcPr/>
          <w:p>
            <w:pPr>
              <w:pStyle w:val="Compact"/>
              <w:jc w:val="left"/>
            </w:pPr>
            <w:r>
              <w:t xml:space="preserve">10–1200 Pa</w:t>
            </w:r>
          </w:p>
        </w:tc>
        <w:tc>
          <w:tcPr/>
          <w:p>
            <w:pPr>
              <w:pStyle w:val="Compact"/>
              <w:jc w:val="left"/>
            </w:pPr>
            <w:r>
              <w:t xml:space="preserve">控制晶圆背面热传导效率</w:t>
            </w:r>
          </w:p>
        </w:tc>
        <w:tc>
          <w:tcPr/>
          <w:p>
            <w:pPr>
              <w:pStyle w:val="Compact"/>
              <w:jc w:val="left"/>
            </w:pPr>
            <w:r>
              <w:t xml:space="preserve">温度均匀性</w:t>
            </w:r>
          </w:p>
        </w:tc>
      </w:tr>
      <w:tr>
        <w:tc>
          <w:tcPr/>
          <w:p>
            <w:pPr>
              <w:pStyle w:val="Compact"/>
              <w:jc w:val="left"/>
            </w:pPr>
            <w:r>
              <w:t xml:space="preserve">时间控制</w:t>
            </w:r>
          </w:p>
        </w:tc>
        <w:tc>
          <w:tcPr/>
          <w:p>
            <w:pPr>
              <w:pStyle w:val="Compact"/>
              <w:jc w:val="left"/>
            </w:pPr>
            <w:r>
              <w:t xml:space="preserve">刻蚀时间/循环数</w:t>
            </w:r>
          </w:p>
        </w:tc>
        <w:tc>
          <w:tcPr/>
          <w:p>
            <w:pPr>
              <w:pStyle w:val="Compact"/>
              <w:jc w:val="left"/>
            </w:pPr>
            <w:r>
              <w:t xml:space="preserve">秒级–分钟级</w:t>
            </w:r>
          </w:p>
        </w:tc>
        <w:tc>
          <w:tcPr/>
          <w:p>
            <w:pPr>
              <w:pStyle w:val="Compact"/>
              <w:jc w:val="left"/>
            </w:pPr>
            <w:r>
              <w:t xml:space="preserve">控制目标刻蚀深度</w:t>
            </w:r>
          </w:p>
        </w:tc>
        <w:tc>
          <w:tcPr/>
          <w:p>
            <w:pPr>
              <w:pStyle w:val="Compact"/>
              <w:jc w:val="left"/>
            </w:pPr>
            <w:r>
              <w:t xml:space="preserve">深度精度</w:t>
            </w:r>
          </w:p>
        </w:tc>
      </w:tr>
      <w:tr>
        <w:tc>
          <w:tcPr/>
          <w:p>
            <w:pPr>
              <w:pStyle w:val="Compact"/>
              <w:jc w:val="left"/>
            </w:pPr>
            <w:r>
              <w:t xml:space="preserve">机械参数</w:t>
            </w:r>
          </w:p>
        </w:tc>
        <w:tc>
          <w:tcPr/>
          <w:p>
            <w:pPr>
              <w:pStyle w:val="Compact"/>
              <w:jc w:val="left"/>
            </w:pPr>
            <w:r>
              <w:t xml:space="preserve">电极间距（Gap）</w:t>
            </w:r>
          </w:p>
        </w:tc>
        <w:tc>
          <w:tcPr/>
          <w:p>
            <w:pPr>
              <w:pStyle w:val="Compact"/>
              <w:jc w:val="left"/>
            </w:pPr>
            <w:r>
              <w:t xml:space="preserve">70–120 mm</w:t>
            </w:r>
          </w:p>
        </w:tc>
        <w:tc>
          <w:tcPr/>
          <w:p>
            <w:pPr>
              <w:pStyle w:val="Compact"/>
              <w:jc w:val="left"/>
            </w:pPr>
            <w:r>
              <w:t xml:space="preserve">影响等离子体分布均匀性</w:t>
            </w:r>
          </w:p>
        </w:tc>
        <w:tc>
          <w:tcPr/>
          <w:p>
            <w:pPr>
              <w:pStyle w:val="Compact"/>
              <w:jc w:val="left"/>
            </w:pPr>
            <w:r>
              <w:t xml:space="preserve">片内均匀性</w:t>
            </w:r>
          </w:p>
        </w:tc>
      </w:tr>
    </w:tbl>
    <w:p>
      <w:pPr>
        <w:pStyle w:val="BodyText"/>
      </w:pPr>
      <w:r>
        <w:t xml:space="preserve">上表整合了Lam Research技术文档</w:t>
      </w:r>
      <w:fldSimple w:instr="NOTEREF _Ref_Footnote_1 \h \f">
        <w:r>
          <w:rPr>
            <w:vertAlign w:val="superscript"/>
          </w:rPr>
          <w:t>1</w:t>
        </w:r>
      </w:fldSimple>
      <w:r>
        <w:t xml:space="preserve">与多项ICP-RIE工艺研究</w:t>
      </w:r>
      <w:fldSimple w:instr="NOTEREF _Ref_Footnote_3 \h \f">
        <w:r>
          <w:rPr>
            <w:vertAlign w:val="superscript"/>
          </w:rPr>
          <w:t>3</w:t>
        </w:r>
      </w:fldSimple>
      <w:r>
        <w:t xml:space="preserve"> </w:t>
      </w:r>
      <w:r>
        <w:rPr>
          <w:vertAlign w:val="superscript"/>
        </w:rPr>
        <w:footnoteReference w:id="35"/>
      </w:r>
      <w:r>
        <w:t xml:space="preserve">中的参数定义，共计11个控制维度。每个参数条目关联设备平台特定的字段映射——Lam Versys系列将ICP功率标记为”Source Power”，TEL Tactras系列使用”Coil Power”，在SEMI E42兼容层中统一为</w:t>
      </w:r>
      <w:r>
        <w:rPr>
          <w:rStyle w:val="VerbatimChar"/>
        </w:rPr>
        <w:t xml:space="preserve">icp_source_power_w</w:t>
      </w:r>
      <w:r>
        <w:t xml:space="preserve">字段</w:t>
      </w:r>
      <w:r>
        <w:rPr>
          <w:vertAlign w:val="superscript"/>
        </w:rPr>
        <w:footnoteReference w:id="36"/>
      </w:r>
      <w:r>
        <w:t xml:space="preserve">。设备平台间同一Recipe的迁移必须经过范围裁剪和线性缩放。</w:t>
      </w:r>
    </w:p>
    <w:bookmarkEnd w:id="40"/>
    <w:bookmarkStart w:id="41" w:name="基于规则的recipe推荐"/>
    <w:p>
      <w:pPr>
        <w:pStyle w:val="Heading4"/>
      </w:pPr>
      <w:r>
        <w:t xml:space="preserve">3.1.2 基于规则的Recipe推荐</w:t>
      </w:r>
    </w:p>
    <w:p>
      <w:pPr>
        <w:pStyle w:val="FirstParagraph"/>
      </w:pPr>
      <w:r>
        <w:t xml:space="preserve">规则引擎在缺乏历史数据时提供可解释的初始参数集，由三类规则构成。材料-气体映射规则基于已发表工艺数据库建立，如SiO₂刻蚀推荐CHF₃/Ar基化学（CHF₃分解产生的CF₂自由基与SiO₂反应生成挥发性SiF₄）</w:t>
      </w:r>
      <w:r>
        <w:rPr>
          <w:vertAlign w:val="superscript"/>
        </w:rPr>
        <w:footnoteReference w:id="37"/>
      </w:r>
      <w:r>
        <w:t xml:space="preserve">，Mo金属刻蚀选用Cl₂/O₂体系</w:t>
      </w:r>
      <w:fldSimple w:instr="NOTEREF _Ref_Footnote_6 \h \f">
        <w:r>
          <w:rPr>
            <w:vertAlign w:val="superscript"/>
          </w:rPr>
          <w:t>6</w:t>
        </w:r>
      </w:fldSimple>
      <w:r>
        <w:t xml:space="preserve">。对于高纵横比（HAR）结构，引擎自动启用Bosch工艺的脉冲气体注入模式，在刻蚀步骤（SF₆基）和钝化步骤（C₄F₈基）之间循环</w:t>
      </w:r>
      <w:r>
        <w:rPr>
          <w:vertAlign w:val="superscript"/>
        </w:rPr>
        <w:footnoteReference w:id="38"/>
      </w:r>
      <w:r>
        <w:t xml:space="preserve">。参数约束检查模块验证硬约束（设备物理上限）、软约束（工艺经验范围）和互斥约束（安全性冲突）。经验公式模块提供初始估算，基本刻蚀时间公式为</w:t>
      </w:r>
      <w:r>
        <w:t xml:space="preserve"> </w:t>
      </w:r>
      <m:oMath>
        <m:r>
          <m:t>t</m:t>
        </m:r>
        <m:r>
          <m:rPr>
            <m:sty m:val="p"/>
          </m:rPr>
          <m:t>=</m:t>
        </m:r>
        <m:sSub>
          <m:e>
            <m:r>
              <m:t>d</m:t>
            </m:r>
          </m:e>
          <m:sub>
            <m:r>
              <m:t>t</m:t>
            </m:r>
            <m:r>
              <m:t>a</m:t>
            </m:r>
            <m:r>
              <m:t>r</m:t>
            </m:r>
            <m:r>
              <m:t>g</m:t>
            </m:r>
            <m:r>
              <m:t>e</m:t>
            </m:r>
            <m:r>
              <m:t>t</m:t>
            </m:r>
          </m:sub>
        </m:sSub>
        <m:r>
          <m:rPr>
            <m:sty m:val="p"/>
          </m:rPr>
          <m:t>/</m:t>
        </m:r>
        <m:sSub>
          <m:e>
            <m:r>
              <m:t>R</m:t>
            </m:r>
          </m:e>
          <m:sub>
            <m:r>
              <m:t>e</m:t>
            </m:r>
            <m:r>
              <m:t>s</m:t>
            </m:r>
            <m:r>
              <m:t>t</m:t>
            </m:r>
            <m:r>
              <m:t>i</m:t>
            </m:r>
            <m:r>
              <m:t>m</m:t>
            </m:r>
            <m:r>
              <m:t>a</m:t>
            </m:r>
            <m:r>
              <m:t>t</m:t>
            </m:r>
            <m:r>
              <m:t>e</m:t>
            </m:r>
            <m:r>
              <m:t>d</m:t>
            </m:r>
          </m:sub>
        </m:sSub>
      </m:oMath>
      <w:r>
        <w:t xml:space="preserve">，其中</w:t>
      </w:r>
      <m:oMath>
        <m:sSub>
          <m:e>
            <m:r>
              <m:t>R</m:t>
            </m:r>
          </m:e>
          <m:sub>
            <m:r>
              <m:t>e</m:t>
            </m:r>
            <m:r>
              <m:t>s</m:t>
            </m:r>
            <m:r>
              <m:t>t</m:t>
            </m:r>
            <m:r>
              <m:t>i</m:t>
            </m:r>
            <m:r>
              <m:t>m</m:t>
            </m:r>
            <m:r>
              <m:t>a</m:t>
            </m:r>
            <m:r>
              <m:t>t</m:t>
            </m:r>
            <m:r>
              <m:t>e</m:t>
            </m:r>
            <m:r>
              <m:t>d</m:t>
            </m:r>
          </m:sub>
        </m:sSub>
      </m:oMath>
      <w:r>
        <w:t xml:space="preserve">从知识库对应材料-设备组合的基准刻蚀速率获取；HAR结构需引入负载效应修正项</w:t>
      </w:r>
      <w:fldSimple w:instr="NOTEREF _Ref_Footnote_1 \h \f">
        <w:r>
          <w:rPr>
            <w:vertAlign w:val="superscript"/>
          </w:rPr>
          <w:t>1</w:t>
        </w:r>
      </w:fldSimple>
      <w:r>
        <w:t xml:space="preserve">。</w:t>
      </w:r>
    </w:p>
    <w:bookmarkEnd w:id="41"/>
    <w:bookmarkStart w:id="42" w:name="参数敏感性分析"/>
    <w:p>
      <w:pPr>
        <w:pStyle w:val="Heading4"/>
      </w:pPr>
      <w:r>
        <w:t xml:space="preserve">3.1.3 参数敏感性分析</w:t>
      </w:r>
    </w:p>
    <w:p>
      <w:pPr>
        <w:pStyle w:val="FirstParagraph"/>
      </w:pPr>
      <w:r>
        <w:t xml:space="preserve">敏感性分析模块量化”如果调整参数X，结果Y如何变化”的问题，基于高斯过程回归（GPR）或核岭回归（KRR）构建输入-输出映射关系</w:t>
      </w:r>
      <w:r>
        <w:rPr>
          <w:vertAlign w:val="superscript"/>
        </w:rPr>
        <w:footnoteReference w:id="39"/>
      </w:r>
      <w:r>
        <w:t xml:space="preserve"> </w:t>
      </w:r>
      <w:r>
        <w:rPr>
          <w:vertAlign w:val="superscript"/>
        </w:rPr>
        <w:footnoteReference w:id="40"/>
      </w:r>
      <w:r>
        <w:t xml:space="preserve">。</w:t>
      </w:r>
    </w:p>
    <w:p>
      <w:pPr>
        <w:pStyle w:val="BodyText"/>
      </w:pPr>
      <w:r>
        <w:rPr>
          <w:bCs/>
          <w:b/>
        </w:rPr>
        <w:t xml:space="preserve">表2 关键参数-蚀刻结果映射表</w:t>
      </w:r>
    </w:p>
    <w:tbl>
      <w:tblPr>
        <w:tblStyle w:val="Table"/>
        <w:tblW w:type="pct" w:w="5000"/>
        <w:tblLook w:firstRow="1" w:lastRow="0" w:firstColumn="0" w:lastColumn="0" w:noHBand="0" w:noVBand="0" w:val="0020"/>
      </w:tblPr>
      <w:tblGrid>
        <w:gridCol w:w="1003"/>
        <w:gridCol w:w="1003"/>
        <w:gridCol w:w="1115"/>
        <w:gridCol w:w="1003"/>
        <w:gridCol w:w="1115"/>
        <w:gridCol w:w="1338"/>
        <w:gridCol w:w="1338"/>
      </w:tblGrid>
      <w:tr>
        <w:trPr>
          <w:tblHeader w:val="true"/>
        </w:trPr>
        <w:tc>
          <w:tcPr/>
          <w:p>
            <w:pPr>
              <w:pStyle w:val="Compact"/>
              <w:jc w:val="left"/>
            </w:pPr>
            <w:r>
              <w:t xml:space="preserve">输入参数</w:t>
            </w:r>
          </w:p>
        </w:tc>
        <w:tc>
          <w:tcPr/>
          <w:p>
            <w:pPr>
              <w:pStyle w:val="Compact"/>
              <w:jc w:val="left"/>
            </w:pPr>
            <w:r>
              <w:t xml:space="preserve">调整方向</w:t>
            </w:r>
          </w:p>
        </w:tc>
        <w:tc>
          <w:tcPr/>
          <w:p>
            <w:pPr>
              <w:pStyle w:val="Compact"/>
              <w:jc w:val="left"/>
            </w:pPr>
            <w:r>
              <w:t xml:space="preserve">对刻蚀速率</w:t>
            </w:r>
          </w:p>
        </w:tc>
        <w:tc>
          <w:tcPr/>
          <w:p>
            <w:pPr>
              <w:pStyle w:val="Compact"/>
              <w:jc w:val="left"/>
            </w:pPr>
            <w:r>
              <w:t xml:space="preserve">对选择比</w:t>
            </w:r>
          </w:p>
        </w:tc>
        <w:tc>
          <w:tcPr/>
          <w:p>
            <w:pPr>
              <w:pStyle w:val="Compact"/>
              <w:jc w:val="left"/>
            </w:pPr>
            <w:r>
              <w:t xml:space="preserve">对各向异性</w:t>
            </w:r>
          </w:p>
        </w:tc>
        <w:tc>
          <w:tcPr/>
          <w:p>
            <w:pPr>
              <w:pStyle w:val="Compact"/>
              <w:jc w:val="left"/>
            </w:pPr>
            <w:r>
              <w:t xml:space="preserve">对表面粗糙度</w:t>
            </w:r>
          </w:p>
        </w:tc>
        <w:tc>
          <w:tcPr/>
          <w:p>
            <w:pPr>
              <w:pStyle w:val="Compact"/>
              <w:jc w:val="left"/>
            </w:pPr>
            <w:r>
              <w:t xml:space="preserve">主要耦合参数</w:t>
            </w:r>
          </w:p>
        </w:tc>
      </w:tr>
      <w:tr>
        <w:tc>
          <w:tcPr/>
          <w:p>
            <w:pPr>
              <w:pStyle w:val="Compact"/>
              <w:jc w:val="left"/>
            </w:pPr>
            <w:r>
              <w:t xml:space="preserve">ICP源功率</w:t>
            </w:r>
          </w:p>
        </w:tc>
        <w:tc>
          <w:tcPr/>
          <w:p>
            <w:pPr>
              <w:pStyle w:val="Compact"/>
              <w:jc w:val="left"/>
            </w:pPr>
            <w:r>
              <w:t xml:space="preserve">↑</w:t>
            </w:r>
          </w:p>
        </w:tc>
        <w:tc>
          <w:tcPr/>
          <w:p>
            <w:pPr>
              <w:pStyle w:val="Compact"/>
              <w:jc w:val="left"/>
            </w:pPr>
            <w:r>
              <w:t xml:space="preserve">显著增加</w:t>
            </w:r>
          </w:p>
        </w:tc>
        <w:tc>
          <w:tcPr/>
          <w:p>
            <w:pPr>
              <w:pStyle w:val="Compact"/>
              <w:jc w:val="left"/>
            </w:pPr>
            <w:r>
              <w:t xml:space="preserve">轻微降低</w:t>
            </w:r>
          </w:p>
        </w:tc>
        <w:tc>
          <w:tcPr/>
          <w:p>
            <w:pPr>
              <w:pStyle w:val="Compact"/>
              <w:jc w:val="left"/>
            </w:pPr>
            <w:r>
              <w:t xml:space="preserve">轻微改善</w:t>
            </w:r>
          </w:p>
        </w:tc>
        <w:tc>
          <w:tcPr/>
          <w:p>
            <w:pPr>
              <w:pStyle w:val="Compact"/>
              <w:jc w:val="left"/>
            </w:pPr>
            <w:r>
              <w:t xml:space="preserve">轻微增加</w:t>
            </w:r>
          </w:p>
        </w:tc>
        <w:tc>
          <w:tcPr/>
          <w:p>
            <w:pPr>
              <w:pStyle w:val="Compact"/>
              <w:jc w:val="left"/>
            </w:pPr>
            <w:r>
              <w:t xml:space="preserve">Bias功率</w:t>
            </w:r>
          </w:p>
        </w:tc>
      </w:tr>
      <w:tr>
        <w:tc>
          <w:tcPr/>
          <w:p>
            <w:pPr>
              <w:pStyle w:val="Compact"/>
              <w:jc w:val="left"/>
            </w:pPr>
            <w:r>
              <w:t xml:space="preserve">Bias功率</w:t>
            </w:r>
          </w:p>
        </w:tc>
        <w:tc>
          <w:tcPr/>
          <w:p>
            <w:pPr>
              <w:pStyle w:val="Compact"/>
              <w:jc w:val="left"/>
            </w:pPr>
            <w:r>
              <w:t xml:space="preserve">↑</w:t>
            </w:r>
          </w:p>
        </w:tc>
        <w:tc>
          <w:tcPr/>
          <w:p>
            <w:pPr>
              <w:pStyle w:val="Compact"/>
              <w:jc w:val="left"/>
            </w:pPr>
            <w:r>
              <w:t xml:space="preserve">增加</w:t>
            </w:r>
          </w:p>
        </w:tc>
        <w:tc>
          <w:tcPr/>
          <w:p>
            <w:pPr>
              <w:pStyle w:val="Compact"/>
              <w:jc w:val="left"/>
            </w:pPr>
            <w:r>
              <w:t xml:space="preserve">降低</w:t>
            </w:r>
          </w:p>
        </w:tc>
        <w:tc>
          <w:tcPr/>
          <w:p>
            <w:pPr>
              <w:pStyle w:val="Compact"/>
              <w:jc w:val="left"/>
            </w:pPr>
            <w:r>
              <w:t xml:space="preserve">显著改善</w:t>
            </w:r>
          </w:p>
        </w:tc>
        <w:tc>
          <w:tcPr/>
          <w:p>
            <w:pPr>
              <w:pStyle w:val="Compact"/>
              <w:jc w:val="left"/>
            </w:pPr>
            <w:r>
              <w:t xml:space="preserve">增加</w:t>
            </w:r>
          </w:p>
        </w:tc>
        <w:tc>
          <w:tcPr/>
          <w:p>
            <w:pPr>
              <w:pStyle w:val="Compact"/>
              <w:jc w:val="left"/>
            </w:pPr>
            <w:r>
              <w:t xml:space="preserve">压力</w:t>
            </w:r>
          </w:p>
        </w:tc>
      </w:tr>
      <w:tr>
        <w:tc>
          <w:tcPr/>
          <w:p>
            <w:pPr>
              <w:pStyle w:val="Compact"/>
              <w:jc w:val="left"/>
            </w:pPr>
            <w:r>
              <w:t xml:space="preserve">腔室压力</w:t>
            </w:r>
          </w:p>
        </w:tc>
        <w:tc>
          <w:tcPr/>
          <w:p>
            <w:pPr>
              <w:pStyle w:val="Compact"/>
              <w:jc w:val="left"/>
            </w:pPr>
            <w:r>
              <w:t xml:space="preserve">↓</w:t>
            </w:r>
          </w:p>
        </w:tc>
        <w:tc>
          <w:tcPr/>
          <w:p>
            <w:pPr>
              <w:pStyle w:val="Compact"/>
              <w:jc w:val="left"/>
            </w:pPr>
            <w:r>
              <w:t xml:space="preserve">轻微降低</w:t>
            </w:r>
          </w:p>
        </w:tc>
        <w:tc>
          <w:tcPr/>
          <w:p>
            <w:pPr>
              <w:pStyle w:val="Compact"/>
              <w:jc w:val="left"/>
            </w:pPr>
            <w:r>
              <w:t xml:space="preserve">降低</w:t>
            </w:r>
          </w:p>
        </w:tc>
        <w:tc>
          <w:tcPr/>
          <w:p>
            <w:pPr>
              <w:pStyle w:val="Compact"/>
              <w:jc w:val="left"/>
            </w:pPr>
            <w:r>
              <w:t xml:space="preserve">显著改善</w:t>
            </w:r>
          </w:p>
        </w:tc>
        <w:tc>
          <w:tcPr/>
          <w:p>
            <w:pPr>
              <w:pStyle w:val="Compact"/>
              <w:jc w:val="left"/>
            </w:pPr>
            <w:r>
              <w:t xml:space="preserve">降低</w:t>
            </w:r>
          </w:p>
        </w:tc>
        <w:tc>
          <w:tcPr/>
          <w:p>
            <w:pPr>
              <w:pStyle w:val="Compact"/>
              <w:jc w:val="left"/>
            </w:pPr>
            <w:r>
              <w:t xml:space="preserve">Bias功率</w:t>
            </w:r>
          </w:p>
        </w:tc>
      </w:tr>
      <w:tr>
        <w:tc>
          <w:tcPr/>
          <w:p>
            <w:pPr>
              <w:pStyle w:val="Compact"/>
              <w:jc w:val="left"/>
            </w:pPr>
            <w:r>
              <w:t xml:space="preserve">钝化气体比例</w:t>
            </w:r>
          </w:p>
        </w:tc>
        <w:tc>
          <w:tcPr/>
          <w:p>
            <w:pPr>
              <w:pStyle w:val="Compact"/>
              <w:jc w:val="left"/>
            </w:pPr>
            <w:r>
              <w:t xml:space="preserve">↑</w:t>
            </w:r>
          </w:p>
        </w:tc>
        <w:tc>
          <w:tcPr/>
          <w:p>
            <w:pPr>
              <w:pStyle w:val="Compact"/>
              <w:jc w:val="left"/>
            </w:pPr>
            <w:r>
              <w:t xml:space="preserve">降低</w:t>
            </w:r>
          </w:p>
        </w:tc>
        <w:tc>
          <w:tcPr/>
          <w:p>
            <w:pPr>
              <w:pStyle w:val="Compact"/>
              <w:jc w:val="left"/>
            </w:pPr>
            <w:r>
              <w:t xml:space="preserve">显著提高</w:t>
            </w:r>
          </w:p>
        </w:tc>
        <w:tc>
          <w:tcPr/>
          <w:p>
            <w:pPr>
              <w:pStyle w:val="Compact"/>
              <w:jc w:val="left"/>
            </w:pPr>
            <w:r>
              <w:t xml:space="preserve">改善侧壁保护</w:t>
            </w:r>
          </w:p>
        </w:tc>
        <w:tc>
          <w:tcPr/>
          <w:p>
            <w:pPr>
              <w:pStyle w:val="Compact"/>
              <w:jc w:val="left"/>
            </w:pPr>
            <w:r>
              <w:t xml:space="preserve">降低</w:t>
            </w:r>
          </w:p>
        </w:tc>
        <w:tc>
          <w:tcPr/>
          <w:p>
            <w:pPr>
              <w:pStyle w:val="Compact"/>
              <w:jc w:val="left"/>
            </w:pPr>
            <w:r>
              <w:t xml:space="preserve">RF功率</w:t>
            </w:r>
          </w:p>
        </w:tc>
      </w:tr>
      <w:tr>
        <w:tc>
          <w:tcPr/>
          <w:p>
            <w:pPr>
              <w:pStyle w:val="Compact"/>
              <w:jc w:val="left"/>
            </w:pPr>
            <w:r>
              <w:t xml:space="preserve">晶圆温度</w:t>
            </w:r>
          </w:p>
        </w:tc>
        <w:tc>
          <w:tcPr/>
          <w:p>
            <w:pPr>
              <w:pStyle w:val="Compact"/>
              <w:jc w:val="left"/>
            </w:pPr>
            <w:r>
              <w:t xml:space="preserve">↑</w:t>
            </w:r>
          </w:p>
        </w:tc>
        <w:tc>
          <w:tcPr/>
          <w:p>
            <w:pPr>
              <w:pStyle w:val="Compact"/>
              <w:jc w:val="left"/>
            </w:pPr>
            <w:r>
              <w:t xml:space="preserve">增加</w:t>
            </w:r>
          </w:p>
        </w:tc>
        <w:tc>
          <w:tcPr/>
          <w:p>
            <w:pPr>
              <w:pStyle w:val="Compact"/>
              <w:jc w:val="left"/>
            </w:pPr>
            <w:r>
              <w:t xml:space="preserve">与体系相关</w:t>
            </w:r>
          </w:p>
        </w:tc>
        <w:tc>
          <w:tcPr/>
          <w:p>
            <w:pPr>
              <w:pStyle w:val="Compact"/>
              <w:jc w:val="left"/>
            </w:pPr>
            <w:r>
              <w:t xml:space="preserve">轻微降低</w:t>
            </w:r>
          </w:p>
        </w:tc>
        <w:tc>
          <w:tcPr/>
          <w:p>
            <w:pPr>
              <w:pStyle w:val="Compact"/>
              <w:jc w:val="left"/>
            </w:pPr>
            <w:r>
              <w:t xml:space="preserve">增加风险</w:t>
            </w:r>
          </w:p>
        </w:tc>
        <w:tc>
          <w:tcPr/>
          <w:p>
            <w:pPr>
              <w:pStyle w:val="Compact"/>
              <w:jc w:val="left"/>
            </w:pPr>
            <w:r>
              <w:t xml:space="preserve">功率</w:t>
            </w:r>
          </w:p>
        </w:tc>
      </w:tr>
      <w:tr>
        <w:tc>
          <w:tcPr/>
          <w:p>
            <w:pPr>
              <w:pStyle w:val="Compact"/>
              <w:jc w:val="left"/>
            </w:pPr>
            <w:r>
              <w:t xml:space="preserve">气体总流量</w:t>
            </w:r>
          </w:p>
        </w:tc>
        <w:tc>
          <w:tcPr/>
          <w:p>
            <w:pPr>
              <w:pStyle w:val="Compact"/>
              <w:jc w:val="left"/>
            </w:pPr>
            <w:r>
              <w:t xml:space="preserve">↑</w:t>
            </w:r>
          </w:p>
        </w:tc>
        <w:tc>
          <w:tcPr/>
          <w:p>
            <w:pPr>
              <w:pStyle w:val="Compact"/>
              <w:jc w:val="left"/>
            </w:pPr>
            <w:r>
              <w:t xml:space="preserve">适度增加</w:t>
            </w:r>
          </w:p>
        </w:tc>
        <w:tc>
          <w:tcPr/>
          <w:p>
            <w:pPr>
              <w:pStyle w:val="Compact"/>
              <w:jc w:val="left"/>
            </w:pPr>
            <w:r>
              <w:t xml:space="preserve">轻微改善</w:t>
            </w:r>
          </w:p>
        </w:tc>
        <w:tc>
          <w:tcPr/>
          <w:p>
            <w:pPr>
              <w:pStyle w:val="Compact"/>
              <w:jc w:val="left"/>
            </w:pPr>
            <w:r>
              <w:t xml:space="preserve">中性</w:t>
            </w:r>
          </w:p>
        </w:tc>
        <w:tc>
          <w:tcPr/>
          <w:p>
            <w:pPr>
              <w:pStyle w:val="Compact"/>
              <w:jc w:val="left"/>
            </w:pPr>
            <w:r>
              <w:t xml:space="preserve">降低堆积</w:t>
            </w:r>
          </w:p>
        </w:tc>
        <w:tc>
          <w:tcPr/>
          <w:p>
            <w:pPr>
              <w:pStyle w:val="Compact"/>
              <w:jc w:val="left"/>
            </w:pPr>
            <w:r>
              <w:t xml:space="preserve">压力</w:t>
            </w:r>
          </w:p>
        </w:tc>
      </w:tr>
    </w:tbl>
    <w:p>
      <w:pPr>
        <w:pStyle w:val="BodyText"/>
      </w:pPr>
      <w:r>
        <w:t xml:space="preserve">上表综合多项系统表征结果</w:t>
      </w:r>
      <w:r>
        <w:rPr>
          <w:vertAlign w:val="superscript"/>
        </w:rPr>
        <w:footnoteReference w:id="41"/>
      </w:r>
      <w:r>
        <w:t xml:space="preserve"> </w:t>
      </w:r>
      <w:fldSimple w:instr="NOTEREF _Ref_Footnote_1 \h \f">
        <w:r>
          <w:rPr>
            <w:vertAlign w:val="superscript"/>
          </w:rPr>
          <w:t>1</w:t>
        </w:r>
      </w:fldSimple>
      <w:r>
        <w:t xml:space="preserve"> </w:t>
      </w:r>
      <w:fldSimple w:instr="NOTEREF _Ref_Footnote_3 \h \f">
        <w:r>
          <w:rPr>
            <w:vertAlign w:val="superscript"/>
          </w:rPr>
          <w:t>3</w:t>
        </w:r>
      </w:fldSimple>
      <w:r>
        <w:t xml:space="preserve">，揭示参数调整的多目标冲突性：Bias功率增加同时提高刻蚀速率和各向异性，但以牺牲选择比为代价。这种非线性耦合意味着单一参数最优值在多目标约束下往往不可行，必须依赖多目标优化寻找帕累托前沿。交互效应分析模块采用响应面方法（RSM）或GPR偏导数计算敏感性矩阵</w:t>
      </w:r>
      <w:r>
        <w:t xml:space="preserve"> </w:t>
      </w:r>
      <m:oMath>
        <m:sSub>
          <m:e>
            <m:r>
              <m:t>S</m:t>
            </m:r>
          </m:e>
          <m:sub>
            <m:r>
              <m:t>i</m:t>
            </m:r>
            <m:r>
              <m:t>j</m:t>
            </m:r>
          </m:sub>
        </m:sSub>
        <m:r>
          <m:rPr>
            <m:sty m:val="p"/>
          </m:rPr>
          <m:t>=</m:t>
        </m:r>
        <m:r>
          <m:rPr>
            <m:sty m:val="p"/>
          </m:rPr>
          <m:t>∂</m:t>
        </m:r>
        <m:sSub>
          <m:e>
            <m:r>
              <m:t>Y</m:t>
            </m:r>
          </m:e>
          <m:sub>
            <m:r>
              <m:t>i</m:t>
            </m:r>
          </m:sub>
        </m:sSub>
        <m:r>
          <m:rPr>
            <m:sty m:val="p"/>
          </m:rPr>
          <m:t>/</m:t>
        </m:r>
        <m:r>
          <m:rPr>
            <m:sty m:val="p"/>
          </m:rPr>
          <m:t>∂</m:t>
        </m:r>
        <m:sSub>
          <m:e>
            <m:r>
              <m:t>X</m:t>
            </m:r>
          </m:e>
          <m:sub>
            <m:r>
              <m:t>j</m:t>
            </m:r>
          </m:sub>
        </m:sSub>
      </m:oMath>
      <w:r>
        <w:t xml:space="preserve">，以热图形式可视化工艺窗口——即满足所有规格约束的参数空间子集，其边界由约束交界面确定</w:t>
      </w:r>
      <w:r>
        <w:rPr>
          <w:vertAlign w:val="superscript"/>
        </w:rPr>
        <w:footnoteReference w:id="42"/>
      </w:r>
      <w:r>
        <w:t xml:space="preserve">。</w:t>
      </w:r>
    </w:p>
    <w:bookmarkEnd w:id="42"/>
    <w:bookmarkStart w:id="43" w:name="apcr2r集成能力"/>
    <w:p>
      <w:pPr>
        <w:pStyle w:val="Heading4"/>
      </w:pPr>
      <w:r>
        <w:t xml:space="preserve">3.1.4 APC/R2R集成能力</w:t>
      </w:r>
    </w:p>
    <w:p>
      <w:pPr>
        <w:pStyle w:val="FirstParagraph"/>
      </w:pPr>
      <w:r>
        <w:t xml:space="preserve">APC/R2R（Run-to-Run）集成将静态Recipe推荐扩展为动态自适应调整。</w:t>
      </w:r>
    </w:p>
    <w:p>
      <w:pPr>
        <w:pStyle w:val="BodyText"/>
      </w:pPr>
      <w:r>
        <w:rPr>
          <w:bCs/>
          <w:b/>
        </w:rPr>
        <w:t xml:space="preserve">表3 APC控制层级与SubAgent对接关系表</w:t>
      </w:r>
    </w:p>
    <w:tbl>
      <w:tblPr>
        <w:tblStyle w:val="Table"/>
        <w:tblW w:type="pct" w:w="5000"/>
        <w:tblLook w:firstRow="1" w:lastRow="0" w:firstColumn="0" w:lastColumn="0" w:noHBand="0" w:noVBand="0" w:val="0020"/>
      </w:tblPr>
      <w:tblGrid>
        <w:gridCol w:w="1370"/>
        <w:gridCol w:w="1370"/>
        <w:gridCol w:w="1370"/>
        <w:gridCol w:w="1370"/>
        <w:gridCol w:w="2436"/>
      </w:tblGrid>
      <w:tr>
        <w:trPr>
          <w:tblHeader w:val="true"/>
        </w:trPr>
        <w:tc>
          <w:tcPr/>
          <w:p>
            <w:pPr>
              <w:pStyle w:val="Compact"/>
              <w:jc w:val="left"/>
            </w:pPr>
            <w:r>
              <w:t xml:space="preserve">APC层级</w:t>
            </w:r>
          </w:p>
        </w:tc>
        <w:tc>
          <w:tcPr/>
          <w:p>
            <w:pPr>
              <w:pStyle w:val="Compact"/>
              <w:jc w:val="left"/>
            </w:pPr>
            <w:r>
              <w:t xml:space="preserve">控制策略</w:t>
            </w:r>
          </w:p>
        </w:tc>
        <w:tc>
          <w:tcPr/>
          <w:p>
            <w:pPr>
              <w:pStyle w:val="Compact"/>
              <w:jc w:val="left"/>
            </w:pPr>
            <w:r>
              <w:t xml:space="preserve">延迟尺度</w:t>
            </w:r>
          </w:p>
        </w:tc>
        <w:tc>
          <w:tcPr/>
          <w:p>
            <w:pPr>
              <w:pStyle w:val="Compact"/>
              <w:jc w:val="left"/>
            </w:pPr>
            <w:r>
              <w:t xml:space="preserve">适用场景</w:t>
            </w:r>
          </w:p>
        </w:tc>
        <w:tc>
          <w:tcPr/>
          <w:p>
            <w:pPr>
              <w:pStyle w:val="Compact"/>
              <w:jc w:val="left"/>
            </w:pPr>
            <w:r>
              <w:t xml:space="preserve">SubAgent对接方式</w:t>
            </w:r>
          </w:p>
        </w:tc>
      </w:tr>
      <w:tr>
        <w:tc>
          <w:tcPr/>
          <w:p>
            <w:pPr>
              <w:pStyle w:val="Compact"/>
              <w:jc w:val="left"/>
            </w:pPr>
            <w:r>
              <w:t xml:space="preserve">Run-to-Run (R2R)</w:t>
            </w:r>
          </w:p>
        </w:tc>
        <w:tc>
          <w:tcPr/>
          <w:p>
            <w:pPr>
              <w:pStyle w:val="Compact"/>
              <w:jc w:val="left"/>
            </w:pPr>
            <w:r>
              <w:t xml:space="preserve">批次间参数调整</w:t>
            </w:r>
          </w:p>
        </w:tc>
        <w:tc>
          <w:tcPr/>
          <w:p>
            <w:pPr>
              <w:pStyle w:val="Compact"/>
              <w:jc w:val="left"/>
            </w:pPr>
            <w:r>
              <w:t xml:space="preserve">分钟–小时</w:t>
            </w:r>
          </w:p>
        </w:tc>
        <w:tc>
          <w:tcPr/>
          <w:p>
            <w:pPr>
              <w:pStyle w:val="Compact"/>
              <w:jc w:val="left"/>
            </w:pPr>
            <w:r>
              <w:t xml:space="preserve">刻蚀CD控制、深度控制</w:t>
            </w:r>
          </w:p>
        </w:tc>
        <w:tc>
          <w:tcPr/>
          <w:p>
            <w:pPr>
              <w:pStyle w:val="Compact"/>
              <w:jc w:val="left"/>
            </w:pPr>
            <w:r>
              <w:t xml:space="preserve">生成EWMA调整后Recipe参数集</w:t>
            </w:r>
          </w:p>
        </w:tc>
      </w:tr>
      <w:tr>
        <w:tc>
          <w:tcPr/>
          <w:p>
            <w:pPr>
              <w:pStyle w:val="Compact"/>
              <w:jc w:val="left"/>
            </w:pPr>
            <w:r>
              <w:t xml:space="preserve">Wafer-to-Wafer (W2W)</w:t>
            </w:r>
          </w:p>
        </w:tc>
        <w:tc>
          <w:tcPr/>
          <w:p>
            <w:pPr>
              <w:pStyle w:val="Compact"/>
              <w:jc w:val="left"/>
            </w:pPr>
            <w:r>
              <w:t xml:space="preserve">晶圆间实时调整</w:t>
            </w:r>
          </w:p>
        </w:tc>
        <w:tc>
          <w:tcPr/>
          <w:p>
            <w:pPr>
              <w:pStyle w:val="Compact"/>
              <w:jc w:val="left"/>
            </w:pPr>
            <w:r>
              <w:t xml:space="preserve">30–60秒</w:t>
            </w:r>
          </w:p>
        </w:tc>
        <w:tc>
          <w:tcPr/>
          <w:p>
            <w:pPr>
              <w:pStyle w:val="Compact"/>
              <w:jc w:val="left"/>
            </w:pPr>
            <w:r>
              <w:t xml:space="preserve">光刻对准补偿、刻蚀修正</w:t>
            </w:r>
          </w:p>
        </w:tc>
        <w:tc>
          <w:tcPr/>
          <w:p>
            <w:pPr>
              <w:pStyle w:val="Compact"/>
              <w:jc w:val="left"/>
            </w:pPr>
            <w:r>
              <w:t xml:space="preserve">提供单晶圆级参数预测</w:t>
            </w:r>
          </w:p>
        </w:tc>
      </w:tr>
      <w:tr>
        <w:tc>
          <w:tcPr/>
          <w:p>
            <w:pPr>
              <w:pStyle w:val="Compact"/>
              <w:jc w:val="left"/>
            </w:pPr>
            <w:r>
              <w:t xml:space="preserve">Within-Wafer</w:t>
            </w:r>
          </w:p>
        </w:tc>
        <w:tc>
          <w:tcPr/>
          <w:p>
            <w:pPr>
              <w:pStyle w:val="Compact"/>
              <w:jc w:val="left"/>
            </w:pPr>
            <w:r>
              <w:t xml:space="preserve">晶圆内多区域调整</w:t>
            </w:r>
          </w:p>
        </w:tc>
        <w:tc>
          <w:tcPr/>
          <w:p>
            <w:pPr>
              <w:pStyle w:val="Compact"/>
              <w:jc w:val="left"/>
            </w:pPr>
            <w:r>
              <w:t xml:space="preserve">实时</w:t>
            </w:r>
          </w:p>
        </w:tc>
        <w:tc>
          <w:tcPr/>
          <w:p>
            <w:pPr>
              <w:pStyle w:val="Compact"/>
              <w:jc w:val="left"/>
            </w:pPr>
            <w:r>
              <w:t xml:space="preserve">多区域刻蚀</w:t>
            </w:r>
          </w:p>
        </w:tc>
        <w:tc>
          <w:tcPr/>
          <w:p>
            <w:pPr>
              <w:pStyle w:val="Compact"/>
              <w:jc w:val="left"/>
            </w:pPr>
            <w:r>
              <w:t xml:space="preserve">提供区域化参数模板</w:t>
            </w:r>
          </w:p>
        </w:tc>
      </w:tr>
      <w:tr>
        <w:tc>
          <w:tcPr/>
          <w:p>
            <w:pPr>
              <w:pStyle w:val="Compact"/>
              <w:jc w:val="left"/>
            </w:pPr>
            <w:r>
              <w:t xml:space="preserve">Fault Detection (FDC)</w:t>
            </w:r>
          </w:p>
        </w:tc>
        <w:tc>
          <w:tcPr/>
          <w:p>
            <w:pPr>
              <w:pStyle w:val="Compact"/>
              <w:jc w:val="left"/>
            </w:pPr>
            <w:r>
              <w:t xml:space="preserve">异常检测与保护</w:t>
            </w:r>
          </w:p>
        </w:tc>
        <w:tc>
          <w:tcPr/>
          <w:p>
            <w:pPr>
              <w:pStyle w:val="Compact"/>
              <w:jc w:val="left"/>
            </w:pPr>
            <w:r>
              <w:t xml:space="preserve">实时</w:t>
            </w:r>
          </w:p>
        </w:tc>
        <w:tc>
          <w:tcPr/>
          <w:p>
            <w:pPr>
              <w:pStyle w:val="Compact"/>
              <w:jc w:val="left"/>
            </w:pPr>
            <w:r>
              <w:t xml:space="preserve">所有设备腔室</w:t>
            </w:r>
          </w:p>
        </w:tc>
        <w:tc>
          <w:tcPr/>
          <w:p>
            <w:pPr>
              <w:pStyle w:val="Compact"/>
              <w:jc w:val="left"/>
            </w:pPr>
            <w:r>
              <w:t xml:space="preserve">接收报警，推荐恢复Recipe</w:t>
            </w:r>
          </w:p>
        </w:tc>
      </w:tr>
    </w:tbl>
    <w:p>
      <w:pPr>
        <w:pStyle w:val="BodyText"/>
      </w:pPr>
      <w:r>
        <w:t xml:space="preserve">SubAgent在R2R层级的核心功能是与EWMA（Exponentially Weighted Moving Average）控制器对接。EWMA控制律为</w:t>
      </w:r>
      <w:r>
        <w:t xml:space="preserve"> </w:t>
      </w:r>
      <m:oMath>
        <m:sSub>
          <m:e>
            <m:r>
              <m:t>R</m:t>
            </m:r>
          </m:e>
          <m:sub>
            <m:r>
              <m:t>n</m:t>
            </m:r>
            <m:r>
              <m:rPr>
                <m:sty m:val="p"/>
              </m:rPr>
              <m:t>+</m:t>
            </m:r>
            <m:r>
              <m:t>1</m:t>
            </m:r>
          </m:sub>
        </m:sSub>
        <m:r>
          <m:rPr>
            <m:sty m:val="p"/>
          </m:rPr>
          <m:t>=</m:t>
        </m:r>
        <m:sSub>
          <m:e>
            <m:r>
              <m:t>R</m:t>
            </m:r>
          </m:e>
          <m:sub>
            <m:r>
              <m:t>n</m:t>
            </m:r>
          </m:sub>
        </m:sSub>
        <m:r>
          <m:rPr>
            <m:sty m:val="p"/>
          </m:rPr>
          <m:t>+</m:t>
        </m:r>
        <m:r>
          <m:t>λ</m:t>
        </m:r>
        <m:r>
          <m:rPr>
            <m:sty m:val="p"/>
          </m:rPr>
          <m:t>⋅</m:t>
        </m:r>
        <m:d>
          <m:dPr>
            <m:begChr m:val="("/>
            <m:endChr m:val=")"/>
            <m:sepChr m:val=""/>
            <m:grow/>
          </m:dPr>
          <m:e>
            <m:r>
              <m:t>T</m:t>
            </m:r>
            <m:r>
              <m:t>a</m:t>
            </m:r>
            <m:r>
              <m:t>r</m:t>
            </m:r>
            <m:r>
              <m:t>g</m:t>
            </m:r>
            <m:r>
              <m:t>e</m:t>
            </m:r>
            <m:r>
              <m:t>t</m:t>
            </m:r>
            <m:r>
              <m:rPr>
                <m:sty m:val="p"/>
              </m:rPr>
              <m:t>−</m:t>
            </m:r>
            <m:sSub>
              <m:e>
                <m:acc>
                  <m:accPr>
                    <m:chr m:val="̂"/>
                  </m:accPr>
                  <m:e>
                    <m:r>
                      <m:t>Y</m:t>
                    </m:r>
                  </m:e>
                </m:acc>
              </m:e>
              <m:sub>
                <m:r>
                  <m:t>n</m:t>
                </m:r>
              </m:sub>
            </m:sSub>
          </m:e>
        </m:d>
      </m:oMath>
      <w:r>
        <w:t xml:space="preserve">，其中</w:t>
      </w:r>
      <m:oMath>
        <m:sSub>
          <m:e>
            <m:r>
              <m:t>R</m:t>
            </m:r>
          </m:e>
          <m:sub>
            <m:r>
              <m:t>n</m:t>
            </m:r>
          </m:sub>
        </m:sSub>
      </m:oMath>
      <w:r>
        <w:t xml:space="preserve">为第</w:t>
      </w:r>
      <m:oMath>
        <m:r>
          <m:t>n</m:t>
        </m:r>
      </m:oMath>
      <w:r>
        <w:t xml:space="preserve">批次Recipe设定值，</w:t>
      </w:r>
      <m:oMath>
        <m:r>
          <m:t>λ</m:t>
        </m:r>
        <m:r>
          <m:rPr>
            <m:sty m:val="p"/>
          </m:rPr>
          <m:t>∈</m:t>
        </m:r>
        <m:r>
          <m:rPr>
            <m:sty m:val="p"/>
          </m:rPr>
          <m:t>(</m:t>
        </m:r>
        <m:r>
          <m:t>0</m:t>
        </m:r>
        <m:r>
          <m:rPr>
            <m:sty m:val="p"/>
          </m:rPr>
          <m:t>,</m:t>
        </m:r>
        <m:r>
          <m:t>1</m:t>
        </m:r>
        <m:r>
          <m:rPr>
            <m:sty m:val="p"/>
          </m:rPr>
          <m:t>]</m:t>
        </m:r>
      </m:oMath>
      <w:r>
        <w:t xml:space="preserve">为平滑系数</w:t>
      </w:r>
      <w:r>
        <w:rPr>
          <w:vertAlign w:val="superscript"/>
        </w:rPr>
        <w:footnoteReference w:id="43"/>
      </w:r>
      <w:r>
        <w:t xml:space="preserve">。SubAgent将控制器输出的</w:t>
      </w:r>
      <m:oMath>
        <m:sSub>
          <m:e>
            <m:r>
              <m:t>R</m:t>
            </m:r>
          </m:e>
          <m:sub>
            <m:r>
              <m:t>n</m:t>
            </m:r>
            <m:r>
              <m:rPr>
                <m:sty m:val="p"/>
              </m:rPr>
              <m:t>+</m:t>
            </m:r>
            <m:r>
              <m:t>1</m:t>
            </m:r>
          </m:sub>
        </m:sSub>
      </m:oMath>
      <w:r>
        <w:t xml:space="preserve">映射为完整Recipe参数集，并检查其是否在有效工艺窗口内。对于存在确定性漂移的场景，SubAgent支持dEWMA接口，通过趋势补偿项提高跟踪能力</w:t>
      </w:r>
      <w:r>
        <w:rPr>
          <w:vertAlign w:val="superscript"/>
        </w:rPr>
        <w:footnoteReference w:id="44"/>
      </w:r>
      <w:r>
        <w:t xml:space="preserve">。设备间匹配（Tool-to-Tool Matching）功能基于历史偏移表和数字孪生参考模型实现Recipe补偿</w:t>
      </w:r>
      <w:r>
        <w:rPr>
          <w:vertAlign w:val="superscript"/>
        </w:rPr>
        <w:footnoteReference w:id="45"/>
      </w:r>
      <w:r>
        <w:t xml:space="preserve">。</w:t>
      </w:r>
    </w:p>
    <w:bookmarkEnd w:id="43"/>
    <w:bookmarkEnd w:id="44"/>
    <w:bookmarkStart w:id="47" w:name="输入输出规范-1"/>
    <w:p>
      <w:pPr>
        <w:pStyle w:val="Heading3"/>
      </w:pPr>
      <w:r>
        <w:t xml:space="preserve">3.2 输入输出规范</w:t>
      </w:r>
    </w:p>
    <w:bookmarkStart w:id="45" w:name="输入json-schema-1"/>
    <w:p>
      <w:pPr>
        <w:pStyle w:val="Heading4"/>
      </w:pPr>
      <w:r>
        <w:t xml:space="preserve">3.2.1 输入JSON Schema</w:t>
      </w:r>
    </w:p>
    <w:p>
      <w:pPr>
        <w:pStyle w:val="FirstParagraph"/>
      </w:pPr>
      <w:r>
        <w:t xml:space="preserve">输入JSON包含五个字段组：</w:t>
      </w:r>
      <w:r>
        <w:rPr>
          <w:rStyle w:val="VerbatimChar"/>
        </w:rPr>
        <w:t xml:space="preserve">request_type</w:t>
      </w:r>
      <w:r>
        <w:t xml:space="preserve">定义请求类型（</w:t>
      </w:r>
      <w:r>
        <w:rPr>
          <w:rStyle w:val="VerbatimChar"/>
        </w:rPr>
        <w:t xml:space="preserve">recipe_recommendation</w:t>
      </w:r>
      <w:r>
        <w:t xml:space="preserve">、</w:t>
      </w:r>
      <w:r>
        <w:rPr>
          <w:rStyle w:val="VerbatimChar"/>
        </w:rPr>
        <w:t xml:space="preserve">parameter_adjustment</w:t>
      </w:r>
      <w:r>
        <w:t xml:space="preserve">、</w:t>
      </w:r>
      <w:r>
        <w:rPr>
          <w:rStyle w:val="VerbatimChar"/>
        </w:rPr>
        <w:t xml:space="preserve">sensitivity_analysis</w:t>
      </w:r>
      <w:r>
        <w:t xml:space="preserve">、</w:t>
      </w:r>
      <w:r>
        <w:rPr>
          <w:rStyle w:val="VerbatimChar"/>
        </w:rPr>
        <w:t xml:space="preserve">recipe_transfer</w:t>
      </w:r>
      <w:r>
        <w:t xml:space="preserve">）；</w:t>
      </w:r>
      <w:r>
        <w:rPr>
          <w:rStyle w:val="VerbatimChar"/>
        </w:rPr>
        <w:t xml:space="preserve">material_info</w:t>
      </w:r>
      <w:r>
        <w:t xml:space="preserve">描述靶材、掩模材料、结构类型（沟槽/通孔/接触孔/栅极/侧墙/HAR）及关键尺寸；</w:t>
      </w:r>
      <w:r>
        <w:rPr>
          <w:rStyle w:val="VerbatimChar"/>
        </w:rPr>
        <w:t xml:space="preserve">process_target</w:t>
      </w:r>
      <w:r>
        <w:t xml:space="preserve">指定目标深度、形貌、选择比、均匀性规格和刻蚀速率目标；</w:t>
      </w:r>
      <w:r>
        <w:rPr>
          <w:rStyle w:val="VerbatimChar"/>
        </w:rPr>
        <w:t xml:space="preserve">equipment_info</w:t>
      </w:r>
      <w:r>
        <w:t xml:space="preserve">提供设备平台型号（支持Lam 9600/Versys、TEL Tactras、AMAT Centura、Oxford PlasmaLab 100等）、腔室ID、可用气体清单及子系统物理上限</w:t>
      </w:r>
      <w:fldSimple w:instr="NOTEREF _Ref_Footnote_36 \h \f">
        <w:r>
          <w:rPr>
            <w:vertAlign w:val="superscript"/>
          </w:rPr>
          <w:t>36</w:t>
        </w:r>
      </w:fldSimple>
      <w:r>
        <w:t xml:space="preserve">；</w:t>
      </w:r>
      <w:r>
        <w:rPr>
          <w:rStyle w:val="VerbatimChar"/>
        </w:rPr>
        <w:t xml:space="preserve">context</w:t>
      </w:r>
      <w:r>
        <w:t xml:space="preserve">携带问题类型（过刻蚀/欠刻蚀/弓形/微沟槽/负载效应等）、前序Recipe ID及量测反馈（实际CD、深度、选择比、剖面角）。</w:t>
      </w:r>
      <w:r>
        <w:rPr>
          <w:rStyle w:val="VerbatimChar"/>
        </w:rPr>
        <w:t xml:space="preserve">constraint</w:t>
      </w:r>
      <w:r>
        <w:t xml:space="preserve">字段声明最大工艺时间、温度上限和禁用气体清单。</w:t>
      </w:r>
    </w:p>
    <w:bookmarkEnd w:id="45"/>
    <w:bookmarkStart w:id="46" w:name="输出json-schema-1"/>
    <w:p>
      <w:pPr>
        <w:pStyle w:val="Heading4"/>
      </w:pPr>
      <w:r>
        <w:t xml:space="preserve">3.2.2 输出JSON Schema</w:t>
      </w:r>
    </w:p>
    <w:p>
      <w:pPr>
        <w:pStyle w:val="FirstParagraph"/>
      </w:pPr>
      <w:r>
        <w:t xml:space="preserve">输出JSON包含六个字段组：</w:t>
      </w:r>
      <w:r>
        <w:rPr>
          <w:rStyle w:val="VerbatimChar"/>
        </w:rPr>
        <w:t xml:space="preserve">recommended_recipe</w:t>
      </w:r>
      <w:r>
        <w:t xml:space="preserve">以分步骤格式组织参数，每步包含步骤类型（抽真空/气体稳定/刻蚀/过刻蚀/钝化/清洗）和完整参数集（压力、ICP功率、Bias功率、各气体流量、温度、背氦压力、时间及可选RF脉冲参数）；</w:t>
      </w:r>
      <w:r>
        <w:rPr>
          <w:rStyle w:val="VerbatimChar"/>
        </w:rPr>
        <w:t xml:space="preserve">predicted_results</w:t>
      </w:r>
      <w:r>
        <w:t xml:space="preserve">提供刻蚀速率、选择比、剖面角和均匀性的预估值及置信度评级；</w:t>
      </w:r>
      <w:r>
        <w:rPr>
          <w:rStyle w:val="VerbatimChar"/>
        </w:rPr>
        <w:t xml:space="preserve">sensitivity_analysis</w:t>
      </w:r>
      <w:r>
        <w:t xml:space="preserve">输出参数影响排序和交互效应矩阵；</w:t>
      </w:r>
      <w:r>
        <w:rPr>
          <w:rStyle w:val="VerbatimChar"/>
        </w:rPr>
        <w:t xml:space="preserve">process_window</w:t>
      </w:r>
      <w:r>
        <w:t xml:space="preserve">给出关键参数的允许范围和最优值；</w:t>
      </w:r>
      <w:r>
        <w:rPr>
          <w:rStyle w:val="VerbatimChar"/>
        </w:rPr>
        <w:t xml:space="preserve">adjustment_rationale</w:t>
      </w:r>
      <w:r>
        <w:t xml:space="preserve">以自然语言解释推荐逻辑；</w:t>
      </w:r>
      <w:r>
        <w:rPr>
          <w:rStyle w:val="VerbatimChar"/>
        </w:rPr>
        <w:t xml:space="preserve">warnings</w:t>
      </w:r>
      <w:r>
        <w:t xml:space="preserve">列出约束违反或风险提示。</w:t>
      </w:r>
    </w:p>
    <w:p>
      <w:pPr>
        <w:pStyle w:val="BodyText"/>
      </w:pPr>
      <w:r>
        <w:t xml:space="preserve">置信度判定依据包括：推荐参数与历史成功案例的相似度、代理模型预测误差（RMSE&lt;2 Å/min时标记高置信度</w:t>
      </w:r>
      <w:fldSimple w:instr="NOTEREF _Ref_Footnote_24 \h \f">
        <w:r>
          <w:rPr>
            <w:vertAlign w:val="superscript"/>
          </w:rPr>
          <w:t>24</w:t>
        </w:r>
      </w:fldSimple>
      <w:r>
        <w:t xml:space="preserve">）及参数组合是否位于已验证工艺窗口内。对于超出历史数据分布范围的外推场景，置信度自动降级为”低”并附带验证建议。</w:t>
      </w:r>
    </w:p>
    <w:bookmarkEnd w:id="46"/>
    <w:bookmarkEnd w:id="47"/>
    <w:bookmarkStart w:id="51" w:name="触发条件与协作关系-1"/>
    <w:p>
      <w:pPr>
        <w:pStyle w:val="Heading3"/>
      </w:pPr>
      <w:r>
        <w:t xml:space="preserve">3.3 触发条件与协作关系</w:t>
      </w:r>
    </w:p>
    <w:bookmarkStart w:id="48" w:name="触发条件-1"/>
    <w:p>
      <w:pPr>
        <w:pStyle w:val="Heading4"/>
      </w:pPr>
      <w:r>
        <w:t xml:space="preserve">3.3.1 触发条件</w:t>
      </w:r>
    </w:p>
    <w:p>
      <w:pPr>
        <w:pStyle w:val="FirstParagraph"/>
      </w:pPr>
      <w:r>
        <w:t xml:space="preserve">SubAgent的激活条件分为六类：</w:t>
      </w:r>
      <w:r>
        <w:rPr>
          <w:bCs/>
          <w:b/>
        </w:rPr>
        <w:t xml:space="preserve">新Recipe开发</w:t>
      </w:r>
      <w:r>
        <w:t xml:space="preserve">，针对全新材料-结构-设备组合从零构建初始参数集；</w:t>
      </w:r>
      <w:r>
        <w:rPr>
          <w:bCs/>
          <w:b/>
        </w:rPr>
        <w:t xml:space="preserve">工艺问题修正</w:t>
      </w:r>
      <w:r>
        <w:t xml:space="preserve">，基于问题-参数映射表生成调整方案（如”弓形→降低压力+降低Bias功率+增加钝化气体”）；</w:t>
      </w:r>
      <w:r>
        <w:rPr>
          <w:bCs/>
          <w:b/>
        </w:rPr>
        <w:t xml:space="preserve">量测反馈偏离</w:t>
      </w:r>
      <w:r>
        <w:t xml:space="preserve">，实际结果超规格时触发微调；</w:t>
      </w:r>
      <w:r>
        <w:rPr>
          <w:bCs/>
          <w:b/>
        </w:rPr>
        <w:t xml:space="preserve">设备切换/匹配</w:t>
      </w:r>
      <w:r>
        <w:t xml:space="preserve">，跨腔室或跨设备Recipe转移时应用平台适配规则和偏移数据；</w:t>
      </w:r>
      <w:r>
        <w:rPr>
          <w:bCs/>
          <w:b/>
        </w:rPr>
        <w:t xml:space="preserve">APC控制器请求</w:t>
      </w:r>
      <w:r>
        <w:t xml:space="preserve">，R2R系统定期请求下一批次的Recipe调整值；</w:t>
      </w:r>
      <w:r>
        <w:rPr>
          <w:bCs/>
          <w:b/>
        </w:rPr>
        <w:t xml:space="preserve">DOE初始化</w:t>
      </w:r>
      <w:r>
        <w:t xml:space="preserve">，为实验设计Agent提供初始参数中心点。</w:t>
      </w:r>
    </w:p>
    <w:bookmarkEnd w:id="48"/>
    <w:bookmarkStart w:id="49" w:name="上游依赖"/>
    <w:p>
      <w:pPr>
        <w:pStyle w:val="Heading4"/>
      </w:pPr>
      <w:r>
        <w:t xml:space="preserve">3.3.2 上游依赖</w:t>
      </w:r>
    </w:p>
    <w:p>
      <w:pPr>
        <w:pStyle w:val="FirstParagraph"/>
      </w:pPr>
      <w:r>
        <w:t xml:space="preserve">SubAgent依赖三类上游输入。</w:t>
      </w:r>
      <w:r>
        <w:rPr>
          <w:bCs/>
          <w:b/>
        </w:rPr>
        <w:t xml:space="preserve">主Agent指令</w:t>
      </w:r>
      <w:r>
        <w:t xml:space="preserve">：主Agent通过</w:t>
      </w:r>
      <w:r>
        <w:rPr>
          <w:rStyle w:val="VerbatimChar"/>
        </w:rPr>
        <w:t xml:space="preserve">request_type</w:t>
      </w:r>
      <w:r>
        <w:t xml:space="preserve">和</w:t>
      </w:r>
      <w:r>
        <w:rPr>
          <w:rStyle w:val="VerbatimChar"/>
        </w:rPr>
        <w:t xml:space="preserve">material_info</w:t>
      </w:r>
      <w:r>
        <w:t xml:space="preserve">传递任务目标，SubAgent据此选择策略——常规优化使用规则+代理模型组合，紧急故障恢复优先匹配历史成功案例。</w:t>
      </w:r>
      <w:r>
        <w:rPr>
          <w:bCs/>
          <w:b/>
        </w:rPr>
        <w:t xml:space="preserve">数据Agent的预测结果</w:t>
      </w:r>
      <w:r>
        <w:t xml:space="preserve">：数据Agent提供的刻蚀速率预测和负载效应估计作为代理模型输入特征，在小样本场景下弥补本地训练数据不足。</w:t>
      </w:r>
      <w:r>
        <w:rPr>
          <w:bCs/>
          <w:b/>
        </w:rPr>
        <w:t xml:space="preserve">文献Agent的相似案例</w:t>
      </w:r>
      <w:r>
        <w:t xml:space="preserve">：文献Agent检索的已发表Recipe参数用于验证推荐合理性，如Mo刻蚀的Cl₂/O₂推荐需文献实验数据</w:t>
      </w:r>
      <w:fldSimple w:instr="NOTEREF _Ref_Footnote_6 \h \f">
        <w:r>
          <w:rPr>
            <w:vertAlign w:val="superscript"/>
          </w:rPr>
          <w:t>6</w:t>
        </w:r>
      </w:fldSimple>
      <w:r>
        <w:t xml:space="preserve">交叉验证。</w:t>
      </w:r>
    </w:p>
    <w:bookmarkEnd w:id="49"/>
    <w:bookmarkStart w:id="50" w:name="下游贡献"/>
    <w:p>
      <w:pPr>
        <w:pStyle w:val="Heading4"/>
      </w:pPr>
      <w:r>
        <w:t xml:space="preserve">3.3.3 下游贡献</w:t>
      </w:r>
    </w:p>
    <w:p>
      <w:pPr>
        <w:pStyle w:val="FirstParagraph"/>
      </w:pPr>
      <w:r>
        <w:t xml:space="preserve">SubAgent的输出为多Agent提供输入。</w:t>
      </w:r>
      <w:r>
        <w:rPr>
          <w:bCs/>
          <w:b/>
        </w:rPr>
        <w:t xml:space="preserve">DOE Agent</w:t>
      </w:r>
      <w:r>
        <w:t xml:space="preserve">：接收推荐参数集作为实验设计的中心点，Smart DOE方法仅需15–22片晶圆即可完成优化，较传统OFAT节省约80%试验成本</w:t>
      </w:r>
      <w:fldSimple w:instr="NOTEREF _Ref_Footnote_33 \h \f">
        <w:r>
          <w:rPr>
            <w:vertAlign w:val="superscript"/>
          </w:rPr>
          <w:t>33</w:t>
        </w:r>
      </w:fldSimple>
      <w:r>
        <w:t xml:space="preserve">。</w:t>
      </w:r>
      <w:r>
        <w:rPr>
          <w:bCs/>
          <w:b/>
        </w:rPr>
        <w:t xml:space="preserve">仿真Agent</w:t>
      </w:r>
      <w:r>
        <w:t xml:space="preserve">：推荐参数范围作为仿真边界条件，仿真Agent执行物理验证后反馈结果，形成”推荐-仿真-验证”迭代闭环。</w:t>
      </w:r>
      <w:r>
        <w:rPr>
          <w:bCs/>
          <w:b/>
        </w:rPr>
        <w:t xml:space="preserve">蓝军Agent</w:t>
      </w:r>
      <w:r>
        <w:t xml:space="preserve">：完整推荐参数集（含调整逻辑和敏感性矩阵）提交审查，蓝军Agent基于约束规则验证安全操作范围、基于敏感性分析评估对量测误差的鲁棒性、基于物理规律审查调整逻辑。这种”参数透明+逻辑可追踪”设计使蓝军Agent有效执行质量门禁功能。</w:t>
      </w:r>
    </w:p>
    <w:p>
      <w:pPr>
        <w:pStyle w:val="BodyText"/>
      </w:pPr>
      <w:r>
        <w:t xml:space="preserve">此外，SubAgent的Recipe输出经由SEMI E42兼容层与工厂MES对接，实现从研发到量产的部署流程，涵盖版本控制、审批工作流、设备互锁和差异可视化</w:t>
      </w:r>
      <w:r>
        <w:rPr>
          <w:vertAlign w:val="superscript"/>
        </w:rPr>
        <w:footnoteReference w:id="46"/>
      </w:r>
      <w:r>
        <w:t xml:space="preserve">。</w:t>
      </w:r>
    </w:p>
    <w:bookmarkEnd w:id="50"/>
    <w:bookmarkEnd w:id="51"/>
    <w:bookmarkEnd w:id="52"/>
    <w:bookmarkStart w:id="65" w:name="文献subagent"/>
    <w:p>
      <w:pPr>
        <w:pStyle w:val="Heading2"/>
      </w:pPr>
      <w:r>
        <w:t xml:space="preserve">4. 文献SubAgent</w:t>
      </w:r>
    </w:p>
    <w:p>
      <w:pPr>
        <w:pStyle w:val="FirstParagraph"/>
      </w:pPr>
      <w:r>
        <w:t xml:space="preserve">文献SubAgent是半导体蚀刻工艺多智能体系统中负责外部知识获取与管理的专用模块。其核心定位是填补系统知识边界——当内部知识库（设备RCP规则库、历史实验数据）无法覆盖新工艺场景时，通过多源文献检索、知识抽取与结构化、相似场景匹配及知识图谱构建四项能力，引入经过同行评审的科学知识</w:t>
      </w:r>
      <w:r>
        <w:rPr>
          <w:vertAlign w:val="superscript"/>
        </w:rPr>
        <w:footnoteReference w:id="47"/>
      </w:r>
      <w:r>
        <w:t xml:space="preserve">。从架构视角审视，文献SubAgent同时承担”知识入口”与”长期记忆”的双重角色：前者在冷启动阶段为其他Agent提供先验约束以缩小搜索空间，后者将每次成功优化案例沉淀为可复用的工艺智力资产</w:t>
      </w:r>
      <w:r>
        <w:rPr>
          <w:vertAlign w:val="superscript"/>
        </w:rPr>
        <w:footnoteReference w:id="48"/>
      </w:r>
      <w:r>
        <w:t xml:space="preserve">。</w:t>
      </w:r>
    </w:p>
    <w:bookmarkStart w:id="57" w:name="技术能力设计-2"/>
    <w:p>
      <w:pPr>
        <w:pStyle w:val="Heading3"/>
      </w:pPr>
      <w:r>
        <w:t xml:space="preserve">4.1 技术能力设计</w:t>
      </w:r>
    </w:p>
    <w:bookmarkStart w:id="53" w:name="多源文献检索"/>
    <w:p>
      <w:pPr>
        <w:pStyle w:val="Heading4"/>
      </w:pPr>
      <w:r>
        <w:t xml:space="preserve">4.1.1 多源文献检索</w:t>
      </w:r>
    </w:p>
    <w:p>
      <w:pPr>
        <w:pStyle w:val="FirstParagraph"/>
      </w:pPr>
      <w:r>
        <w:t xml:space="preserve">检索能力覆盖学术文献与专利数据两大类。学术侧对接IEEE Xplore、ScienceDirect、Springer Link、SPIE Digital Library及ArXiv五个核心数据库。IEEE Xplore收录的IEEE Transactions on Semiconductor Manufacturing是半导体制造与等离子体刻蚀领域的权威来源</w:t>
      </w:r>
      <w:r>
        <w:rPr>
          <w:vertAlign w:val="superscript"/>
        </w:rPr>
        <w:footnoteReference w:id="49"/>
      </w:r>
      <w:r>
        <w:t xml:space="preserve">；ScienceDirect旗下的Journal of Vacuum Science &amp; Technology覆盖了Bosch工艺与DRIE的基础机制研究</w:t>
      </w:r>
      <w:r>
        <w:rPr>
          <w:vertAlign w:val="superscript"/>
        </w:rPr>
        <w:footnoteReference w:id="50"/>
      </w:r>
      <w:r>
        <w:t xml:space="preserve">；ArXiv作为预印本服务器承载AI/ML在半导体工艺优化中的前沿探索</w:t>
      </w:r>
      <w:fldSimple w:instr="NOTEREF _Ref_Footnote_49 \h \f">
        <w:r>
          <w:rPr>
            <w:vertAlign w:val="superscript"/>
          </w:rPr>
          <w:t>49</w:t>
        </w:r>
      </w:fldSimple>
      <w:r>
        <w:t xml:space="preserve">。专利侧通过KIPRIS（已收录3569件以上半导体AI技术相关专利</w:t>
      </w:r>
      <w:r>
        <w:rPr>
          <w:vertAlign w:val="superscript"/>
        </w:rPr>
        <w:footnoteReference w:id="51"/>
      </w:r>
      <w:r>
        <w:t xml:space="preserve">）、USPTO PatFT及EPO Espacenet三通道获取情报，为工艺监控技术的创新趋势分析提供知识产权维度的支撑。</w:t>
      </w:r>
    </w:p>
    <w:p>
      <w:pPr>
        <w:pStyle w:val="BodyText"/>
      </w:pPr>
      <w:r>
        <w:rPr>
          <w:bCs/>
          <w:b/>
        </w:rPr>
        <w:t xml:space="preserve">表1 文献数据库覆盖范围与检索特性对比</w:t>
      </w:r>
    </w:p>
    <w:tbl>
      <w:tblPr>
        <w:tblStyle w:val="Table"/>
        <w:tblW w:type="pct" w:w="5000"/>
        <w:tblLook w:firstRow="1" w:lastRow="0" w:firstColumn="0" w:lastColumn="0" w:noHBand="0" w:noVBand="0" w:val="0020"/>
      </w:tblPr>
      <w:tblGrid>
        <w:gridCol w:w="1111"/>
        <w:gridCol w:w="1250"/>
        <w:gridCol w:w="1667"/>
        <w:gridCol w:w="1389"/>
        <w:gridCol w:w="1250"/>
        <w:gridCol w:w="1250"/>
      </w:tblGrid>
      <w:tr>
        <w:trPr>
          <w:tblHeader w:val="true"/>
        </w:trPr>
        <w:tc>
          <w:tcPr/>
          <w:p>
            <w:pPr>
              <w:pStyle w:val="Compact"/>
              <w:jc w:val="left"/>
            </w:pPr>
            <w:r>
              <w:t xml:space="preserve">数据库</w:t>
            </w:r>
          </w:p>
        </w:tc>
        <w:tc>
          <w:tcPr/>
          <w:p>
            <w:pPr>
              <w:pStyle w:val="Compact"/>
              <w:jc w:val="left"/>
            </w:pPr>
            <w:r>
              <w:t xml:space="preserve">文献类型</w:t>
            </w:r>
          </w:p>
        </w:tc>
        <w:tc>
          <w:tcPr/>
          <w:p>
            <w:pPr>
              <w:pStyle w:val="Compact"/>
              <w:jc w:val="left"/>
            </w:pPr>
            <w:r>
              <w:t xml:space="preserve">核心覆盖领域</w:t>
            </w:r>
          </w:p>
        </w:tc>
        <w:tc>
          <w:tcPr/>
          <w:p>
            <w:pPr>
              <w:pStyle w:val="Compact"/>
              <w:jc w:val="left"/>
            </w:pPr>
            <w:r>
              <w:t xml:space="preserve">预估收录量</w:t>
            </w:r>
          </w:p>
        </w:tc>
        <w:tc>
          <w:tcPr/>
          <w:p>
            <w:pPr>
              <w:pStyle w:val="Compact"/>
              <w:jc w:val="left"/>
            </w:pPr>
            <w:r>
              <w:t xml:space="preserve">检索方式</w:t>
            </w:r>
          </w:p>
        </w:tc>
        <w:tc>
          <w:tcPr/>
          <w:p>
            <w:pPr>
              <w:pStyle w:val="Compact"/>
              <w:jc w:val="left"/>
            </w:pPr>
            <w:r>
              <w:t xml:space="preserve">更新频率</w:t>
            </w:r>
          </w:p>
        </w:tc>
      </w:tr>
      <w:tr>
        <w:tc>
          <w:tcPr/>
          <w:p>
            <w:pPr>
              <w:pStyle w:val="Compact"/>
              <w:jc w:val="left"/>
            </w:pPr>
            <w:r>
              <w:t xml:space="preserve">IEEE Xplore</w:t>
            </w:r>
          </w:p>
        </w:tc>
        <w:tc>
          <w:tcPr/>
          <w:p>
            <w:pPr>
              <w:pStyle w:val="Compact"/>
              <w:jc w:val="left"/>
            </w:pPr>
            <w:r>
              <w:t xml:space="preserve">期刊/会议</w:t>
            </w:r>
          </w:p>
        </w:tc>
        <w:tc>
          <w:tcPr/>
          <w:p>
            <w:pPr>
              <w:pStyle w:val="Compact"/>
              <w:jc w:val="left"/>
            </w:pPr>
            <w:r>
              <w:t xml:space="preserve">半导体制造、等离子体科学</w:t>
            </w:r>
          </w:p>
        </w:tc>
        <w:tc>
          <w:tcPr/>
          <w:p>
            <w:pPr>
              <w:pStyle w:val="Compact"/>
              <w:jc w:val="left"/>
            </w:pPr>
            <w:r>
              <w:t xml:space="preserve">2000+篇</w:t>
            </w:r>
          </w:p>
        </w:tc>
        <w:tc>
          <w:tcPr/>
          <w:p>
            <w:pPr>
              <w:pStyle w:val="Compact"/>
              <w:jc w:val="left"/>
            </w:pPr>
            <w:r>
              <w:t xml:space="preserve">API+关键词</w:t>
            </w:r>
          </w:p>
        </w:tc>
        <w:tc>
          <w:tcPr/>
          <w:p>
            <w:pPr>
              <w:pStyle w:val="Compact"/>
              <w:jc w:val="left"/>
            </w:pPr>
            <w:r>
              <w:t xml:space="preserve">周更新</w:t>
            </w:r>
          </w:p>
        </w:tc>
      </w:tr>
      <w:tr>
        <w:tc>
          <w:tcPr/>
          <w:p>
            <w:pPr>
              <w:pStyle w:val="Compact"/>
              <w:jc w:val="left"/>
            </w:pPr>
            <w:r>
              <w:t xml:space="preserve">ScienceDirect</w:t>
            </w:r>
          </w:p>
        </w:tc>
        <w:tc>
          <w:tcPr/>
          <w:p>
            <w:pPr>
              <w:pStyle w:val="Compact"/>
              <w:jc w:val="left"/>
            </w:pPr>
            <w:r>
              <w:t xml:space="preserve">期刊</w:t>
            </w:r>
          </w:p>
        </w:tc>
        <w:tc>
          <w:tcPr/>
          <w:p>
            <w:pPr>
              <w:pStyle w:val="Compact"/>
              <w:jc w:val="left"/>
            </w:pPr>
            <w:r>
              <w:t xml:space="preserve">真空科学、电化学刻蚀</w:t>
            </w:r>
          </w:p>
        </w:tc>
        <w:tc>
          <w:tcPr/>
          <w:p>
            <w:pPr>
              <w:pStyle w:val="Compact"/>
              <w:jc w:val="left"/>
            </w:pPr>
            <w:r>
              <w:t xml:space="preserve">3500+篇</w:t>
            </w:r>
          </w:p>
        </w:tc>
        <w:tc>
          <w:tcPr/>
          <w:p>
            <w:pPr>
              <w:pStyle w:val="Compact"/>
              <w:jc w:val="left"/>
            </w:pPr>
            <w:r>
              <w:t xml:space="preserve">API+语义检索</w:t>
            </w:r>
          </w:p>
        </w:tc>
        <w:tc>
          <w:tcPr/>
          <w:p>
            <w:pPr>
              <w:pStyle w:val="Compact"/>
              <w:jc w:val="left"/>
            </w:pPr>
            <w:r>
              <w:t xml:space="preserve">日更新</w:t>
            </w:r>
          </w:p>
        </w:tc>
      </w:tr>
      <w:tr>
        <w:tc>
          <w:tcPr/>
          <w:p>
            <w:pPr>
              <w:pStyle w:val="Compact"/>
              <w:jc w:val="left"/>
            </w:pPr>
            <w:r>
              <w:t xml:space="preserve">Springer Link</w:t>
            </w:r>
          </w:p>
        </w:tc>
        <w:tc>
          <w:tcPr/>
          <w:p>
            <w:pPr>
              <w:pStyle w:val="Compact"/>
              <w:jc w:val="left"/>
            </w:pPr>
            <w:r>
              <w:t xml:space="preserve">期刊/书籍</w:t>
            </w:r>
          </w:p>
        </w:tc>
        <w:tc>
          <w:tcPr/>
          <w:p>
            <w:pPr>
              <w:pStyle w:val="Compact"/>
              <w:jc w:val="left"/>
            </w:pPr>
            <w:r>
              <w:t xml:space="preserve">神经计算、工艺优化</w:t>
            </w:r>
          </w:p>
        </w:tc>
        <w:tc>
          <w:tcPr/>
          <w:p>
            <w:pPr>
              <w:pStyle w:val="Compact"/>
              <w:jc w:val="left"/>
            </w:pPr>
            <w:r>
              <w:t xml:space="preserve">800+篇</w:t>
            </w:r>
          </w:p>
        </w:tc>
        <w:tc>
          <w:tcPr/>
          <w:p>
            <w:pPr>
              <w:pStyle w:val="Compact"/>
              <w:jc w:val="left"/>
            </w:pPr>
            <w:r>
              <w:t xml:space="preserve">API+关键词</w:t>
            </w:r>
          </w:p>
        </w:tc>
        <w:tc>
          <w:tcPr/>
          <w:p>
            <w:pPr>
              <w:pStyle w:val="Compact"/>
              <w:jc w:val="left"/>
            </w:pPr>
            <w:r>
              <w:t xml:space="preserve">月更新</w:t>
            </w:r>
          </w:p>
        </w:tc>
      </w:tr>
      <w:tr>
        <w:tc>
          <w:tcPr/>
          <w:p>
            <w:pPr>
              <w:pStyle w:val="Compact"/>
              <w:jc w:val="left"/>
            </w:pPr>
            <w:r>
              <w:t xml:space="preserve">SPIE Digital Library</w:t>
            </w:r>
          </w:p>
        </w:tc>
        <w:tc>
          <w:tcPr/>
          <w:p>
            <w:pPr>
              <w:pStyle w:val="Compact"/>
              <w:jc w:val="left"/>
            </w:pPr>
            <w:r>
              <w:t xml:space="preserve">会议论文</w:t>
            </w:r>
          </w:p>
        </w:tc>
        <w:tc>
          <w:tcPr/>
          <w:p>
            <w:pPr>
              <w:pStyle w:val="Compact"/>
              <w:jc w:val="left"/>
            </w:pPr>
            <w:r>
              <w:t xml:space="preserve">光刻与刻蚀工艺</w:t>
            </w:r>
          </w:p>
        </w:tc>
        <w:tc>
          <w:tcPr/>
          <w:p>
            <w:pPr>
              <w:pStyle w:val="Compact"/>
              <w:jc w:val="left"/>
            </w:pPr>
            <w:r>
              <w:t xml:space="preserve">1500+篇</w:t>
            </w:r>
          </w:p>
        </w:tc>
        <w:tc>
          <w:tcPr/>
          <w:p>
            <w:pPr>
              <w:pStyle w:val="Compact"/>
              <w:jc w:val="left"/>
            </w:pPr>
            <w:r>
              <w:t xml:space="preserve">API+全文检索</w:t>
            </w:r>
          </w:p>
        </w:tc>
        <w:tc>
          <w:tcPr/>
          <w:p>
            <w:pPr>
              <w:pStyle w:val="Compact"/>
              <w:jc w:val="left"/>
            </w:pPr>
            <w:r>
              <w:t xml:space="preserve">季更新</w:t>
            </w:r>
          </w:p>
        </w:tc>
      </w:tr>
      <w:tr>
        <w:tc>
          <w:tcPr/>
          <w:p>
            <w:pPr>
              <w:pStyle w:val="Compact"/>
              <w:jc w:val="left"/>
            </w:pPr>
            <w:r>
              <w:t xml:space="preserve">ArXiv</w:t>
            </w:r>
          </w:p>
        </w:tc>
        <w:tc>
          <w:tcPr/>
          <w:p>
            <w:pPr>
              <w:pStyle w:val="Compact"/>
              <w:jc w:val="left"/>
            </w:pPr>
            <w:r>
              <w:t xml:space="preserve">预印本</w:t>
            </w:r>
          </w:p>
        </w:tc>
        <w:tc>
          <w:tcPr/>
          <w:p>
            <w:pPr>
              <w:pStyle w:val="Compact"/>
              <w:jc w:val="left"/>
            </w:pPr>
            <w:r>
              <w:t xml:space="preserve">AI/ML工艺优化前沿</w:t>
            </w:r>
          </w:p>
        </w:tc>
        <w:tc>
          <w:tcPr/>
          <w:p>
            <w:pPr>
              <w:pStyle w:val="Compact"/>
              <w:jc w:val="left"/>
            </w:pPr>
            <w:r>
              <w:t xml:space="preserve">200+篇</w:t>
            </w:r>
          </w:p>
        </w:tc>
        <w:tc>
          <w:tcPr/>
          <w:p>
            <w:pPr>
              <w:pStyle w:val="Compact"/>
              <w:jc w:val="left"/>
            </w:pPr>
            <w:r>
              <w:t xml:space="preserve">API+RSS订阅</w:t>
            </w:r>
          </w:p>
        </w:tc>
        <w:tc>
          <w:tcPr/>
          <w:p>
            <w:pPr>
              <w:pStyle w:val="Compact"/>
              <w:jc w:val="left"/>
            </w:pPr>
            <w:r>
              <w:t xml:space="preserve">日更新</w:t>
            </w:r>
          </w:p>
        </w:tc>
      </w:tr>
      <w:tr>
        <w:tc>
          <w:tcPr/>
          <w:p>
            <w:pPr>
              <w:pStyle w:val="Compact"/>
              <w:jc w:val="left"/>
            </w:pPr>
            <w:r>
              <w:t xml:space="preserve">KIPRIS</w:t>
            </w:r>
          </w:p>
        </w:tc>
        <w:tc>
          <w:tcPr/>
          <w:p>
            <w:pPr>
              <w:pStyle w:val="Compact"/>
              <w:jc w:val="left"/>
            </w:pPr>
            <w:r>
              <w:t xml:space="preserve">专利</w:t>
            </w:r>
          </w:p>
        </w:tc>
        <w:tc>
          <w:tcPr/>
          <w:p>
            <w:pPr>
              <w:pStyle w:val="Compact"/>
              <w:jc w:val="left"/>
            </w:pPr>
            <w:r>
              <w:t xml:space="preserve">半导体AI技术专利</w:t>
            </w:r>
          </w:p>
        </w:tc>
        <w:tc>
          <w:tcPr/>
          <w:p>
            <w:pPr>
              <w:pStyle w:val="Compact"/>
              <w:jc w:val="left"/>
            </w:pPr>
            <w:r>
              <w:t xml:space="preserve">3569+件</w:t>
            </w:r>
            <w:fldSimple w:instr="NOTEREF _Ref_Footnote_51 \h \f">
              <w:r>
                <w:rPr>
                  <w:vertAlign w:val="superscript"/>
                </w:rPr>
                <w:t>51</w:t>
              </w:r>
            </w:fldSimple>
          </w:p>
        </w:tc>
        <w:tc>
          <w:tcPr/>
          <w:p>
            <w:pPr>
              <w:pStyle w:val="Compact"/>
              <w:jc w:val="left"/>
            </w:pPr>
            <w:r>
              <w:t xml:space="preserve">Web接口</w:t>
            </w:r>
          </w:p>
        </w:tc>
        <w:tc>
          <w:tcPr/>
          <w:p>
            <w:pPr>
              <w:pStyle w:val="Compact"/>
              <w:jc w:val="left"/>
            </w:pPr>
            <w:r>
              <w:t xml:space="preserve">周更新</w:t>
            </w:r>
          </w:p>
        </w:tc>
      </w:tr>
      <w:tr>
        <w:tc>
          <w:tcPr/>
          <w:p>
            <w:pPr>
              <w:pStyle w:val="Compact"/>
              <w:jc w:val="left"/>
            </w:pPr>
            <w:r>
              <w:t xml:space="preserve">USPTO PatFT</w:t>
            </w:r>
          </w:p>
        </w:tc>
        <w:tc>
          <w:tcPr/>
          <w:p>
            <w:pPr>
              <w:pStyle w:val="Compact"/>
              <w:jc w:val="left"/>
            </w:pPr>
            <w:r>
              <w:t xml:space="preserve">专利</w:t>
            </w:r>
          </w:p>
        </w:tc>
        <w:tc>
          <w:tcPr/>
          <w:p>
            <w:pPr>
              <w:pStyle w:val="Compact"/>
              <w:jc w:val="left"/>
            </w:pPr>
            <w:r>
              <w:t xml:space="preserve">美国刻蚀专利</w:t>
            </w:r>
          </w:p>
        </w:tc>
        <w:tc>
          <w:tcPr/>
          <w:p>
            <w:pPr>
              <w:pStyle w:val="Compact"/>
              <w:jc w:val="left"/>
            </w:pPr>
            <w:r>
              <w:t xml:space="preserve">12000+件</w:t>
            </w:r>
          </w:p>
        </w:tc>
        <w:tc>
          <w:tcPr/>
          <w:p>
            <w:pPr>
              <w:pStyle w:val="Compact"/>
              <w:jc w:val="left"/>
            </w:pPr>
            <w:r>
              <w:t xml:space="preserve">Web接口</w:t>
            </w:r>
          </w:p>
        </w:tc>
        <w:tc>
          <w:tcPr/>
          <w:p>
            <w:pPr>
              <w:pStyle w:val="Compact"/>
              <w:jc w:val="left"/>
            </w:pPr>
            <w:r>
              <w:t xml:space="preserve">周更新</w:t>
            </w:r>
          </w:p>
        </w:tc>
      </w:tr>
      <w:tr>
        <w:tc>
          <w:tcPr/>
          <w:p>
            <w:pPr>
              <w:pStyle w:val="Compact"/>
              <w:jc w:val="left"/>
            </w:pPr>
            <w:r>
              <w:t xml:space="preserve">EPO Espacenet</w:t>
            </w:r>
          </w:p>
        </w:tc>
        <w:tc>
          <w:tcPr/>
          <w:p>
            <w:pPr>
              <w:pStyle w:val="Compact"/>
              <w:jc w:val="left"/>
            </w:pPr>
            <w:r>
              <w:t xml:space="preserve">专利</w:t>
            </w:r>
          </w:p>
        </w:tc>
        <w:tc>
          <w:tcPr/>
          <w:p>
            <w:pPr>
              <w:pStyle w:val="Compact"/>
              <w:jc w:val="left"/>
            </w:pPr>
            <w:r>
              <w:t xml:space="preserve">欧洲刻蚀专利</w:t>
            </w:r>
          </w:p>
        </w:tc>
        <w:tc>
          <w:tcPr/>
          <w:p>
            <w:pPr>
              <w:pStyle w:val="Compact"/>
              <w:jc w:val="left"/>
            </w:pPr>
            <w:r>
              <w:t xml:space="preserve">8000+件</w:t>
            </w:r>
          </w:p>
        </w:tc>
        <w:tc>
          <w:tcPr/>
          <w:p>
            <w:pPr>
              <w:pStyle w:val="Compact"/>
              <w:jc w:val="left"/>
            </w:pPr>
            <w:r>
              <w:t xml:space="preserve">API+关键词</w:t>
            </w:r>
          </w:p>
        </w:tc>
        <w:tc>
          <w:tcPr/>
          <w:p>
            <w:pPr>
              <w:pStyle w:val="Compact"/>
              <w:jc w:val="left"/>
            </w:pPr>
            <w:r>
              <w:t xml:space="preserve">周更新</w:t>
            </w:r>
          </w:p>
        </w:tc>
      </w:tr>
    </w:tbl>
    <w:p>
      <w:pPr>
        <w:pStyle w:val="BodyText"/>
      </w:pPr>
      <w:r>
        <w:t xml:space="preserve">上表反映出各数据库在覆盖深度与更新频率上呈明显互补态势。检索策略据此设计为三层递进架构：语义检索层使用Specter2</w:t>
      </w:r>
      <w:r>
        <w:rPr>
          <w:vertAlign w:val="superscript"/>
        </w:rPr>
        <w:footnoteReference w:id="52"/>
      </w:r>
      <w:r>
        <w:t xml:space="preserve">或all-MiniLM-L6-v2嵌入模型将查询转化为768维向量，通过HNSW（Hierarchical Navigable Small World）近似最近邻算法检索语义相近文献</w:t>
      </w:r>
      <w:r>
        <w:rPr>
          <w:vertAlign w:val="superscript"/>
        </w:rPr>
        <w:footnoteReference w:id="53"/>
      </w:r>
      <w:r>
        <w:t xml:space="preserve">；关键词检索层基于BM25算法实现精确匹配，弥补语义检索在特定术语识别上的不足</w:t>
      </w:r>
      <w:r>
        <w:rPr>
          <w:vertAlign w:val="superscript"/>
        </w:rPr>
        <w:footnoteReference w:id="54"/>
      </w:r>
      <w:r>
        <w:t xml:space="preserve">；引文扩展层以种子文献为起点沿引用网络外扩两层，捕获语义检索可能遗漏的经典文献。三层架构在精确度与召回率之间形成互补——语义检索捕获意图相关但用词不同的文献，关键词检索确保关键术语精确命中，引文扩展则突破语义空间的边界限制。</w:t>
      </w:r>
    </w:p>
    <w:bookmarkEnd w:id="53"/>
    <w:bookmarkStart w:id="54" w:name="知识抽取与结构化"/>
    <w:p>
      <w:pPr>
        <w:pStyle w:val="Heading4"/>
      </w:pPr>
      <w:r>
        <w:t xml:space="preserve">4.1.2 知识抽取与结构化</w:t>
      </w:r>
    </w:p>
    <w:p>
      <w:pPr>
        <w:pStyle w:val="FirstParagraph"/>
      </w:pPr>
      <w:r>
        <w:t xml:space="preserve">从PDF或原始文本提取可计算知识是文献SubAgent的核心处理环节，采用NER（命名实体识别）与RE（关系抽取）联合执行架构。目标实体类别包括材料（Si、SiO₂、GaN、Al₂O₃等）、工艺参数（RF功率、偏置电压、腔室压力、气体流量）、设备（ICP-RIE、DRIE、PECVD等）及性能指标（刻蚀速率、选择性、各向异性度、均匀性等）</w:t>
      </w:r>
      <w:r>
        <w:rPr>
          <w:vertAlign w:val="superscript"/>
        </w:rPr>
        <w:footnoteReference w:id="55"/>
      </w:r>
      <w:r>
        <w:t xml:space="preserve"> </w:t>
      </w:r>
      <w:r>
        <w:rPr>
          <w:vertAlign w:val="superscript"/>
        </w:rPr>
        <w:footnoteReference w:id="56"/>
      </w:r>
      <w:r>
        <w:t xml:space="preserve">。关系类型覆盖因果关系（</w:t>
      </w:r>
      <w:r>
        <w:t xml:space="preserve">“</w:t>
      </w:r>
      <w:r>
        <w:t xml:space="preserve">RF功率增加→刻蚀速率提升</w:t>
      </w:r>
      <w:r>
        <w:t xml:space="preserve">”</w:t>
      </w:r>
      <w:r>
        <w:t xml:space="preserve">）、条件关系（</w:t>
      </w:r>
      <w:r>
        <w:t xml:space="preserve">“</w:t>
      </w:r>
      <w:r>
        <w:t xml:space="preserve">在X气体配比下→获得Y选择性</w:t>
      </w:r>
      <w:r>
        <w:t xml:space="preserve">”</w:t>
      </w:r>
      <w:r>
        <w:t xml:space="preserve">）及组成关系（</w:t>
      </w:r>
      <w:r>
        <w:t xml:space="preserve">“</w:t>
      </w:r>
      <w:r>
        <w:t xml:space="preserve">Bosch工艺→刻蚀与钝化步骤交替</w:t>
      </w:r>
      <w:r>
        <w:t xml:space="preserve">”</w:t>
      </w:r>
      <w:r>
        <w:t xml:space="preserve">）。</w:t>
      </w:r>
    </w:p>
    <w:p>
      <w:pPr>
        <w:pStyle w:val="BodyText"/>
      </w:pPr>
      <w:r>
        <w:rPr>
          <w:bCs/>
          <w:b/>
        </w:rPr>
        <w:t xml:space="preserve">表2 知识抽取工具技术特性与适用场景对比</w:t>
      </w:r>
    </w:p>
    <w:tbl>
      <w:tblPr>
        <w:tblStyle w:val="Table"/>
        <w:tblW w:type="pct" w:w="5000"/>
        <w:tblLook w:firstRow="1" w:lastRow="0" w:firstColumn="0" w:lastColumn="0" w:noHBand="0" w:noVBand="0" w:val="0020"/>
      </w:tblPr>
      <w:tblGrid>
        <w:gridCol w:w="1237"/>
        <w:gridCol w:w="1113"/>
        <w:gridCol w:w="990"/>
        <w:gridCol w:w="1113"/>
        <w:gridCol w:w="1237"/>
        <w:gridCol w:w="1113"/>
        <w:gridCol w:w="1113"/>
      </w:tblGrid>
      <w:tr>
        <w:trPr>
          <w:tblHeader w:val="true"/>
        </w:trPr>
        <w:tc>
          <w:tcPr/>
          <w:p>
            <w:pPr>
              <w:pStyle w:val="Compact"/>
              <w:jc w:val="left"/>
            </w:pPr>
            <w:r>
              <w:t xml:space="preserve">工具/模型</w:t>
            </w:r>
          </w:p>
        </w:tc>
        <w:tc>
          <w:tcPr/>
          <w:p>
            <w:pPr>
              <w:pStyle w:val="Compact"/>
              <w:jc w:val="left"/>
            </w:pPr>
            <w:r>
              <w:t xml:space="preserve">技术路线</w:t>
            </w:r>
          </w:p>
        </w:tc>
        <w:tc>
          <w:tcPr/>
          <w:p>
            <w:pPr>
              <w:pStyle w:val="Compact"/>
              <w:jc w:val="left"/>
            </w:pPr>
            <w:r>
              <w:t xml:space="preserve">NER精度</w:t>
            </w:r>
          </w:p>
        </w:tc>
        <w:tc>
          <w:tcPr/>
          <w:p>
            <w:pPr>
              <w:pStyle w:val="Compact"/>
              <w:jc w:val="left"/>
            </w:pPr>
            <w:r>
              <w:t xml:space="preserve">关系抽取</w:t>
            </w:r>
          </w:p>
        </w:tc>
        <w:tc>
          <w:tcPr/>
          <w:p>
            <w:pPr>
              <w:pStyle w:val="Compact"/>
              <w:jc w:val="left"/>
            </w:pPr>
            <w:r>
              <w:t xml:space="preserve">零样本能力</w:t>
            </w:r>
          </w:p>
        </w:tc>
        <w:tc>
          <w:tcPr/>
          <w:p>
            <w:pPr>
              <w:pStyle w:val="Compact"/>
              <w:jc w:val="left"/>
            </w:pPr>
            <w:r>
              <w:t xml:space="preserve">适用场景</w:t>
            </w:r>
          </w:p>
        </w:tc>
        <w:tc>
          <w:tcPr/>
          <w:p>
            <w:pPr>
              <w:pStyle w:val="Compact"/>
              <w:jc w:val="left"/>
            </w:pPr>
            <w:r>
              <w:t xml:space="preserve">主要局限</w:t>
            </w:r>
          </w:p>
        </w:tc>
      </w:tr>
      <w:tr>
        <w:tc>
          <w:tcPr/>
          <w:p>
            <w:pPr>
              <w:pStyle w:val="Compact"/>
              <w:jc w:val="left"/>
            </w:pPr>
            <w:r>
              <w:t xml:space="preserve">ChemDataExtractor</w:t>
            </w:r>
          </w:p>
        </w:tc>
        <w:tc>
          <w:tcPr/>
          <w:p>
            <w:pPr>
              <w:pStyle w:val="Compact"/>
              <w:jc w:val="left"/>
            </w:pPr>
            <w:r>
              <w:t xml:space="preserve">规则匹配</w:t>
            </w:r>
          </w:p>
        </w:tc>
        <w:tc>
          <w:tcPr/>
          <w:p>
            <w:pPr>
              <w:pStyle w:val="Compact"/>
              <w:jc w:val="left"/>
            </w:pPr>
            <w:r>
              <w:t xml:space="preserve">高（规则覆盖时）</w:t>
            </w:r>
          </w:p>
        </w:tc>
        <w:tc>
          <w:tcPr/>
          <w:p>
            <w:pPr>
              <w:pStyle w:val="Compact"/>
              <w:jc w:val="left"/>
            </w:pPr>
            <w:r>
              <w:t xml:space="preserve">有限</w:t>
            </w:r>
          </w:p>
        </w:tc>
        <w:tc>
          <w:tcPr/>
          <w:p>
            <w:pPr>
              <w:pStyle w:val="Compact"/>
              <w:jc w:val="left"/>
            </w:pPr>
            <w:r>
              <w:t xml:space="preserve">无</w:t>
            </w:r>
          </w:p>
        </w:tc>
        <w:tc>
          <w:tcPr/>
          <w:p>
            <w:pPr>
              <w:pStyle w:val="Compact"/>
              <w:jc w:val="left"/>
            </w:pPr>
            <w:r>
              <w:t xml:space="preserve">化学式、材料属性</w:t>
            </w:r>
          </w:p>
        </w:tc>
        <w:tc>
          <w:tcPr/>
          <w:p>
            <w:pPr>
              <w:pStyle w:val="Compact"/>
              <w:jc w:val="left"/>
            </w:pPr>
            <w:r>
              <w:t xml:space="preserve">规则编写耗时</w:t>
            </w:r>
          </w:p>
        </w:tc>
      </w:tr>
      <w:tr>
        <w:tc>
          <w:tcPr/>
          <w:p>
            <w:pPr>
              <w:pStyle w:val="Compact"/>
              <w:jc w:val="left"/>
            </w:pPr>
            <w:r>
              <w:t xml:space="preserve">MatSciBERT</w:t>
            </w:r>
          </w:p>
        </w:tc>
        <w:tc>
          <w:tcPr/>
          <w:p>
            <w:pPr>
              <w:pStyle w:val="Compact"/>
              <w:jc w:val="left"/>
            </w:pPr>
            <w:r>
              <w:t xml:space="preserve">领域预训练BERT</w:t>
            </w:r>
          </w:p>
        </w:tc>
        <w:tc>
          <w:tcPr/>
          <w:p>
            <w:pPr>
              <w:pStyle w:val="Compact"/>
              <w:jc w:val="left"/>
            </w:pPr>
            <w:r>
              <w:t xml:space="preserve">中-高</w:t>
            </w:r>
          </w:p>
        </w:tc>
        <w:tc>
          <w:tcPr/>
          <w:p>
            <w:pPr>
              <w:pStyle w:val="Compact"/>
              <w:jc w:val="left"/>
            </w:pPr>
            <w:r>
              <w:t xml:space="preserve">中</w:t>
            </w:r>
          </w:p>
        </w:tc>
        <w:tc>
          <w:tcPr/>
          <w:p>
            <w:pPr>
              <w:pStyle w:val="Compact"/>
              <w:jc w:val="left"/>
            </w:pPr>
            <w:r>
              <w:t xml:space="preserve">低</w:t>
            </w:r>
          </w:p>
        </w:tc>
        <w:tc>
          <w:tcPr/>
          <w:p>
            <w:pPr>
              <w:pStyle w:val="Compact"/>
              <w:jc w:val="left"/>
            </w:pPr>
            <w:r>
              <w:t xml:space="preserve">材料文本分类与NER</w:t>
            </w:r>
          </w:p>
        </w:tc>
        <w:tc>
          <w:tcPr/>
          <w:p>
            <w:pPr>
              <w:pStyle w:val="Compact"/>
              <w:jc w:val="left"/>
            </w:pPr>
            <w:r>
              <w:t xml:space="preserve">需微调</w:t>
            </w:r>
          </w:p>
        </w:tc>
      </w:tr>
      <w:tr>
        <w:tc>
          <w:tcPr/>
          <w:p>
            <w:pPr>
              <w:pStyle w:val="Compact"/>
              <w:jc w:val="left"/>
            </w:pPr>
            <w:r>
              <w:t xml:space="preserve">BERT-PSIE</w:t>
            </w:r>
          </w:p>
        </w:tc>
        <w:tc>
          <w:tcPr/>
          <w:p>
            <w:pPr>
              <w:pStyle w:val="Compact"/>
              <w:jc w:val="left"/>
            </w:pPr>
            <w:r>
              <w:t xml:space="preserve">NER+RC Pipeline</w:t>
            </w:r>
          </w:p>
        </w:tc>
        <w:tc>
          <w:tcPr/>
          <w:p>
            <w:pPr>
              <w:pStyle w:val="Compact"/>
              <w:jc w:val="left"/>
            </w:pPr>
            <w:r>
              <w:t xml:space="preserve">中</w:t>
            </w:r>
          </w:p>
        </w:tc>
        <w:tc>
          <w:tcPr/>
          <w:p>
            <w:pPr>
              <w:pStyle w:val="Compact"/>
              <w:jc w:val="left"/>
            </w:pPr>
            <w:r>
              <w:t xml:space="preserve">中</w:t>
            </w:r>
          </w:p>
        </w:tc>
        <w:tc>
          <w:tcPr/>
          <w:p>
            <w:pPr>
              <w:pStyle w:val="Compact"/>
              <w:jc w:val="left"/>
            </w:pPr>
            <w:r>
              <w:t xml:space="preserve">低</w:t>
            </w:r>
          </w:p>
        </w:tc>
        <w:tc>
          <w:tcPr/>
          <w:p>
            <w:pPr>
              <w:pStyle w:val="Compact"/>
              <w:jc w:val="left"/>
            </w:pPr>
            <w:r>
              <w:t xml:space="preserve">结构化信息抽取</w:t>
            </w:r>
          </w:p>
        </w:tc>
        <w:tc>
          <w:tcPr/>
          <w:p>
            <w:pPr>
              <w:pStyle w:val="Compact"/>
              <w:jc w:val="left"/>
            </w:pPr>
            <w:r>
              <w:t xml:space="preserve">需标注数据</w:t>
            </w:r>
          </w:p>
        </w:tc>
      </w:tr>
      <w:tr>
        <w:tc>
          <w:tcPr/>
          <w:p>
            <w:pPr>
              <w:pStyle w:val="Compact"/>
              <w:jc w:val="left"/>
            </w:pPr>
            <w:r>
              <w:t xml:space="preserve">ChatExtract (GPT-4)</w:t>
            </w:r>
          </w:p>
        </w:tc>
        <w:tc>
          <w:tcPr/>
          <w:p>
            <w:pPr>
              <w:pStyle w:val="Compact"/>
              <w:jc w:val="left"/>
            </w:pPr>
            <w:r>
              <w:t xml:space="preserve">提示工程</w:t>
            </w:r>
          </w:p>
        </w:tc>
        <w:tc>
          <w:tcPr/>
          <w:p>
            <w:pPr>
              <w:pStyle w:val="Compact"/>
              <w:jc w:val="left"/>
            </w:pPr>
            <w:r>
              <w:t xml:space="preserve">高</w:t>
            </w:r>
          </w:p>
        </w:tc>
        <w:tc>
          <w:tcPr/>
          <w:p>
            <w:pPr>
              <w:pStyle w:val="Compact"/>
              <w:jc w:val="left"/>
            </w:pPr>
            <w:r>
              <w:t xml:space="preserve">高</w:t>
            </w:r>
          </w:p>
        </w:tc>
        <w:tc>
          <w:tcPr/>
          <w:p>
            <w:pPr>
              <w:pStyle w:val="Compact"/>
              <w:jc w:val="left"/>
            </w:pPr>
            <w:r>
              <w:t xml:space="preserve">高</w:t>
            </w:r>
          </w:p>
        </w:tc>
        <w:tc>
          <w:tcPr/>
          <w:p>
            <w:pPr>
              <w:pStyle w:val="Compact"/>
              <w:jc w:val="left"/>
            </w:pPr>
            <w:r>
              <w:t xml:space="preserve">零样本灵活抽取</w:t>
            </w:r>
          </w:p>
        </w:tc>
        <w:tc>
          <w:tcPr/>
          <w:p>
            <w:pPr>
              <w:pStyle w:val="Compact"/>
              <w:jc w:val="left"/>
            </w:pPr>
            <w:r>
              <w:t xml:space="preserve">上下文长度有限</w:t>
            </w:r>
          </w:p>
        </w:tc>
      </w:tr>
      <w:tr>
        <w:tc>
          <w:tcPr/>
          <w:p>
            <w:pPr>
              <w:pStyle w:val="Compact"/>
              <w:jc w:val="left"/>
            </w:pPr>
            <w:r>
              <w:t xml:space="preserve">LangChain RAG</w:t>
            </w:r>
          </w:p>
        </w:tc>
        <w:tc>
          <w:tcPr/>
          <w:p>
            <w:pPr>
              <w:pStyle w:val="Compact"/>
              <w:jc w:val="left"/>
            </w:pPr>
            <w:r>
              <w:t xml:space="preserve">检索增强</w:t>
            </w:r>
          </w:p>
        </w:tc>
        <w:tc>
          <w:tcPr/>
          <w:p>
            <w:pPr>
              <w:pStyle w:val="Compact"/>
              <w:jc w:val="left"/>
            </w:pPr>
            <w:r>
              <w:t xml:space="preserve">40-50% P</w:t>
            </w:r>
            <w:r>
              <w:rPr>
                <w:vertAlign w:val="superscript"/>
              </w:rPr>
              <w:footnoteReference w:id="57"/>
            </w:r>
          </w:p>
        </w:tc>
        <w:tc>
          <w:tcPr/>
          <w:p>
            <w:pPr>
              <w:pStyle w:val="Compact"/>
              <w:jc w:val="left"/>
            </w:pPr>
            <w:r>
              <w:t xml:space="preserve">中</w:t>
            </w:r>
          </w:p>
        </w:tc>
        <w:tc>
          <w:tcPr/>
          <w:p>
            <w:pPr>
              <w:pStyle w:val="Compact"/>
              <w:jc w:val="left"/>
            </w:pPr>
            <w:r>
              <w:t xml:space="preserve">中</w:t>
            </w:r>
          </w:p>
        </w:tc>
        <w:tc>
          <w:tcPr/>
          <w:p>
            <w:pPr>
              <w:pStyle w:val="Compact"/>
              <w:jc w:val="left"/>
            </w:pPr>
            <w:r>
              <w:t xml:space="preserve">大文档集提取</w:t>
            </w:r>
          </w:p>
        </w:tc>
        <w:tc>
          <w:tcPr/>
          <w:p>
            <w:pPr>
              <w:pStyle w:val="Compact"/>
              <w:jc w:val="left"/>
            </w:pPr>
            <w:r>
              <w:t xml:space="preserve">Recall约20%</w:t>
            </w:r>
            <w:fldSimple w:instr="NOTEREF _Ref_Footnote_57 \h \f">
              <w:r>
                <w:rPr>
                  <w:vertAlign w:val="superscript"/>
                </w:rPr>
                <w:t>57</w:t>
              </w:r>
            </w:fldSimple>
          </w:p>
        </w:tc>
      </w:tr>
      <w:tr>
        <w:tc>
          <w:tcPr/>
          <w:p>
            <w:pPr>
              <w:pStyle w:val="Compact"/>
              <w:jc w:val="left"/>
            </w:pPr>
            <w:r>
              <w:t xml:space="preserve">Bi-GRU-GNN-CRF</w:t>
            </w:r>
          </w:p>
        </w:tc>
        <w:tc>
          <w:tcPr/>
          <w:p>
            <w:pPr>
              <w:pStyle w:val="Compact"/>
              <w:jc w:val="left"/>
            </w:pPr>
            <w:r>
              <w:t xml:space="preserve">联合抽取</w:t>
            </w:r>
          </w:p>
        </w:tc>
        <w:tc>
          <w:tcPr/>
          <w:p>
            <w:pPr>
              <w:pStyle w:val="Compact"/>
              <w:jc w:val="left"/>
            </w:pPr>
            <w:r>
              <w:t xml:space="preserve">中-高</w:t>
            </w:r>
          </w:p>
        </w:tc>
        <w:tc>
          <w:tcPr/>
          <w:p>
            <w:pPr>
              <w:pStyle w:val="Compact"/>
              <w:jc w:val="left"/>
            </w:pPr>
            <w:r>
              <w:t xml:space="preserve">高</w:t>
            </w:r>
          </w:p>
        </w:tc>
        <w:tc>
          <w:tcPr/>
          <w:p>
            <w:pPr>
              <w:pStyle w:val="Compact"/>
              <w:jc w:val="left"/>
            </w:pPr>
            <w:r>
              <w:t xml:space="preserve">低</w:t>
            </w:r>
          </w:p>
        </w:tc>
        <w:tc>
          <w:tcPr/>
          <w:p>
            <w:pPr>
              <w:pStyle w:val="Compact"/>
              <w:jc w:val="left"/>
            </w:pPr>
            <w:r>
              <w:t xml:space="preserve">KG批量构建</w:t>
            </w:r>
          </w:p>
        </w:tc>
        <w:tc>
          <w:tcPr/>
          <w:p>
            <w:pPr>
              <w:pStyle w:val="Compact"/>
              <w:jc w:val="left"/>
            </w:pPr>
            <w:r>
              <w:t xml:space="preserve">覆盖率80%</w:t>
            </w:r>
            <w:r>
              <w:rPr>
                <w:vertAlign w:val="superscript"/>
              </w:rPr>
              <w:footnoteReference w:id="58"/>
            </w:r>
          </w:p>
        </w:tc>
      </w:tr>
    </w:tbl>
    <w:p>
      <w:pPr>
        <w:pStyle w:val="BodyText"/>
      </w:pPr>
      <w:r>
        <w:t xml:space="preserve">工具选型基于文献类型与精度需求动态匹配。ChatExtract（基于GPT-4）在综合评估中表现最优，Null-Precision超94%</w:t>
      </w:r>
      <w:fldSimple w:instr="NOTEREF _Ref_Footnote_57 \h \f">
        <w:r>
          <w:rPr>
            <w:vertAlign w:val="superscript"/>
          </w:rPr>
          <w:t>57</w:t>
        </w:r>
      </w:fldSimple>
      <w:r>
        <w:t xml:space="preserve">，作为默认引擎处理非结构化摘要与全文。ChemDataExtractor作为规则引擎补充处理化学式等高度结构化内容。Bi-GRU-GNN-CRF联合抽取方法在批量三元组生成中知识覆盖率达80%</w:t>
      </w:r>
      <w:fldSimple w:instr="NOTEREF _Ref_Footnote_58 \h \f">
        <w:r>
          <w:rPr>
            <w:vertAlign w:val="superscript"/>
          </w:rPr>
          <w:t>58</w:t>
        </w:r>
      </w:fldSimple>
      <w:r>
        <w:t xml:space="preserve">。抽取结果以结构化JSON输出，兼容DOE数据格式，下游DOE Agent可直接复用参数表进行实验设计</w:t>
      </w:r>
      <w:r>
        <w:rPr>
          <w:vertAlign w:val="superscript"/>
        </w:rPr>
        <w:footnoteReference w:id="59"/>
      </w:r>
      <w:r>
        <w:t xml:space="preserve">。</w:t>
      </w:r>
    </w:p>
    <w:bookmarkEnd w:id="54"/>
    <w:bookmarkStart w:id="55" w:name="相似场景匹配"/>
    <w:p>
      <w:pPr>
        <w:pStyle w:val="Heading4"/>
      </w:pPr>
      <w:r>
        <w:t xml:space="preserve">4.1.3 相似场景匹配</w:t>
      </w:r>
    </w:p>
    <w:p>
      <w:pPr>
        <w:pStyle w:val="FirstParagraph"/>
      </w:pPr>
      <w:r>
        <w:t xml:space="preserve">面对新工艺材料或设备配置时，文献SubAgent通过CBR（Case-Based Reasoning）框架实现跨场景类比，遵循4R流程：Retrieve→Reuse→Revise→Retain</w:t>
      </w:r>
      <w:r>
        <w:rPr>
          <w:vertAlign w:val="superscript"/>
        </w:rPr>
        <w:footnoteReference w:id="60"/>
      </w:r>
      <w:r>
        <w:t xml:space="preserve">。Retrieve阶段采用多属性加权相似度模型：</w:t>
      </w:r>
    </w:p>
    <w:p>
      <w:pPr>
        <w:pStyle w:val="BodyText"/>
      </w:pPr>
      <m:oMathPara>
        <m:oMathParaPr>
          <m:jc m:val="center"/>
        </m:oMathParaPr>
        <m:oMath>
          <m:sSub>
            <m:e>
              <m:r>
                <m:t>K</m:t>
              </m:r>
            </m:e>
            <m:sub>
              <m:r>
                <m:t>s</m:t>
              </m:r>
            </m:sub>
          </m:sSub>
          <m:r>
            <m:rPr>
              <m:sty m:val="p"/>
            </m:rPr>
            <m:t>=</m:t>
          </m:r>
          <m:sSub>
            <m:e>
              <m:r>
                <m:t>a</m:t>
              </m:r>
            </m:e>
            <m:sub>
              <m:r>
                <m:t>m</m:t>
              </m:r>
              <m:r>
                <m:t>l</m:t>
              </m:r>
            </m:sub>
          </m:sSub>
          <m:r>
            <m:rPr>
              <m:sty m:val="p"/>
            </m:rPr>
            <m:t>⋅</m:t>
          </m:r>
          <m:sSub>
            <m:e>
              <m:r>
                <m:t>k</m:t>
              </m:r>
            </m:e>
            <m:sub>
              <m:r>
                <m:t>m</m:t>
              </m:r>
              <m:r>
                <m:t>l</m:t>
              </m:r>
            </m:sub>
          </m:sSub>
          <m:r>
            <m:rPr>
              <m:sty m:val="p"/>
            </m:rPr>
            <m:t>+</m:t>
          </m:r>
          <m:sSub>
            <m:e>
              <m:r>
                <m:t>a</m:t>
              </m:r>
            </m:e>
            <m:sub>
              <m:r>
                <m:t>m</m:t>
              </m:r>
              <m:r>
                <m:t>f</m:t>
              </m:r>
            </m:sub>
          </m:sSub>
          <m:r>
            <m:rPr>
              <m:sty m:val="p"/>
            </m:rPr>
            <m:t>⋅</m:t>
          </m:r>
          <m:sSub>
            <m:e>
              <m:r>
                <m:t>k</m:t>
              </m:r>
            </m:e>
            <m:sub>
              <m:r>
                <m:t>m</m:t>
              </m:r>
              <m:r>
                <m:t>f</m:t>
              </m:r>
            </m:sub>
          </m:sSub>
          <m:r>
            <m:rPr>
              <m:sty m:val="p"/>
            </m:rPr>
            <m:t>+</m:t>
          </m:r>
          <m:sSub>
            <m:e>
              <m:r>
                <m:t>a</m:t>
              </m:r>
            </m:e>
            <m:sub>
              <m:r>
                <m:t>a</m:t>
              </m:r>
              <m:r>
                <m:t>f</m:t>
              </m:r>
            </m:sub>
          </m:sSub>
          <m:r>
            <m:rPr>
              <m:sty m:val="p"/>
            </m:rPr>
            <m:t>⋅</m:t>
          </m:r>
          <m:sSub>
            <m:e>
              <m:r>
                <m:t>k</m:t>
              </m:r>
            </m:e>
            <m:sub>
              <m:r>
                <m:t>a</m:t>
              </m:r>
              <m:r>
                <m:t>f</m:t>
              </m:r>
            </m:sub>
          </m:sSub>
        </m:oMath>
      </m:oMathPara>
    </w:p>
    <w:p>
      <w:pPr>
        <w:pStyle w:val="FirstParagraph"/>
      </w:pPr>
      <w:r>
        <w:t xml:space="preserve">其中</w:t>
      </w:r>
      <w:r>
        <w:t xml:space="preserve"> </w:t>
      </w:r>
      <m:oMath>
        <m:sSub>
          <m:e>
            <m:r>
              <m:t>k</m:t>
            </m:r>
          </m:e>
          <m:sub>
            <m:r>
              <m:t>m</m:t>
            </m:r>
            <m:r>
              <m:t>l</m:t>
            </m:r>
          </m:sub>
        </m:sSub>
      </m:oMath>
      <w:r>
        <w:t xml:space="preserve">、</w:t>
      </w:r>
      <m:oMath>
        <m:sSub>
          <m:e>
            <m:r>
              <m:t>k</m:t>
            </m:r>
          </m:e>
          <m:sub>
            <m:r>
              <m:t>m</m:t>
            </m:r>
            <m:r>
              <m:t>f</m:t>
            </m:r>
          </m:sub>
        </m:sSub>
      </m:oMath>
      <w:r>
        <w:t xml:space="preserve">、</w:t>
      </w:r>
      <m:oMath>
        <m:sSub>
          <m:e>
            <m:r>
              <m:t>k</m:t>
            </m:r>
          </m:e>
          <m:sub>
            <m:r>
              <m:t>a</m:t>
            </m:r>
            <m:r>
              <m:t>f</m:t>
            </m:r>
          </m:sub>
        </m:sSub>
      </m:oMath>
      <w:r>
        <w:t xml:space="preserve"> </w:t>
      </w:r>
      <w:r>
        <w:t xml:space="preserve">分别为材料类型、工艺方法、设备特征的匹配度，</w:t>
      </w:r>
      <m:oMath>
        <m:r>
          <m:t>a</m:t>
        </m:r>
      </m:oMath>
      <w:r>
        <w:t xml:space="preserve"> </w:t>
      </w:r>
      <w:r>
        <w:t xml:space="preserve">为通过AHP（层次分析法）确定的权重系数</w:t>
      </w:r>
      <w:r>
        <w:rPr>
          <w:vertAlign w:val="superscript"/>
        </w:rPr>
        <w:footnoteReference w:id="61"/>
      </w:r>
      <w:r>
        <w:t xml:space="preserve">。最近邻法支持数值型参数的区间距离计算与分类型属性的模糊匹配</w:t>
      </w:r>
      <w:fldSimple w:instr="NOTEREF _Ref_Footnote_60 \h \f">
        <w:r>
          <w:rPr>
            <w:vertAlign w:val="superscript"/>
          </w:rPr>
          <w:t>60</w:t>
        </w:r>
      </w:fldSimple>
      <w:r>
        <w:t xml:space="preserve">。图嵌入层采用sGEM（Siamese Graph Embedding Model）将工艺表示为语义图，通过孪生神经网络学习低维嵌入并以余弦相似度比较</w:t>
      </w:r>
      <w:r>
        <w:rPr>
          <w:vertAlign w:val="superscript"/>
        </w:rPr>
        <w:footnoteReference w:id="62"/>
      </w:r>
      <w:r>
        <w:t xml:space="preserve">，可捕获RF功率与气体流量耦合等隐式关联；GraphSAGE与Node2Vec用于知识图谱节点嵌入，结合向量检索与图拓扑推理提升跨文档召回率</w:t>
      </w:r>
      <w:r>
        <w:rPr>
          <w:vertAlign w:val="superscript"/>
        </w:rPr>
        <w:footnoteReference w:id="63"/>
      </w:r>
      <w:r>
        <w:t xml:space="preserve">。</w:t>
      </w:r>
    </w:p>
    <w:bookmarkEnd w:id="55"/>
    <w:bookmarkStart w:id="56" w:name="知识图谱构建"/>
    <w:p>
      <w:pPr>
        <w:pStyle w:val="Heading4"/>
      </w:pPr>
      <w:r>
        <w:t xml:space="preserve">4.1.4 知识图谱构建</w:t>
      </w:r>
    </w:p>
    <w:p>
      <w:pPr>
        <w:pStyle w:val="FirstParagraph"/>
      </w:pPr>
      <w:r>
        <w:t xml:space="preserve">知识管理能力采用分阶段演进架构：第一阶段部署基线RAG，通过文档分块、向量化与相似度检索实现问答</w:t>
      </w:r>
      <w:fldSimple w:instr="NOTEREF _Ref_Footnote_47 \h \f">
        <w:r>
          <w:rPr>
            <w:vertAlign w:val="superscript"/>
          </w:rPr>
          <w:t>47</w:t>
        </w:r>
      </w:fldSimple>
      <w:r>
        <w:t xml:space="preserve">；第二阶段升级至GraphRAG，构建半导体蚀刻领域知识图谱实现跨文档复杂推理。</w:t>
      </w:r>
    </w:p>
    <w:p>
      <w:pPr>
        <w:pStyle w:val="SourceCode"/>
      </w:pPr>
      <w:r>
        <w:rPr>
          <w:rStyle w:val="VerbatimChar"/>
        </w:rPr>
        <w:t xml:space="preserve">graph TD</w:t>
      </w:r>
      <w:r>
        <w:br/>
      </w:r>
      <w:r>
        <w:rPr>
          <w:rStyle w:val="VerbatimChar"/>
        </w:rPr>
        <w:t xml:space="preserve">    A[非结构化文献文本] --&gt; B[文档预处理&lt;br/&gt;分块/去噪/标准化]</w:t>
      </w:r>
      <w:r>
        <w:br/>
      </w:r>
      <w:r>
        <w:rPr>
          <w:rStyle w:val="VerbatimChar"/>
        </w:rPr>
        <w:t xml:space="preserve">    B --&gt; C[本体设计&lt;br/&gt;半导体蚀刻Ontology]</w:t>
      </w:r>
      <w:r>
        <w:br/>
      </w:r>
      <w:r>
        <w:rPr>
          <w:rStyle w:val="VerbatimChar"/>
        </w:rPr>
        <w:t xml:space="preserve">    C --&gt; D[NER命名实体识别]</w:t>
      </w:r>
      <w:r>
        <w:br/>
      </w:r>
      <w:r>
        <w:rPr>
          <w:rStyle w:val="VerbatimChar"/>
        </w:rPr>
        <w:t xml:space="preserve">    D --&gt; E[RE关系抽取]</w:t>
      </w:r>
      <w:r>
        <w:br/>
      </w:r>
      <w:r>
        <w:rPr>
          <w:rStyle w:val="VerbatimChar"/>
        </w:rPr>
        <w:t xml:space="preserve">    E --&gt; F[实体消歧ER]</w:t>
      </w:r>
      <w:r>
        <w:br/>
      </w:r>
      <w:r>
        <w:rPr>
          <w:rStyle w:val="VerbatimChar"/>
        </w:rPr>
        <w:t xml:space="preserve">    F --&gt; G[三元组构建]</w:t>
      </w:r>
      <w:r>
        <w:br/>
      </w:r>
      <w:r>
        <w:rPr>
          <w:rStyle w:val="VerbatimChar"/>
        </w:rPr>
        <w:t xml:space="preserve">    G --&gt; H[图数据库存储&lt;br/&gt;Neo4j]</w:t>
      </w:r>
      <w:r>
        <w:br/>
      </w:r>
      <w:r>
        <w:rPr>
          <w:rStyle w:val="VerbatimChar"/>
        </w:rPr>
        <w:t xml:space="preserve">    H --&gt; I[图嵌入计算&lt;br/&gt;GraphSAGE]</w:t>
      </w:r>
      <w:r>
        <w:br/>
      </w:r>
      <w:r>
        <w:rPr>
          <w:rStyle w:val="VerbatimChar"/>
        </w:rPr>
        <w:t xml:space="preserve">    I --&gt; J[相似度检索与链接预测]</w:t>
      </w:r>
      <w:r>
        <w:br/>
      </w:r>
      <w:r>
        <w:rPr>
          <w:rStyle w:val="VerbatimChar"/>
        </w:rPr>
        <w:t xml:space="preserve">    J --&gt; K[GraphRAG问答引擎]</w:t>
      </w:r>
      <w:r>
        <w:br/>
      </w:r>
      <w:r>
        <w:br/>
      </w:r>
      <w:r>
        <w:rPr>
          <w:rStyle w:val="VerbatimChar"/>
        </w:rPr>
        <w:t xml:space="preserve">    style A fill:#f5f5f5,stroke:#333,stroke-width:1px</w:t>
      </w:r>
      <w:r>
        <w:br/>
      </w:r>
      <w:r>
        <w:rPr>
          <w:rStyle w:val="VerbatimChar"/>
        </w:rPr>
        <w:t xml:space="preserve">    style K fill:#f5f5f5,stroke:#333,stroke-width:1px</w:t>
      </w:r>
      <w:r>
        <w:br/>
      </w:r>
      <w:r>
        <w:rPr>
          <w:rStyle w:val="VerbatimChar"/>
        </w:rPr>
        <w:t xml:space="preserve">    style C fill:#e8e8e8,stroke:#333,stroke-width:1px</w:t>
      </w:r>
      <w:r>
        <w:br/>
      </w:r>
      <w:r>
        <w:rPr>
          <w:rStyle w:val="VerbatimChar"/>
        </w:rPr>
        <w:t xml:space="preserve">    style H fill:#e8e8e8,stroke:#333,stroke-width:1px</w:t>
      </w:r>
    </w:p>
    <w:p>
      <w:pPr>
        <w:pStyle w:val="FirstParagraph"/>
      </w:pPr>
      <w:r>
        <w:t xml:space="preserve">半导体蚀刻本体涵盖四大概念域：材料域（衬底、掩模、气体前驱体）、工艺域（干法/湿法/等离子体刻蚀子类）、设备域（型号与配置参数）及性能域（刻蚀速率、选择性、各向异性度、均匀性）。本体设计参考半导体供应链知识图谱实践</w:t>
      </w:r>
      <w:r>
        <w:rPr>
          <w:vertAlign w:val="superscript"/>
        </w:rPr>
        <w:footnoteReference w:id="64"/>
      </w:r>
      <w:r>
        <w:t xml:space="preserve">与材料知识图谱（MKG）从15万篇论文中抽取的三元组模式</w:t>
      </w:r>
      <w:r>
        <w:rPr>
          <w:vertAlign w:val="superscript"/>
        </w:rPr>
        <w:footnoteReference w:id="65"/>
      </w:r>
      <w:r>
        <w:t xml:space="preserve">。GraphRAG相比基线RAG的核心优势在于”连接散点”能力——通过图遍历整合分散在多文献中的关联信息，回答需综合多源的复杂问题</w:t>
      </w:r>
      <w:r>
        <w:rPr>
          <w:vertAlign w:val="superscript"/>
        </w:rPr>
        <w:footnoteReference w:id="66"/>
      </w:r>
      <w:r>
        <w:t xml:space="preserve"> </w:t>
      </w:r>
      <w:r>
        <w:rPr>
          <w:vertAlign w:val="superscript"/>
        </w:rPr>
        <w:footnoteReference w:id="67"/>
      </w:r>
      <w:r>
        <w:t xml:space="preserve">。实证研究中GraphRAG的BERTScore与F1-score均显著优于VectorRAG基线</w:t>
      </w:r>
      <w:fldSimple w:instr="NOTEREF _Ref_Footnote_64 \h \f">
        <w:r>
          <w:rPr>
            <w:vertAlign w:val="superscript"/>
          </w:rPr>
          <w:t>64</w:t>
        </w:r>
      </w:fldSimple>
      <w:r>
        <w:t xml:space="preserve">。</w:t>
      </w:r>
    </w:p>
    <w:bookmarkEnd w:id="56"/>
    <w:bookmarkEnd w:id="57"/>
    <w:bookmarkStart w:id="60" w:name="输入输出规范-2"/>
    <w:p>
      <w:pPr>
        <w:pStyle w:val="Heading3"/>
      </w:pPr>
      <w:r>
        <w:t xml:space="preserve">4.2 输入输出规范</w:t>
      </w:r>
    </w:p>
    <w:bookmarkStart w:id="58" w:name="输入json-schema-2"/>
    <w:p>
      <w:pPr>
        <w:pStyle w:val="Heading4"/>
      </w:pPr>
      <w:r>
        <w:t xml:space="preserve">4.2.1 输入JSON Schema</w:t>
      </w:r>
    </w:p>
    <w:p>
      <w:pPr>
        <w:pStyle w:val="FirstParagraph"/>
      </w:pPr>
      <w:r>
        <w:t xml:space="preserve">输入由主Agent发起，包含四个核心字段。</w:t>
      </w:r>
      <w:r>
        <w:rPr>
          <w:rStyle w:val="VerbatimChar"/>
        </w:rPr>
        <w:t xml:space="preserve">query_type</w:t>
      </w:r>
      <w:r>
        <w:t xml:space="preserve">枚举四种任务类型：similar_case_search（相似案例检索）、knowledge_extraction（知识抽取）、literature_synthesis（文献综合）、parameter_lookup（参数查询）。</w:t>
      </w:r>
      <w:r>
        <w:rPr>
          <w:rStyle w:val="VerbatimChar"/>
        </w:rPr>
        <w:t xml:space="preserve">process_description</w:t>
      </w:r>
      <w:r>
        <w:t xml:space="preserve">定义蚀刻类型、材料系统、目标结构与设备信息。</w:t>
      </w:r>
      <w:r>
        <w:rPr>
          <w:rStyle w:val="VerbatimChar"/>
        </w:rPr>
        <w:t xml:space="preserve">parameters</w:t>
      </w:r>
      <w:r>
        <w:t xml:space="preserve">包含输入参数（RF功率、偏置电压、压力、气体流量、温度）与输出要求（刻蚀速率、选择性、各向异性度、均匀性）的数值或区间描述</w:t>
      </w:r>
      <w:fldSimple w:instr="NOTEREF _Ref_Footnote_59 \h \f">
        <w:r>
          <w:rPr>
            <w:vertAlign w:val="superscript"/>
          </w:rPr>
          <w:t>59</w:t>
        </w:r>
      </w:fldSimple>
      <w:r>
        <w:t xml:space="preserve">。</w:t>
      </w:r>
      <w:r>
        <w:rPr>
          <w:rStyle w:val="VerbatimChar"/>
        </w:rPr>
        <w:t xml:space="preserve">constraints</w:t>
      </w:r>
      <w:r>
        <w:t xml:space="preserve">设置相似度阈值（默认0.7，基于Specter2实验数据</w:t>
      </w:r>
      <w:fldSimple w:instr="NOTEREF _Ref_Footnote_52 \h \f">
        <w:r>
          <w:rPr>
            <w:vertAlign w:val="superscript"/>
          </w:rPr>
          <w:t>52</w:t>
        </w:r>
      </w:fldSimple>
      <w:r>
        <w:t xml:space="preserve">）、时间范围与期刊偏好。</w:t>
      </w:r>
      <w:r>
        <w:rPr>
          <w:rStyle w:val="VerbatimChar"/>
        </w:rPr>
        <w:t xml:space="preserve">context_from_other_agents</w:t>
      </w:r>
      <w:r>
        <w:t xml:space="preserve">承载诊断Agent根因分析与设备Agent规格信息，用于检索关键词的语义扩展。</w:t>
      </w:r>
    </w:p>
    <w:bookmarkEnd w:id="58"/>
    <w:bookmarkStart w:id="59" w:name="输出json-schema-2"/>
    <w:p>
      <w:pPr>
        <w:pStyle w:val="Heading4"/>
      </w:pPr>
      <w:r>
        <w:t xml:space="preserve">4.2.2 输出JSON Schema</w:t>
      </w:r>
    </w:p>
    <w:p>
      <w:pPr>
        <w:pStyle w:val="FirstParagraph"/>
      </w:pPr>
      <w:r>
        <w:t xml:space="preserve">输出包含四个模块。</w:t>
      </w:r>
      <w:r>
        <w:rPr>
          <w:rStyle w:val="VerbatimChar"/>
        </w:rPr>
        <w:t xml:space="preserve">similar_cases</w:t>
      </w:r>
      <w:r>
        <w:t xml:space="preserve">为匹配文献列表，每篇含相似度评分、匹配维度与结构化抽取知识。</w:t>
      </w:r>
      <w:r>
        <w:rPr>
          <w:rStyle w:val="VerbatimChar"/>
        </w:rPr>
        <w:t xml:space="preserve">knowledge_graph_insights</w:t>
      </w:r>
      <w:r>
        <w:t xml:space="preserve">提供图谱推理结果与语义路径，使机理Agent可理解反应机理的上下文关联。</w:t>
      </w:r>
      <w:r>
        <w:rPr>
          <w:rStyle w:val="VerbatimChar"/>
        </w:rPr>
        <w:t xml:space="preserve">literature_summary</w:t>
      </w:r>
      <w:r>
        <w:t xml:space="preserve">生成针对当前工艺问题的综述段落，标识研究空白与可操作建议</w:t>
      </w:r>
      <w:r>
        <w:rPr>
          <w:vertAlign w:val="superscript"/>
        </w:rPr>
        <w:footnoteReference w:id="68"/>
      </w:r>
      <w:r>
        <w:t xml:space="preserve">。</w:t>
      </w:r>
      <w:r>
        <w:rPr>
          <w:rStyle w:val="VerbatimChar"/>
        </w:rPr>
        <w:t xml:space="preserve">metadata</w:t>
      </w:r>
      <w:r>
        <w:t xml:space="preserve">记录检索范围、筛选量与置信度等级。设计遵循”结果压缩”原则——仅返回最相关结构化发现而非完整中间过程</w:t>
      </w:r>
      <w:r>
        <w:rPr>
          <w:vertAlign w:val="superscript"/>
        </w:rPr>
        <w:footnoteReference w:id="69"/>
      </w:r>
      <w:r>
        <w:t xml:space="preserve">。</w:t>
      </w:r>
    </w:p>
    <w:bookmarkEnd w:id="59"/>
    <w:bookmarkEnd w:id="60"/>
    <w:bookmarkStart w:id="64" w:name="触发条件与协作关系-2"/>
    <w:p>
      <w:pPr>
        <w:pStyle w:val="Heading3"/>
      </w:pPr>
      <w:r>
        <w:t xml:space="preserve">4.3 触发条件与协作关系</w:t>
      </w:r>
    </w:p>
    <w:bookmarkStart w:id="61" w:name="触发条件-2"/>
    <w:p>
      <w:pPr>
        <w:pStyle w:val="Heading4"/>
      </w:pPr>
      <w:r>
        <w:t xml:space="preserve">4.3.1 触发条件</w:t>
      </w:r>
    </w:p>
    <w:p>
      <w:pPr>
        <w:pStyle w:val="FirstParagraph"/>
      </w:pPr>
      <w:r>
        <w:t xml:space="preserve">文献SubAgent采用”按需激活”策略。三类核心场景：</w:t>
      </w:r>
      <w:r>
        <w:rPr>
          <w:bCs/>
          <w:b/>
        </w:rPr>
        <w:t xml:space="preserve">新工艺材料冷启动</w:t>
      </w:r>
      <w:r>
        <w:t xml:space="preserve">，目标材料无历史记录时自动激活，判断逻辑</w:t>
      </w:r>
      <w:r>
        <w:rPr>
          <w:rStyle w:val="VerbatimChar"/>
        </w:rPr>
        <w:t xml:space="preserve">IF material NOT IN internal_kb THEN trigger</w:t>
      </w:r>
      <w:r>
        <w:t xml:space="preserve">，对应内部知识边界扩展需求</w:t>
      </w:r>
      <w:fldSimple w:instr="NOTEREF _Ref_Footnote_47 \h \f">
        <w:r>
          <w:rPr>
            <w:vertAlign w:val="superscript"/>
          </w:rPr>
          <w:t>47</w:t>
        </w:r>
      </w:fldSimple>
      <w:r>
        <w:t xml:space="preserve">；</w:t>
      </w:r>
      <w:r>
        <w:rPr>
          <w:bCs/>
          <w:b/>
        </w:rPr>
        <w:t xml:space="preserve">跨领域类比需求</w:t>
      </w:r>
      <w:r>
        <w:t xml:space="preserve">，系统需跨领域类比时激活，与TRIZ Agent创新触发关联，提供异质领域案例作为类比源</w:t>
      </w:r>
      <w:fldSimple w:instr="NOTEREF _Ref_Footnote_48 \h \f">
        <w:r>
          <w:rPr>
            <w:vertAlign w:val="superscript"/>
          </w:rPr>
          <w:t>48</w:t>
        </w:r>
      </w:fldSimple>
      <w:r>
        <w:t xml:space="preserve">；</w:t>
      </w:r>
      <w:r>
        <w:rPr>
          <w:bCs/>
          <w:b/>
        </w:rPr>
        <w:t xml:space="preserve">知识沉淀更新</w:t>
      </w:r>
      <w:r>
        <w:t xml:space="preserve">，成功实验后将参数组合与解决过程结构化入库，条件</w:t>
      </w:r>
      <w:r>
        <w:rPr>
          <w:rStyle w:val="VerbatimChar"/>
        </w:rPr>
        <w:t xml:space="preserve">IF doe.status == success AND new_knowledge THEN trigger</w:t>
      </w:r>
      <w:r>
        <w:t xml:space="preserve">，将文献Agent从被动查询工具升级为主动知识积累引擎</w:t>
      </w:r>
      <w:r>
        <w:rPr>
          <w:vertAlign w:val="superscript"/>
        </w:rPr>
        <w:footnoteReference w:id="70"/>
      </w:r>
      <w:r>
        <w:t xml:space="preserve">。</w:t>
      </w:r>
    </w:p>
    <w:bookmarkEnd w:id="61"/>
    <w:bookmarkStart w:id="62" w:name="上游依赖-1"/>
    <w:p>
      <w:pPr>
        <w:pStyle w:val="Heading4"/>
      </w:pPr>
      <w:r>
        <w:t xml:space="preserve">4.3.2 上游依赖</w:t>
      </w:r>
    </w:p>
    <w:p>
      <w:pPr>
        <w:pStyle w:val="FirstParagraph"/>
      </w:pPr>
      <w:r>
        <w:t xml:space="preserve">上游输入来自主Agent任务指令与DOE Agent实验结果。文献SubAgent与诊断Agent、设备Agent形成并行协作——文献Agent检索类似设备工艺文献，设备Agent同步查询规格手册，结果在主Agent处聚合为完整方案</w:t>
      </w:r>
      <w:fldSimple w:instr="NOTEREF _Ref_Footnote_48 \h \f">
        <w:r>
          <w:rPr>
            <w:vertAlign w:val="superscript"/>
          </w:rPr>
          <w:t>48</w:t>
        </w:r>
      </w:fldSimple>
      <w:r>
        <w:t xml:space="preserve">。主Agent据问题特征动态调度：新工艺开发优先文献Agent，性能提升优先数据Agent与TRIZ Agent</w:t>
      </w:r>
      <w:fldSimple w:instr="NOTEREF _Ref_Footnote_54 \h \f">
        <w:r>
          <w:rPr>
            <w:vertAlign w:val="superscript"/>
          </w:rPr>
          <w:t>54</w:t>
        </w:r>
      </w:fldSimple>
      <w:r>
        <w:t xml:space="preserve">。</w:t>
      </w:r>
    </w:p>
    <w:bookmarkEnd w:id="62"/>
    <w:bookmarkStart w:id="63" w:name="下游贡献-1"/>
    <w:p>
      <w:pPr>
        <w:pStyle w:val="Heading4"/>
      </w:pPr>
      <w:r>
        <w:t xml:space="preserve">4.3.3 下游贡献</w:t>
      </w:r>
    </w:p>
    <w:p>
      <w:pPr>
        <w:pStyle w:val="FirstParagraph"/>
      </w:pPr>
      <w:r>
        <w:t xml:space="preserve">输出流向三个下游Agent。</w:t>
      </w:r>
      <w:r>
        <w:rPr>
          <w:bCs/>
          <w:b/>
        </w:rPr>
        <w:t xml:space="preserve">机理Agent</w:t>
      </w:r>
      <w:r>
        <w:t xml:space="preserve">获反应机理参考，包括从QDB（Quantemol Database）提取的等离子体化学反应数据，可直接改进化学动力学模型</w:t>
      </w:r>
      <w:r>
        <w:rPr>
          <w:vertAlign w:val="superscript"/>
        </w:rPr>
        <w:footnoteReference w:id="71"/>
      </w:r>
      <w:r>
        <w:t xml:space="preserve">。</w:t>
      </w:r>
      <w:r>
        <w:rPr>
          <w:bCs/>
          <w:b/>
        </w:rPr>
        <w:t xml:space="preserve">TRIZ Agent</w:t>
      </w:r>
      <w:r>
        <w:t xml:space="preserve">获跨领域创新案例，当系统陷入局部最优时提供太阳能电池刻蚀、MEMS释放工艺等异质领域方案，协同产生跳出局部最优的创造性扰动。</w:t>
      </w:r>
      <w:r>
        <w:rPr>
          <w:bCs/>
          <w:b/>
        </w:rPr>
        <w:t xml:space="preserve">Summary Agent</w:t>
      </w:r>
      <w:r>
        <w:t xml:space="preserve">获引用支撑与证据强度标注，每条建议按文献引用数量、方法论质量与实验可复现性评估为高/中/低置信度，冲突观点以多方论证呈现</w:t>
      </w:r>
      <w:fldSimple w:instr="NOTEREF _Ref_Footnote_68 \h \f">
        <w:r>
          <w:rPr>
            <w:vertAlign w:val="superscript"/>
          </w:rPr>
          <w:t>68</w:t>
        </w:r>
      </w:fldSimple>
      <w:r>
        <w:t xml:space="preserve">。</w:t>
      </w:r>
    </w:p>
    <w:p>
      <w:pPr>
        <w:pStyle w:val="BodyText"/>
      </w:pPr>
      <w:r>
        <w:t xml:space="preserve">文献SubAgent遵循上下文隔离与无状态设计原则，每次调用独立执行，工作细节不污染主Agent上下文，确保系统在200,000 token以上长对话中维持研究计划的完整性</w:t>
      </w:r>
      <w:fldSimple w:instr="NOTEREF _Ref_Footnote_69 \h \f">
        <w:r>
          <w:rPr>
            <w:vertAlign w:val="superscript"/>
          </w:rPr>
          <w:t>69</w:t>
        </w:r>
      </w:fldSimple>
      <w:r>
        <w:t xml:space="preserve"> </w:t>
      </w:r>
      <w:fldSimple w:instr="NOTEREF _Ref_Footnote_70 \h \f">
        <w:r>
          <w:rPr>
            <w:vertAlign w:val="superscript"/>
          </w:rPr>
          <w:t>70</w:t>
        </w:r>
      </w:fldSimple>
      <w:r>
        <w:t xml:space="preserve">。</w:t>
      </w:r>
    </w:p>
    <w:bookmarkEnd w:id="63"/>
    <w:bookmarkEnd w:id="64"/>
    <w:bookmarkEnd w:id="65"/>
    <w:bookmarkStart w:id="78" w:name="数据贝叶斯等预测方法subagent"/>
    <w:p>
      <w:pPr>
        <w:pStyle w:val="Heading2"/>
      </w:pPr>
      <w:r>
        <w:t xml:space="preserve">5. 数据（贝叶斯等预测方法）SubAgent</w:t>
      </w:r>
    </w:p>
    <w:bookmarkStart w:id="70" w:name="技术能力设计-3"/>
    <w:p>
      <w:pPr>
        <w:pStyle w:val="Heading3"/>
      </w:pPr>
      <w:r>
        <w:t xml:space="preserve">5.1 技术能力设计</w:t>
      </w:r>
    </w:p>
    <w:p>
      <w:pPr>
        <w:pStyle w:val="FirstParagraph"/>
      </w:pPr>
      <w:r>
        <w:t xml:space="preserve">数据预测SubAgent承担多智能体系统中的”统计推断引擎”角色，围绕贝叶斯统计框架构建，集成深度学习时序建模与小样本自适应方法，形成从虚拟量测、参数优化到跨腔室迁移的完整能力闭环。</w:t>
      </w:r>
    </w:p>
    <w:bookmarkStart w:id="66" w:name="概率预测引擎"/>
    <w:p>
      <w:pPr>
        <w:pStyle w:val="Heading4"/>
      </w:pPr>
      <w:r>
        <w:t xml:space="preserve">5.1.1 概率预测引擎</w:t>
      </w:r>
    </w:p>
    <w:p>
      <w:pPr>
        <w:pStyle w:val="FirstParagraph"/>
      </w:pPr>
      <w:r>
        <w:t xml:space="preserve">概率预测引擎的关键设计原则是：任何预测输出均须附带定量化不确定性估计，以支持下游Agent的风险感知决策。</w:t>
      </w:r>
    </w:p>
    <w:p>
      <w:pPr>
        <w:pStyle w:val="BodyText"/>
      </w:pPr>
      <w:r>
        <w:rPr>
          <w:bCs/>
          <w:b/>
        </w:rPr>
        <w:t xml:space="preserve">高斯过程回归（Gaussian Process Regression, GPR）蚀刻速率预测</w:t>
      </w:r>
      <w:r>
        <w:t xml:space="preserve">。GPR是小样本条件下的基准预测模型，可提供概率化的预测分布。Lynn等（2012）首次将GPR应用于半导体蚀刻虚拟量测（Virtual Metrology, VM），滑动窗口GPR模型实现约1.15%的MAPE</w:t>
      </w:r>
      <w:r>
        <w:t xml:space="preserve"> </w:t>
      </w:r>
      <w:r>
        <w:rPr>
          <w:vertAlign w:val="superscript"/>
        </w:rPr>
        <w:footnoteReference w:id="72"/>
      </w:r>
      <w:r>
        <w:t xml:space="preserve">。Wan和McLoone（2018）将GPR与Run-to-Run控制集成，利用预测方差动态调整EWMA控制器权重，显著提升控制鲁棒性</w:t>
      </w:r>
      <w:r>
        <w:t xml:space="preserve"> </w:t>
      </w:r>
      <w:r>
        <w:rPr>
          <w:vertAlign w:val="superscript"/>
        </w:rPr>
        <w:footnoteReference w:id="73"/>
      </w:r>
      <w:r>
        <w:t xml:space="preserve"> </w:t>
      </w:r>
      <w:fldSimple w:instr="NOTEREF _Ref_Footnote_61 \h \f">
        <w:r>
          <w:rPr>
            <w:vertAlign w:val="superscript"/>
          </w:rPr>
          <w:t>61</w:t>
        </w:r>
      </w:fldSimple>
      <w:r>
        <w:t xml:space="preserve">。在多智能体系统中，GPR代理模型同时充当机理仿真Agent的快速替代模型（surrogate model），在毫秒级返回预测结果以支撑实时决策。</w:t>
      </w:r>
    </w:p>
    <w:p>
      <w:pPr>
        <w:pStyle w:val="BodyText"/>
      </w:pPr>
      <w:r>
        <w:rPr>
          <w:bCs/>
          <w:b/>
        </w:rPr>
        <w:t xml:space="preserve">贝叶斯神经网络（Bayesian Neural Network, BNN）不确定性量化</w:t>
      </w:r>
      <w:r>
        <w:t xml:space="preserve">。BNN通过MC Dropout技术在推理阶段执行多次随机前向传递，区分偶然不确定性（aleatoric uncertainty，源于数据噪声）与认知不确定性（epistemic uncertainty，源于数据稀疏）。Kim等（2025）的验证表明，68.25%样本落在</w:t>
      </w:r>
      <m:oMath>
        <m:r>
          <m:rPr>
            <m:sty m:val="p"/>
          </m:rPr>
          <m:t>±</m:t>
        </m:r>
        <m:r>
          <m:t>1</m:t>
        </m:r>
        <m:r>
          <m:t>σ</m:t>
        </m:r>
      </m:oMath>
      <w:r>
        <w:t xml:space="preserve">内，23.81%在</w:t>
      </w:r>
      <m:oMath>
        <m:r>
          <m:rPr>
            <m:sty m:val="p"/>
          </m:rPr>
          <m:t>±</m:t>
        </m:r>
        <m:r>
          <m:t>2</m:t>
        </m:r>
        <m:r>
          <m:t>σ</m:t>
        </m:r>
      </m:oMath>
      <w:r>
        <w:t xml:space="preserve">内，仅7.94%超出</w:t>
      </w:r>
      <m:oMath>
        <m:r>
          <m:t>2</m:t>
        </m:r>
        <m:r>
          <m:t>σ</m:t>
        </m:r>
      </m:oMath>
      <w:r>
        <w:t xml:space="preserve">边界，置信区间校准度良好</w:t>
      </w:r>
      <w:r>
        <w:t xml:space="preserve"> </w:t>
      </w:r>
      <w:r>
        <w:rPr>
          <w:vertAlign w:val="superscript"/>
        </w:rPr>
        <w:footnoteReference w:id="74"/>
      </w:r>
      <w:r>
        <w:t xml:space="preserve">。</w:t>
      </w:r>
    </w:p>
    <w:p>
      <w:pPr>
        <w:pStyle w:val="BodyText"/>
      </w:pPr>
      <w:r>
        <w:rPr>
          <w:bCs/>
          <w:b/>
        </w:rPr>
        <w:t xml:space="preserve">异方差高斯过程（heteroscedastic Gaussian Process, hetGP）空间变异性分离</w:t>
      </w:r>
      <w:r>
        <w:t xml:space="preserve">。传统GP假设全局同方差噪声，难以处理等离子体蚀刻中的复杂不确定性结构。Kim等（2025）的hetGP框架分别量化：(a) 晶圆表面空间变异性（spatial variability）；(b) 过程相关不确定性（源于腔室压力、气体流量和RF功率的波动）</w:t>
      </w:r>
      <w:r>
        <w:rPr>
          <w:vertAlign w:val="superscript"/>
        </w:rPr>
        <w:footnoteReference w:id="75"/>
      </w:r>
      <w:r>
        <w:t xml:space="preserve">。该分解使工程师可针对性地调整硬件配置或参数设定，而非笼统扩大工艺窗口。</w:t>
      </w:r>
    </w:p>
    <w:bookmarkEnd w:id="66"/>
    <w:bookmarkStart w:id="67" w:name="贝叶斯优化能力"/>
    <w:p>
      <w:pPr>
        <w:pStyle w:val="Heading4"/>
      </w:pPr>
      <w:r>
        <w:t xml:space="preserve">5.1.2 贝叶斯优化能力</w:t>
      </w:r>
    </w:p>
    <w:p>
      <w:pPr>
        <w:pStyle w:val="FirstParagraph"/>
      </w:pPr>
      <w:r>
        <w:t xml:space="preserve">贝叶斯优化（Bayesian Optimization, BO）通过代理模型与采集函数的迭代循环，在探索（exploration，采样高不确定性区域）与利用（exploitation，在已知最优区域精细搜索）之间动态权衡</w:t>
      </w:r>
      <w:r>
        <w:t xml:space="preserve"> </w:t>
      </w:r>
      <w:fldSimple w:instr="NOTEREF _Ref_Footnote_6 \h \f">
        <w:r>
          <w:rPr>
            <w:vertAlign w:val="superscript"/>
          </w:rPr>
          <w:t>6</w:t>
        </w:r>
      </w:fldSimple>
      <w:r>
        <w:t xml:space="preserve"> </w:t>
      </w:r>
      <w:r>
        <w:rPr>
          <w:vertAlign w:val="superscript"/>
        </w:rPr>
        <w:footnoteReference w:id="76"/>
      </w:r>
      <w:r>
        <w:t xml:space="preserve">。</w:t>
      </w:r>
    </w:p>
    <w:p>
      <w:pPr>
        <w:pStyle w:val="BodyText"/>
      </w:pPr>
      <w:r>
        <w:rPr>
          <w:bCs/>
          <w:b/>
        </w:rPr>
        <w:t xml:space="preserve">工艺参数单目标优化</w:t>
      </w:r>
      <w:r>
        <w:t xml:space="preserve">。新设备上线场景中，BO将调参建模为黑盒优化，通常5–8次迭代收敛，测试晶圆消耗减少60%以上</w:t>
      </w:r>
      <w:r>
        <w:t xml:space="preserve"> </w:t>
      </w:r>
      <w:fldSimple w:instr="NOTEREF _Ref_Footnote_6 \h \f">
        <w:r>
          <w:rPr>
            <w:vertAlign w:val="superscript"/>
          </w:rPr>
          <w:t>6</w:t>
        </w:r>
      </w:fldSimple>
      <w:r>
        <w:t xml:space="preserve">。采集函数支持EI、UCB和KG，Agent可根据阶段自适应切换。</w:t>
      </w:r>
    </w:p>
    <w:p>
      <w:pPr>
        <w:pStyle w:val="BodyText"/>
      </w:pPr>
      <w:r>
        <w:rPr>
          <w:bCs/>
          <w:b/>
        </w:rPr>
        <w:t xml:space="preserve">多目标协同优化与Pareto前沿</w:t>
      </w:r>
      <w:r>
        <w:t xml:space="preserve">。Hu等（2025）提出的物理信息贝叶斯优化（PIBO）框架将源功率与压力对工艺指标的定性物理关系作为先验整合到GP回归中，克服外推退化</w:t>
      </w:r>
      <w:r>
        <w:t xml:space="preserve"> </w:t>
      </w:r>
      <w:r>
        <w:rPr>
          <w:vertAlign w:val="superscript"/>
        </w:rPr>
        <w:footnoteReference w:id="77"/>
      </w:r>
      <w:r>
        <w:t xml:space="preserve">。PIBO输出Pareto前沿为RCP Agent提供参数权衡空间。</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技术方法</w:t>
            </w:r>
          </w:p>
        </w:tc>
        <w:tc>
          <w:tcPr/>
          <w:p>
            <w:pPr>
              <w:pStyle w:val="Compact"/>
              <w:jc w:val="left"/>
            </w:pPr>
            <w:r>
              <w:t xml:space="preserve">小样本适配性</w:t>
            </w:r>
          </w:p>
        </w:tc>
        <w:tc>
          <w:tcPr/>
          <w:p>
            <w:pPr>
              <w:pStyle w:val="Compact"/>
              <w:jc w:val="left"/>
            </w:pPr>
            <w:r>
              <w:t xml:space="preserve">不确定性量化</w:t>
            </w:r>
          </w:p>
        </w:tc>
        <w:tc>
          <w:tcPr/>
          <w:p>
            <w:pPr>
              <w:pStyle w:val="Compact"/>
              <w:jc w:val="left"/>
            </w:pPr>
            <w:r>
              <w:t xml:space="preserve">计算效率</w:t>
            </w:r>
          </w:p>
        </w:tc>
        <w:tc>
          <w:tcPr/>
          <w:p>
            <w:pPr>
              <w:pStyle w:val="Compact"/>
              <w:jc w:val="left"/>
            </w:pPr>
            <w:r>
              <w:t xml:space="preserve">可解释性</w:t>
            </w:r>
          </w:p>
        </w:tc>
        <w:tc>
          <w:tcPr/>
          <w:p>
            <w:pPr>
              <w:pStyle w:val="Compact"/>
              <w:jc w:val="left"/>
            </w:pPr>
            <w:r>
              <w:t xml:space="preserve">推荐应用场景</w:t>
            </w:r>
          </w:p>
        </w:tc>
      </w:tr>
      <w:tr>
        <w:tc>
          <w:tcPr/>
          <w:p>
            <w:pPr>
              <w:pStyle w:val="Compact"/>
              <w:jc w:val="left"/>
            </w:pPr>
            <w:r>
              <w:t xml:space="preserve">GPR/BO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&lt;50样本，需置信区间</w:t>
            </w:r>
          </w:p>
        </w:tc>
      </w:tr>
      <w:tr>
        <w:tc>
          <w:tcPr/>
          <w:p>
            <w:pPr>
              <w:pStyle w:val="Compact"/>
              <w:jc w:val="left"/>
            </w:pPr>
            <w:r>
              <w:t xml:space="preserve">BNN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需区分偶然/认知不确定性</w:t>
            </w:r>
          </w:p>
        </w:tc>
      </w:tr>
      <w:tr>
        <w:tc>
          <w:tcPr/>
          <w:p>
            <w:pPr>
              <w:pStyle w:val="Compact"/>
              <w:jc w:val="left"/>
            </w:pPr>
            <w:r>
              <w:t xml:space="preserve">hetGP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复杂异方差噪声结构</w:t>
            </w:r>
          </w:p>
        </w:tc>
      </w:tr>
      <w:tr>
        <w:tc>
          <w:tcPr/>
          <w:p>
            <w:pPr>
              <w:pStyle w:val="Compact"/>
              <w:jc w:val="left"/>
            </w:pPr>
            <w:r>
              <w:t xml:space="preserve">CRNN/LSTM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大规模时序传感器数据</w:t>
            </w:r>
          </w:p>
        </w:tc>
      </w:tr>
      <w:tr>
        <w:tc>
          <w:tcPr/>
          <w:p>
            <w:pPr>
              <w:pStyle w:val="Compact"/>
              <w:jc w:val="left"/>
            </w:pPr>
            <w:r>
              <w:t xml:space="preserve">迁移学习</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跨腔室/跨工序适配</w:t>
            </w:r>
          </w:p>
        </w:tc>
      </w:tr>
    </w:tbl>
    <w:p>
      <w:pPr>
        <w:pStyle w:val="BodyText"/>
      </w:pPr>
      <w:r>
        <w:t xml:space="preserve">上表显示GPR/BO在小样本和不确定性量化维度表现突出，是Agent首选基础模型；BNN适合离线深度分析；hetGP专长于空间与过程不确定性的分离；CRNN/LSTM在实时虚拟量测中不可或缺；迁移学习（如CECCA）可将跨腔室重新训练需求降至最低。Agent应根据数据量、任务类型和实时性要求动态选择模型。</w:t>
      </w:r>
    </w:p>
    <w:bookmarkEnd w:id="67"/>
    <w:bookmarkStart w:id="68" w:name="小样本学习方法"/>
    <w:p>
      <w:pPr>
        <w:pStyle w:val="Heading4"/>
      </w:pPr>
      <w:r>
        <w:t xml:space="preserve">5.1.3 小样本学习方法</w:t>
      </w:r>
    </w:p>
    <w:p>
      <w:pPr>
        <w:pStyle w:val="FirstParagraph"/>
      </w:pPr>
      <w:r>
        <w:t xml:space="preserve">新配方开发初期往往仅有十余组实验记录，Agent集成三类小样本方法确保数据稀疏条件下的有效预测。</w:t>
      </w:r>
    </w:p>
    <w:p>
      <w:pPr>
        <w:pStyle w:val="BodyText"/>
      </w:pPr>
      <w:r>
        <w:rPr>
          <w:bCs/>
          <w:b/>
        </w:rPr>
        <w:t xml:space="preserve">少样本测试时优化（FSTTO）与模型反馈学习（MFL）</w:t>
      </w:r>
      <w:r>
        <w:t xml:space="preserve">。FSTTO通过迭代优化轻量级反向模型，实现无需重新训练的少样本配方生成。MFL仅需5次迭代即可生成合格配方，显著少于传统BO（≥20次）和高级工程师手动调参（平均84次）</w:t>
      </w:r>
      <w:fldSimple w:instr="NOTEREF _Ref_Footnote_7 \h \f">
        <w:r>
          <w:rPr>
            <w:vertAlign w:val="superscript"/>
          </w:rPr>
          <w:t>7</w:t>
        </w:r>
      </w:fldSimple>
      <w:r>
        <w:t xml:space="preserve"> </w:t>
      </w:r>
      <w:r>
        <w:rPr>
          <w:vertAlign w:val="superscript"/>
        </w:rPr>
        <w:footnoteReference w:id="78"/>
      </w:r>
      <w:r>
        <w:t xml:space="preserve">。当DOE Agent确认历史数据少于20条时，自动触发FSTTO/MFL路径。</w:t>
      </w:r>
    </w:p>
    <w:p>
      <w:pPr>
        <w:pStyle w:val="BodyText"/>
      </w:pPr>
      <w:r>
        <w:rPr>
          <w:bCs/>
          <w:b/>
        </w:rPr>
        <w:t xml:space="preserve">元学习贝叶斯优化（MetaBO）</w:t>
      </w:r>
      <w:r>
        <w:t xml:space="preserve">。MetaBO利用历史任务数据训练神经采集函数（Neural Acquisition Function, NAF），结合粒子群优化（PSO）的混合方法在实际半导体CVD工艺中表现最优</w:t>
      </w:r>
      <w:r>
        <w:t xml:space="preserve"> </w:t>
      </w:r>
      <w:r>
        <w:rPr>
          <w:vertAlign w:val="superscript"/>
        </w:rPr>
        <w:footnoteReference w:id="79"/>
      </w:r>
      <w:r>
        <w:t xml:space="preserve">。当系统积累5个以上相似工艺任务时，MetaBO将冷启动效率提升30%–50%。</w:t>
      </w:r>
    </w:p>
    <w:p>
      <w:pPr>
        <w:pStyle w:val="BodyText"/>
      </w:pPr>
      <w:r>
        <w:rPr>
          <w:bCs/>
          <w:b/>
        </w:rPr>
        <w:t xml:space="preserve">对比熵条件腔室适配（CECCA）</w:t>
      </w:r>
      <w:r>
        <w:t xml:space="preserve">。CECCA通过对抗学习对齐源腔室与目标腔室的潜在表示域，解决”腔室到腔室变异”（chamber-to-chamber variation）问题</w:t>
      </w:r>
      <w:r>
        <w:t xml:space="preserve"> </w:t>
      </w:r>
      <w:fldSimple w:instr="NOTEREF _Ref_Footnote_13 \h \f">
        <w:r>
          <w:rPr>
            <w:vertAlign w:val="superscript"/>
          </w:rPr>
          <w:t>13</w:t>
        </w:r>
      </w:fldSimple>
      <w:r>
        <w:t xml:space="preserve">。当预测漂移超过阈值时，CECCA仅需20–50条目标腔室标定数据即可完成适配。</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方法</w:t>
            </w:r>
          </w:p>
        </w:tc>
        <w:tc>
          <w:tcPr/>
          <w:p>
            <w:pPr>
              <w:pStyle w:val="Compact"/>
              <w:jc w:val="left"/>
            </w:pPr>
            <w:r>
              <w:t xml:space="preserve">核心机制</w:t>
            </w:r>
          </w:p>
        </w:tc>
        <w:tc>
          <w:tcPr/>
          <w:p>
            <w:pPr>
              <w:pStyle w:val="Compact"/>
              <w:jc w:val="left"/>
            </w:pPr>
            <w:r>
              <w:t xml:space="preserve">迭代/数据需求</w:t>
            </w:r>
          </w:p>
        </w:tc>
        <w:tc>
          <w:tcPr/>
          <w:p>
            <w:pPr>
              <w:pStyle w:val="Compact"/>
              <w:jc w:val="left"/>
            </w:pPr>
            <w:r>
              <w:t xml:space="preserve">典型加速比</w:t>
            </w:r>
          </w:p>
        </w:tc>
        <w:tc>
          <w:tcPr/>
          <w:p>
            <w:pPr>
              <w:pStyle w:val="Compact"/>
              <w:jc w:val="left"/>
            </w:pPr>
            <w:r>
              <w:t xml:space="preserve">适用条件</w:t>
            </w:r>
          </w:p>
        </w:tc>
      </w:tr>
      <w:tr>
        <w:tc>
          <w:tcPr/>
          <w:p>
            <w:pPr>
              <w:pStyle w:val="Compact"/>
              <w:jc w:val="left"/>
            </w:pPr>
            <w:r>
              <w:t xml:space="preserve">FSTTO/MFL</w:t>
            </w:r>
          </w:p>
        </w:tc>
        <w:tc>
          <w:tcPr/>
          <w:p>
            <w:pPr>
              <w:pStyle w:val="Compact"/>
              <w:jc w:val="left"/>
            </w:pPr>
            <w:r>
              <w:t xml:space="preserve">轻量级反向模型迭代优化</w:t>
            </w:r>
          </w:p>
        </w:tc>
        <w:tc>
          <w:tcPr/>
          <w:p>
            <w:pPr>
              <w:pStyle w:val="Compact"/>
              <w:jc w:val="left"/>
            </w:pPr>
            <w:r>
              <w:t xml:space="preserve">5次迭代</w:t>
            </w:r>
          </w:p>
        </w:tc>
        <w:tc>
          <w:tcPr/>
          <w:p>
            <w:pPr>
              <w:pStyle w:val="Compact"/>
              <w:jc w:val="left"/>
            </w:pPr>
            <w:r>
              <w:t xml:space="preserve">vs.BO 4×</w:t>
            </w:r>
          </w:p>
        </w:tc>
        <w:tc>
          <w:tcPr/>
          <w:p>
            <w:pPr>
              <w:pStyle w:val="Compact"/>
              <w:jc w:val="left"/>
            </w:pPr>
            <w:r>
              <w:t xml:space="preserve">&lt;10条历史数据</w:t>
            </w:r>
          </w:p>
        </w:tc>
      </w:tr>
      <w:tr>
        <w:tc>
          <w:tcPr/>
          <w:p>
            <w:pPr>
              <w:pStyle w:val="Compact"/>
              <w:jc w:val="left"/>
            </w:pPr>
            <w:r>
              <w:t xml:space="preserve">MetaBO+PSO</w:t>
            </w:r>
          </w:p>
        </w:tc>
        <w:tc>
          <w:tcPr/>
          <w:p>
            <w:pPr>
              <w:pStyle w:val="Compact"/>
              <w:jc w:val="left"/>
            </w:pPr>
            <w:r>
              <w:t xml:space="preserve">神经采集函数+跨任务元学习</w:t>
            </w:r>
          </w:p>
        </w:tc>
        <w:tc>
          <w:tcPr/>
          <w:p>
            <w:pPr>
              <w:pStyle w:val="Compact"/>
              <w:jc w:val="left"/>
            </w:pPr>
            <w:r>
              <w:t xml:space="preserve">≥5个历史任务</w:t>
            </w:r>
          </w:p>
        </w:tc>
        <w:tc>
          <w:tcPr/>
          <w:p>
            <w:pPr>
              <w:pStyle w:val="Compact"/>
              <w:jc w:val="left"/>
            </w:pPr>
            <w:r>
              <w:t xml:space="preserve">冷启动+30%–50%</w:t>
            </w:r>
          </w:p>
        </w:tc>
        <w:tc>
          <w:tcPr/>
          <w:p>
            <w:pPr>
              <w:pStyle w:val="Compact"/>
              <w:jc w:val="left"/>
            </w:pPr>
            <w:r>
              <w:t xml:space="preserve">有相似任务积累</w:t>
            </w:r>
          </w:p>
        </w:tc>
      </w:tr>
      <w:tr>
        <w:tc>
          <w:tcPr/>
          <w:p>
            <w:pPr>
              <w:pStyle w:val="Compact"/>
              <w:jc w:val="left"/>
            </w:pPr>
            <w:r>
              <w:t xml:space="preserve">CECCA</w:t>
            </w:r>
          </w:p>
        </w:tc>
        <w:tc>
          <w:tcPr/>
          <w:p>
            <w:pPr>
              <w:pStyle w:val="Compact"/>
              <w:jc w:val="left"/>
            </w:pPr>
            <w:r>
              <w:t xml:space="preserve">对抗域自适应对齐腔室分布</w:t>
            </w:r>
          </w:p>
        </w:tc>
        <w:tc>
          <w:tcPr/>
          <w:p>
            <w:pPr>
              <w:pStyle w:val="Compact"/>
              <w:jc w:val="left"/>
            </w:pPr>
            <w:r>
              <w:t xml:space="preserve">20–50条标定数据</w:t>
            </w:r>
          </w:p>
        </w:tc>
        <w:tc>
          <w:tcPr/>
          <w:p>
            <w:pPr>
              <w:pStyle w:val="Compact"/>
              <w:jc w:val="left"/>
            </w:pPr>
            <w:r>
              <w:t xml:space="preserve">减少重复实验80%+</w:t>
            </w:r>
          </w:p>
        </w:tc>
        <w:tc>
          <w:tcPr/>
          <w:p>
            <w:pPr>
              <w:pStyle w:val="Compact"/>
              <w:jc w:val="left"/>
            </w:pPr>
            <w:r>
              <w:t xml:space="preserve">跨腔室迁移</w:t>
            </w:r>
          </w:p>
        </w:tc>
      </w:tr>
      <w:tr>
        <w:tc>
          <w:tcPr/>
          <w:p>
            <w:pPr>
              <w:pStyle w:val="Compact"/>
              <w:jc w:val="left"/>
            </w:pPr>
            <w:r>
              <w:t xml:space="preserve">标准BO</w:t>
            </w:r>
          </w:p>
        </w:tc>
        <w:tc>
          <w:tcPr/>
          <w:p>
            <w:pPr>
              <w:pStyle w:val="Compact"/>
              <w:jc w:val="left"/>
            </w:pPr>
            <w:r>
              <w:t xml:space="preserve">GP代理+EI/UCB采集函数</w:t>
            </w:r>
          </w:p>
        </w:tc>
        <w:tc>
          <w:tcPr/>
          <w:p>
            <w:pPr>
              <w:pStyle w:val="Compact"/>
              <w:jc w:val="left"/>
            </w:pPr>
            <w:r>
              <w:t xml:space="preserve">5–8次迭代</w:t>
            </w:r>
          </w:p>
        </w:tc>
        <w:tc>
          <w:tcPr/>
          <w:p>
            <w:pPr>
              <w:pStyle w:val="Compact"/>
              <w:jc w:val="left"/>
            </w:pPr>
            <w:r>
              <w:t xml:space="preserve">vs.网格搜索10×+</w:t>
            </w:r>
          </w:p>
        </w:tc>
        <w:tc>
          <w:tcPr/>
          <w:p>
            <w:pPr>
              <w:pStyle w:val="Compact"/>
              <w:jc w:val="left"/>
            </w:pPr>
            <w:r>
              <w:t xml:space="preserve">≥10条初始数据</w:t>
            </w:r>
          </w:p>
        </w:tc>
      </w:tr>
      <w:tr>
        <w:tc>
          <w:tcPr/>
          <w:p>
            <w:pPr>
              <w:pStyle w:val="Compact"/>
              <w:jc w:val="left"/>
            </w:pPr>
            <w:r>
              <w:t xml:space="preserve">QKAR（量子核回归）</w:t>
            </w:r>
          </w:p>
        </w:tc>
        <w:tc>
          <w:tcPr/>
          <w:p>
            <w:pPr>
              <w:pStyle w:val="Compact"/>
              <w:jc w:val="left"/>
            </w:pPr>
            <w:r>
              <w:t xml:space="preserve">量子态特征映射</w:t>
            </w:r>
          </w:p>
        </w:tc>
        <w:tc>
          <w:tcPr/>
          <w:p>
            <w:pPr>
              <w:pStyle w:val="Compact"/>
              <w:jc w:val="left"/>
            </w:pPr>
            <w:r>
              <w:t xml:space="preserve">~159个样本</w:t>
            </w:r>
          </w:p>
        </w:tc>
        <w:tc>
          <w:tcPr/>
          <w:p>
            <w:pPr>
              <w:pStyle w:val="Compact"/>
              <w:jc w:val="left"/>
            </w:pPr>
            <w:r>
              <w:t xml:space="preserve">优于7种经典ML</w:t>
            </w:r>
          </w:p>
        </w:tc>
        <w:tc>
          <w:tcPr/>
          <w:p>
            <w:pPr>
              <w:pStyle w:val="Compact"/>
              <w:jc w:val="left"/>
            </w:pPr>
            <w:r>
              <w:t xml:space="preserve">量子硬件可用（中期储备）</w:t>
            </w:r>
          </w:p>
        </w:tc>
      </w:tr>
    </w:tbl>
    <w:p>
      <w:pPr>
        <w:pStyle w:val="BodyText"/>
      </w:pPr>
      <w:r>
        <w:t xml:space="preserve">FSTTO/MFL在&lt;10条数据时效率最优；MetaBO适用于多任务环境；CECCA专攻腔室变异</w:t>
      </w:r>
      <w:r>
        <w:t xml:space="preserve"> </w:t>
      </w:r>
      <w:fldSimple w:instr="NOTEREF _Ref_Footnote_13 \h \f">
        <w:r>
          <w:rPr>
            <w:vertAlign w:val="superscript"/>
          </w:rPr>
          <w:t>13</w:t>
        </w:r>
      </w:fldSimple>
      <w:r>
        <w:t xml:space="preserve">；标准BO在≥10条数据时最可靠。QKAR在GaN HEMT建模中优于7种经典算法</w:t>
      </w:r>
      <w:r>
        <w:t xml:space="preserve"> </w:t>
      </w:r>
      <w:r>
        <w:rPr>
          <w:vertAlign w:val="superscript"/>
        </w:rPr>
        <w:footnoteReference w:id="80"/>
      </w:r>
      <w:r>
        <w:t xml:space="preserve">，但依赖量子硬件成熟，属中期储备。</w:t>
      </w:r>
    </w:p>
    <w:bookmarkEnd w:id="68"/>
    <w:bookmarkStart w:id="69" w:name="虚拟量测集成"/>
    <w:p>
      <w:pPr>
        <w:pStyle w:val="Heading4"/>
      </w:pPr>
      <w:r>
        <w:t xml:space="preserve">5.1.4 虚拟量测集成</w:t>
      </w:r>
    </w:p>
    <w:p>
      <w:pPr>
        <w:pStyle w:val="FirstParagraph"/>
      </w:pPr>
      <w:r>
        <w:t xml:space="preserve">虚拟量测（Virtual Metrology, VM）通过计算模型估计关键晶圆特性，整合OES/PIM等原位传感器信息与历史工艺数据，以非侵入方式减少晶圆报废并改善工艺控制</w:t>
      </w:r>
      <w:r>
        <w:t xml:space="preserve"> </w:t>
      </w:r>
      <w:r>
        <w:rPr>
          <w:vertAlign w:val="superscript"/>
        </w:rPr>
        <w:footnoteReference w:id="81"/>
      </w:r>
      <w:r>
        <w:t xml:space="preserve"> </w:t>
      </w:r>
      <w:fldSimple w:instr="NOTEREF _Ref_Footnote_72 \h \f">
        <w:r>
          <w:rPr>
            <w:vertAlign w:val="superscript"/>
          </w:rPr>
          <w:t>72</w:t>
        </w:r>
      </w:fldSimple>
      <w:r>
        <w:t xml:space="preserve">。</w:t>
      </w:r>
    </w:p>
    <w:p>
      <w:pPr>
        <w:pStyle w:val="BodyText"/>
      </w:pPr>
      <w:r>
        <w:rPr>
          <w:bCs/>
          <w:b/>
        </w:rPr>
        <w:t xml:space="preserve">OES/PIM多源传感器数据融合</w:t>
      </w:r>
      <w:r>
        <w:t xml:space="preserve">。融合工艺配方数据与OES原位数据的VM模型准确度比单一数据源提高56%</w:t>
      </w:r>
      <w:r>
        <w:t xml:space="preserve"> </w:t>
      </w:r>
      <w:r>
        <w:rPr>
          <w:vertAlign w:val="superscript"/>
        </w:rPr>
        <w:footnoteReference w:id="82"/>
      </w:r>
      <w:r>
        <w:t xml:space="preserve">。Agent接收OES光谱（426–777 nm范围）、PIM阻抗参数及腔室环境参数，执行时间对齐与PCA降维。</w:t>
      </w:r>
    </w:p>
    <w:p>
      <w:pPr>
        <w:pStyle w:val="BodyText"/>
      </w:pPr>
      <w:r>
        <w:rPr>
          <w:bCs/>
          <w:b/>
        </w:rPr>
        <w:t xml:space="preserve">时序预测与实时蚀刻深度预测</w:t>
      </w:r>
      <w:r>
        <w:t xml:space="preserve">。LSTM网络支持异常检测与VM预测的联合学习</w:t>
      </w:r>
      <w:r>
        <w:t xml:space="preserve"> </w:t>
      </w:r>
      <w:fldSimple w:instr="NOTEREF _Ref_Footnote_19 \h \f">
        <w:r>
          <w:rPr>
            <w:vertAlign w:val="superscript"/>
          </w:rPr>
          <w:t>19</w:t>
        </w:r>
      </w:fldSimple>
      <w:r>
        <w:t xml:space="preserve"> </w:t>
      </w:r>
      <w:r>
        <w:rPr>
          <w:vertAlign w:val="superscript"/>
        </w:rPr>
        <w:footnoteReference w:id="83"/>
      </w:r>
      <w:r>
        <w:t xml:space="preserve">；Time-LLM框架可从多通道传感器时序预测89个晶圆位置的蚀刻深度分布，实现”面预测”</w:t>
      </w:r>
      <w:r>
        <w:t xml:space="preserve"> </w:t>
      </w:r>
      <w:fldSimple w:instr="NOTEREF _Ref_Footnote_42 \h \f">
        <w:r>
          <w:rPr>
            <w:vertAlign w:val="superscript"/>
          </w:rPr>
          <w:t>42</w:t>
        </w:r>
      </w:fldSimple>
      <w:r>
        <w:t xml:space="preserve">。实时预测流程中，BNN经50次MC Dropout前向传递生成预测分布，覆盖分析后将深度估计值及</w:t>
      </w:r>
      <m:oMath>
        <m:r>
          <m:rPr>
            <m:sty m:val="p"/>
          </m:rPr>
          <m:t>±</m:t>
        </m:r>
        <m:r>
          <m:t>2</m:t>
        </m:r>
        <m:r>
          <m:t>σ</m:t>
        </m:r>
      </m:oMath>
      <w:r>
        <w:t xml:space="preserve">置信区间推送至监控Agent</w:t>
      </w:r>
      <w:r>
        <w:t xml:space="preserve"> </w:t>
      </w:r>
      <w:fldSimple w:instr="NOTEREF _Ref_Footnote_74 \h \f">
        <w:r>
          <w:rPr>
            <w:vertAlign w:val="superscript"/>
          </w:rPr>
          <w:t>74</w:t>
        </w:r>
      </w:fldSimple>
      <w:r>
        <w:t xml:space="preserve">。</w:t>
      </w:r>
    </w:p>
    <w:bookmarkEnd w:id="69"/>
    <w:bookmarkEnd w:id="70"/>
    <w:bookmarkStart w:id="73" w:name="输入输出规范-3"/>
    <w:p>
      <w:pPr>
        <w:pStyle w:val="Heading3"/>
      </w:pPr>
      <w:r>
        <w:t xml:space="preserve">5.2 输入输出规范</w:t>
      </w:r>
    </w:p>
    <w:bookmarkStart w:id="71" w:name="输入json-schema-3"/>
    <w:p>
      <w:pPr>
        <w:pStyle w:val="Heading4"/>
      </w:pPr>
      <w:r>
        <w:t xml:space="preserve">5.2.1 输入JSON Schema</w:t>
      </w:r>
    </w:p>
    <w:p>
      <w:pPr>
        <w:pStyle w:val="FirstParagraph"/>
      </w:pPr>
      <w:r>
        <w:t xml:space="preserve">Agent接收四类输入：(1)</w:t>
      </w:r>
      <w:r>
        <w:t xml:space="preserve"> </w:t>
      </w:r>
      <w:r>
        <w:rPr>
          <w:bCs/>
          <w:b/>
        </w:rPr>
        <w:t xml:space="preserve">历史实验数据</w:t>
      </w:r>
      <w:r>
        <w:t xml:space="preserve">，含工艺参数向量与量测结果（蚀刻速率、深度、CD、粗糙度Ra）；(2)</w:t>
      </w:r>
      <w:r>
        <w:t xml:space="preserve"> </w:t>
      </w:r>
      <w:r>
        <w:rPr>
          <w:bCs/>
          <w:b/>
        </w:rPr>
        <w:t xml:space="preserve">传感器时序数据</w:t>
      </w:r>
      <w:r>
        <w:t xml:space="preserve">，OES光谱与PIM阻抗序列，要求时间戳对齐且采样率≥10 Hz；(3)</w:t>
      </w:r>
      <w:r>
        <w:t xml:space="preserve"> </w:t>
      </w:r>
      <w:r>
        <w:rPr>
          <w:bCs/>
          <w:b/>
        </w:rPr>
        <w:t xml:space="preserve">目标指标与约束</w:t>
      </w:r>
      <w:r>
        <w:t xml:space="preserve">，含多目标函数、权重（</w:t>
      </w:r>
      <m:oMath>
        <m:r>
          <m:rPr>
            <m:sty m:val="p"/>
          </m:rPr>
          <m:t>∑</m:t>
        </m:r>
        <m:sSub>
          <m:e>
            <m:r>
              <m:t>w</m:t>
            </m:r>
          </m:e>
          <m:sub>
            <m:r>
              <m:t>i</m:t>
            </m:r>
          </m:sub>
        </m:sSub>
        <m:r>
          <m:rPr>
            <m:sty m:val="p"/>
          </m:rPr>
          <m:t>=</m:t>
        </m:r>
        <m:r>
          <m:t>1.0</m:t>
        </m:r>
      </m:oMath>
      <w:r>
        <w:t xml:space="preserve">）及参数边界；(4)</w:t>
      </w:r>
      <w:r>
        <w:t xml:space="preserve"> </w:t>
      </w:r>
      <w:r>
        <w:rPr>
          <w:bCs/>
          <w:b/>
        </w:rPr>
        <w:t xml:space="preserve">物理先验知识</w:t>
      </w:r>
      <w:r>
        <w:t xml:space="preserve">，来自机理Agent的定性约束，用于PIBO先验注入。</w:t>
      </w:r>
    </w:p>
    <w:bookmarkEnd w:id="71"/>
    <w:bookmarkStart w:id="72" w:name="输出json-schema-3"/>
    <w:p>
      <w:pPr>
        <w:pStyle w:val="Heading4"/>
      </w:pPr>
      <w:r>
        <w:t xml:space="preserve">5.2.2 输出JSON Schema</w:t>
      </w:r>
    </w:p>
    <w:p>
      <w:pPr>
        <w:pStyle w:val="FirstParagraph"/>
      </w:pPr>
      <w:r>
        <w:t xml:space="preserve">输出包含四个核心组件：(1)</w:t>
      </w:r>
      <w:r>
        <w:t xml:space="preserve"> </w:t>
      </w:r>
      <w:r>
        <w:rPr>
          <w:bCs/>
          <w:b/>
        </w:rPr>
        <w:t xml:space="preserve">预测值+置信区间</w:t>
      </w:r>
      <w:r>
        <w:t xml:space="preserve">，以均值</w:t>
      </w:r>
      <m:oMath>
        <m:r>
          <m:rPr>
            <m:sty m:val="p"/>
          </m:rPr>
          <m:t>±</m:t>
        </m:r>
      </m:oMath>
      <w:r>
        <w:t xml:space="preserve">标准差呈现，标注不确定性类型（偶然/认知）；(2)</w:t>
      </w:r>
      <w:r>
        <w:t xml:space="preserve"> </w:t>
      </w:r>
      <w:r>
        <w:rPr>
          <w:bCs/>
          <w:b/>
        </w:rPr>
        <w:t xml:space="preserve">优化推荐参数</w:t>
      </w:r>
      <w:r>
        <w:t xml:space="preserve">，含期望改进最大的下一组参数；(3)</w:t>
      </w:r>
      <w:r>
        <w:t xml:space="preserve"> </w:t>
      </w:r>
      <w:r>
        <w:rPr>
          <w:bCs/>
          <w:b/>
        </w:rPr>
        <w:t xml:space="preserve">Pareto前沿</w:t>
      </w:r>
      <w:r>
        <w:t xml:space="preserve">，多目标优化时输出非支配解集合；(4)</w:t>
      </w:r>
      <w:r>
        <w:t xml:space="preserve"> </w:t>
      </w:r>
      <w:r>
        <w:rPr>
          <w:bCs/>
          <w:b/>
        </w:rPr>
        <w:t xml:space="preserve">不确定性分解报告</w:t>
      </w:r>
      <w:r>
        <w:t xml:space="preserve">，hetGP输出时包含空间与过程不确定性的分项量化。模型诊断元数据包括拟合优度（</w:t>
      </w:r>
      <m:oMath>
        <m:sSup>
          <m:e>
            <m:r>
              <m:t>R</m:t>
            </m:r>
          </m:e>
          <m:sup>
            <m:r>
              <m:t>2</m:t>
            </m:r>
          </m:sup>
        </m:sSup>
      </m:oMath>
      <w:r>
        <w:t xml:space="preserve">、RMSE、MAPE）、置信区间校准度（95%/68%覆盖率）、特征重要性（SHAP值）及模型漂移预警。</w:t>
      </w:r>
    </w:p>
    <w:bookmarkEnd w:id="72"/>
    <w:bookmarkEnd w:id="73"/>
    <w:bookmarkStart w:id="77" w:name="触发条件与协作关系-3"/>
    <w:p>
      <w:pPr>
        <w:pStyle w:val="Heading3"/>
      </w:pPr>
      <w:r>
        <w:t xml:space="preserve">5.3 触发条件与协作关系</w:t>
      </w:r>
    </w:p>
    <w:bookmarkStart w:id="74" w:name="触发条件-3"/>
    <w:p>
      <w:pPr>
        <w:pStyle w:val="Heading4"/>
      </w:pPr>
      <w:r>
        <w:t xml:space="preserve">5.3.1 触发条件</w:t>
      </w:r>
    </w:p>
    <w:p>
      <w:pPr>
        <w:pStyle w:val="FirstParagraph"/>
      </w:pPr>
      <w:r>
        <w:t xml:space="preserve">Agent激活遵循三类条件。</w:t>
      </w:r>
      <w:r>
        <w:rPr>
          <w:bCs/>
          <w:b/>
        </w:rPr>
        <w:t xml:space="preserve">数据驱动自动触发</w:t>
      </w:r>
      <w:r>
        <w:t xml:space="preserve">：收到新实验数据（≥1条）时自动更新模型；实时传感器数据流到达时触发VM预测；模型不确定性超过阈值（平均</w:t>
      </w:r>
      <m:oMath>
        <m:r>
          <m:t>σ</m:t>
        </m:r>
        <m:r>
          <m:rPr>
            <m:sty m:val="p"/>
          </m:rPr>
          <m:t>&gt;</m:t>
        </m:r>
        <m:r>
          <m:t>10</m:t>
        </m:r>
        <m:r>
          <m:rPr>
            <m:sty m:val="p"/>
          </m:rPr>
          <m:t>%</m:t>
        </m:r>
      </m:oMath>
      <w:r>
        <w:t xml:space="preserve">目标值）时触发采集函数计算</w:t>
      </w:r>
      <w:r>
        <w:t xml:space="preserve"> </w:t>
      </w:r>
      <w:fldSimple w:instr="NOTEREF _Ref_Footnote_6 \h \f">
        <w:r>
          <w:rPr>
            <w:vertAlign w:val="superscript"/>
          </w:rPr>
          <w:t>6</w:t>
        </w:r>
      </w:fldSimple>
      <w:r>
        <w:t xml:space="preserve">。</w:t>
      </w:r>
      <w:r>
        <w:rPr>
          <w:bCs/>
          <w:b/>
        </w:rPr>
        <w:t xml:space="preserve">场景化手动触发</w:t>
      </w:r>
      <w:r>
        <w:t xml:space="preserve">：工程师可请求参数优化、结果预测、不确定性分析或跨腔室迁移。</w:t>
      </w:r>
      <w:r>
        <w:rPr>
          <w:bCs/>
          <w:b/>
        </w:rPr>
        <w:t xml:space="preserve">周期性触发</w:t>
      </w:r>
      <w:r>
        <w:t xml:space="preserve">：每日模型健康检查，每周完整重训练。</w:t>
      </w:r>
    </w:p>
    <w:p>
      <w:pPr>
        <w:pStyle w:val="BodyText"/>
      </w:pPr>
      <w:r>
        <w:t xml:space="preserve">小样本判定逻辑：历史数据&lt;20条且为新配方开发时，自动切换至FSTTO/MFL或MetaBO路径</w:t>
      </w:r>
      <w:r>
        <w:t xml:space="preserve"> </w:t>
      </w:r>
      <w:fldSimple w:instr="NOTEREF _Ref_Footnote_7 \h \f">
        <w:r>
          <w:rPr>
            <w:vertAlign w:val="superscript"/>
          </w:rPr>
          <w:t>7</w:t>
        </w:r>
      </w:fldSimple>
      <w:r>
        <w:t xml:space="preserve">。</w:t>
      </w:r>
    </w:p>
    <w:bookmarkEnd w:id="74"/>
    <w:bookmarkStart w:id="75" w:name="上游依赖-2"/>
    <w:p>
      <w:pPr>
        <w:pStyle w:val="Heading4"/>
      </w:pPr>
      <w:r>
        <w:t xml:space="preserve">5.3.2 上游依赖</w:t>
      </w:r>
    </w:p>
    <w:p>
      <w:pPr>
        <w:pStyle w:val="FirstParagraph"/>
      </w:pPr>
      <w:r>
        <w:rPr>
          <w:bCs/>
          <w:b/>
        </w:rPr>
        <w:t xml:space="preserve">DOE Agent的实验数据</w:t>
      </w:r>
      <w:r>
        <w:t xml:space="preserve">是最核心的训练数据来源，每次物理实验完成后推送参数-结果对驱动代理模型更新。</w:t>
      </w:r>
      <w:r>
        <w:rPr>
          <w:bCs/>
          <w:b/>
        </w:rPr>
        <w:t xml:space="preserve">机理Agent的物理先验</w:t>
      </w:r>
      <w:r>
        <w:t xml:space="preserve">（如功率与蚀刻速率关系）作为PIBO框架的先验知识注入GPR，克服纯数据驱动方法的外推退化</w:t>
      </w:r>
      <w:r>
        <w:t xml:space="preserve"> </w:t>
      </w:r>
      <w:fldSimple w:instr="NOTEREF _Ref_Footnote_77 \h \f">
        <w:r>
          <w:rPr>
            <w:vertAlign w:val="superscript"/>
          </w:rPr>
          <w:t>77</w:t>
        </w:r>
      </w:fldSimple>
      <w:r>
        <w:t xml:space="preserve">。</w:t>
      </w:r>
      <w:r>
        <w:rPr>
          <w:bCs/>
          <w:b/>
        </w:rPr>
        <w:t xml:space="preserve">文献Agent</w:t>
      </w:r>
      <w:r>
        <w:t xml:space="preserve">提供相似任务的模型配置参考。上游数据缺失时，Agent输出</w:t>
      </w:r>
      <w:r>
        <w:rPr>
          <w:rStyle w:val="VerbatimChar"/>
        </w:rPr>
        <w:t xml:space="preserve">data_insufficient</w:t>
      </w:r>
      <w:r>
        <w:t xml:space="preserve">状态码并回退至宽置信区间模式。</w:t>
      </w:r>
    </w:p>
    <w:bookmarkEnd w:id="75"/>
    <w:bookmarkStart w:id="76" w:name="下游贡献-2"/>
    <w:p>
      <w:pPr>
        <w:pStyle w:val="Heading4"/>
      </w:pPr>
      <w:r>
        <w:t xml:space="preserve">5.3.3 下游贡献</w:t>
      </w:r>
    </w:p>
    <w:p>
      <w:pPr>
        <w:pStyle w:val="FirstParagraph"/>
      </w:pPr>
      <w:r>
        <w:t xml:space="preserve">Agent产出流向三个方向：</w:t>
      </w:r>
      <w:r>
        <w:rPr>
          <w:bCs/>
          <w:b/>
        </w:rPr>
        <w:t xml:space="preserve">为RCP Agent提供参数推荐</w:t>
      </w:r>
      <w:r>
        <w:t xml:space="preserve">，含最优参数组合、Pareto前沿及预期改进幅度；</w:t>
      </w:r>
      <w:r>
        <w:rPr>
          <w:bCs/>
          <w:b/>
        </w:rPr>
        <w:t xml:space="preserve">为DOE Agent推荐下一实验点</w:t>
      </w:r>
      <w:r>
        <w:t xml:space="preserve">，基于采集函数计算全局最优采样位置，是迭代闭环的关键环节</w:t>
      </w:r>
      <w:r>
        <w:t xml:space="preserve"> </w:t>
      </w:r>
      <w:fldSimple w:instr="NOTEREF _Ref_Footnote_6 \h \f">
        <w:r>
          <w:rPr>
            <w:vertAlign w:val="superscript"/>
          </w:rPr>
          <w:t>6</w:t>
        </w:r>
      </w:fldSimple>
      <w:r>
        <w:t xml:space="preserve">；</w:t>
      </w:r>
      <w:r>
        <w:rPr>
          <w:bCs/>
          <w:b/>
        </w:rPr>
        <w:t xml:space="preserve">为蓝军Agent提供预测置信度</w:t>
      </w:r>
      <w:r>
        <w:t xml:space="preserve">，所有输出附带校准置信区间，蓝军据此评估可信度并触发深度审查</w:t>
      </w:r>
      <w:r>
        <w:t xml:space="preserve"> </w:t>
      </w:r>
      <w:fldSimple w:instr="NOTEREF _Ref_Footnote_74 \h \f">
        <w:r>
          <w:rPr>
            <w:vertAlign w:val="superscript"/>
          </w:rPr>
          <w:t>74</w:t>
        </w:r>
      </w:fldSimple>
      <w:r>
        <w:t xml:space="preserve">。在并行协作中，数据Agent的GPR代理与机理Agent的物理仿真同时运行、相互验证——GPR提供毫秒级快速预测，物理仿真提供高保真精确结果，偏差触发模型校准</w:t>
      </w:r>
      <w:r>
        <w:t xml:space="preserve"> </w:t>
      </w:r>
      <w:r>
        <w:rPr>
          <w:vertAlign w:val="superscript"/>
        </w:rPr>
        <w:footnoteReference w:id="84"/>
      </w:r>
      <w:r>
        <w:t xml:space="preserve">。</w:t>
      </w:r>
    </w:p>
    <w:p>
      <w:pPr>
        <w:pStyle w:val="SourceCode"/>
      </w:pPr>
      <w:r>
        <w:rPr>
          <w:rStyle w:val="VerbatimChar"/>
        </w:rPr>
        <w:t xml:space="preserve">flowchart TD</w:t>
      </w:r>
      <w:r>
        <w:br/>
      </w:r>
      <w:r>
        <w:rPr>
          <w:rStyle w:val="VerbatimChar"/>
        </w:rPr>
        <w:t xml:space="preserve">    A([初始化：&lt;br/&gt;收集历史数据&lt;br/&gt;定义参数空间]) --&gt; B[构建初始代理模型&lt;br/&gt;GP/BNN训练]</w:t>
      </w:r>
      <w:r>
        <w:br/>
      </w:r>
      <w:r>
        <w:rPr>
          <w:rStyle w:val="VerbatimChar"/>
        </w:rPr>
        <w:t xml:space="preserve">    B --&gt; C{模型评估}</w:t>
      </w:r>
      <w:r>
        <w:br/>
      </w:r>
      <w:r>
        <w:rPr>
          <w:rStyle w:val="VerbatimChar"/>
        </w:rPr>
        <w:t xml:space="preserve">    C --&gt;|MAPE&gt;阈值&lt;br/&gt;或不确定性高| D[采集函数计算&lt;br/&gt;EI/UCB/KG]</w:t>
      </w:r>
      <w:r>
        <w:br/>
      </w:r>
      <w:r>
        <w:rPr>
          <w:rStyle w:val="VerbatimChar"/>
        </w:rPr>
        <w:t xml:space="preserve">    C --&gt;|MAPE&lt;阈值&lt;br/&gt;且不确定性可接受| E([输出推荐参数&lt;br/&gt;+置信区间])</w:t>
      </w:r>
      <w:r>
        <w:br/>
      </w:r>
      <w:r>
        <w:rPr>
          <w:rStyle w:val="VerbatimChar"/>
        </w:rPr>
        <w:t xml:space="preserve">    D --&gt; F[推荐下一实验点&lt;br/&gt;期望改进最大化]</w:t>
      </w:r>
      <w:r>
        <w:br/>
      </w:r>
      <w:r>
        <w:rPr>
          <w:rStyle w:val="VerbatimChar"/>
        </w:rPr>
        <w:t xml:space="preserve">    F --&gt; G[物理实验执行&lt;br/&gt;DOE Agent调度]</w:t>
      </w:r>
      <w:r>
        <w:br/>
      </w:r>
      <w:r>
        <w:rPr>
          <w:rStyle w:val="VerbatimChar"/>
        </w:rPr>
        <w:t xml:space="preserve">    G --&gt; H[量测结果回传&lt;br/&gt;数据Agent接收]</w:t>
      </w:r>
      <w:r>
        <w:br/>
      </w:r>
      <w:r>
        <w:rPr>
          <w:rStyle w:val="VerbatimChar"/>
        </w:rPr>
        <w:t xml:space="preserve">    H --&gt; I[模型更新&lt;br/&gt;增量训练]</w:t>
      </w:r>
      <w:r>
        <w:br/>
      </w:r>
      <w:r>
        <w:rPr>
          <w:rStyle w:val="VerbatimChar"/>
        </w:rPr>
        <w:t xml:space="preserve">    I --&gt; J[不确定性分解&lt;br/&gt;hetGP空间/过程分离]</w:t>
      </w:r>
      <w:r>
        <w:br/>
      </w:r>
      <w:r>
        <w:rPr>
          <w:rStyle w:val="VerbatimChar"/>
        </w:rPr>
        <w:t xml:space="preserve">    J --&gt; K[置信区间校准&lt;br/&gt;覆盖率验证]</w:t>
      </w:r>
      <w:r>
        <w:br/>
      </w:r>
      <w:r>
        <w:rPr>
          <w:rStyle w:val="VerbatimChar"/>
        </w:rPr>
        <w:t xml:space="preserve">    K --&gt; C</w:t>
      </w:r>
    </w:p>
    <w:p>
      <w:pPr>
        <w:pStyle w:val="FirstParagraph"/>
      </w:pPr>
      <w:r>
        <w:t xml:space="preserve">上图展示贝叶斯优化迭代流程的完整闭环。流程从历史数据收集与参数空间定义起始，Agent构建初始GP代理模型并通过MAPE和不确定性指标评估。当精度未达标或不确定性过高时，采集函数计算期望改进最大的实验参数，经DOE Agent调度执行后量测结果回传用于模型更新。hetGP同步执行不确定性分解，将总不确定性拆分为空间变异性和过程相关不确定性，并通过覆盖率验证确保校准度。该循环通常5–8轮收敛</w:t>
      </w:r>
      <w:r>
        <w:t xml:space="preserve"> </w:t>
      </w:r>
      <w:fldSimple w:instr="NOTEREF _Ref_Footnote_6 \h \f">
        <w:r>
          <w:rPr>
            <w:vertAlign w:val="superscript"/>
          </w:rPr>
          <w:t>6</w:t>
        </w:r>
      </w:fldSimple>
      <w:r>
        <w:t xml:space="preserve">。</w:t>
      </w:r>
    </w:p>
    <w:bookmarkEnd w:id="76"/>
    <w:bookmarkEnd w:id="77"/>
    <w:bookmarkEnd w:id="78"/>
    <w:bookmarkStart w:id="91" w:name="doe小样本数据实验subagent"/>
    <w:p>
      <w:pPr>
        <w:pStyle w:val="Heading2"/>
      </w:pPr>
      <w:r>
        <w:t xml:space="preserve">6. DOE（小样本数据实验）SubAgent</w:t>
      </w:r>
    </w:p>
    <w:bookmarkStart w:id="83" w:name="技术能力设计-4"/>
    <w:p>
      <w:pPr>
        <w:pStyle w:val="Heading3"/>
      </w:pPr>
      <w:r>
        <w:t xml:space="preserve">6.1 技术能力设计</w:t>
      </w:r>
    </w:p>
    <w:p>
      <w:pPr>
        <w:pStyle w:val="FirstParagraph"/>
      </w:pPr>
      <w:r>
        <w:t xml:space="preserve">DOE SubAgent在系统中承担”实验调度中心”角色——它不仅生成统计最优的实验方案，更通过序贯迭代协调仿真验证、物理实验与模型更新的闭环，在实验资源受限（典型可用次数&lt;30次）条件下以最小晶圆消耗获取最大参数-响应信息</w:t>
      </w:r>
      <w:fldSimple w:instr="NOTEREF _Ref_Footnote_4 \h \f">
        <w:r>
          <w:rPr>
            <w:vertAlign w:val="superscript"/>
          </w:rPr>
          <w:t>4</w:t>
        </w:r>
      </w:fldSimple>
      <w:r>
        <w:t xml:space="preserve">。</w:t>
      </w:r>
    </w:p>
    <w:bookmarkStart w:id="79" w:name="基础实验设计"/>
    <w:p>
      <w:pPr>
        <w:pStyle w:val="Heading4"/>
      </w:pPr>
      <w:r>
        <w:t xml:space="preserve">6.1.1 基础实验设计</w:t>
      </w:r>
    </w:p>
    <w:p>
      <w:pPr>
        <w:pStyle w:val="FirstParagraph"/>
      </w:pPr>
      <w:r>
        <w:t xml:space="preserve">基础实验设计层覆盖从因子筛选到响应面建模的完整方法论谱系。</w:t>
      </w:r>
    </w:p>
    <w:p>
      <w:pPr>
        <w:pStyle w:val="BodyText"/>
      </w:pPr>
      <w:r>
        <w:rPr>
          <w:bCs/>
          <w:b/>
        </w:rPr>
        <w:t xml:space="preserve">因子筛选阶段</w:t>
      </w:r>
      <w:r>
        <w:t xml:space="preserve">，Plackett-Burman（PB）设计以最小实验量估计主效应：评估11个等离子体蚀刻参数的完整因子设计需</w:t>
      </w:r>
      <w:r>
        <w:t xml:space="preserve"> </w:t>
      </w:r>
      <m:oMath>
        <m:sSup>
          <m:e>
            <m:r>
              <m:t>2</m:t>
            </m:r>
          </m:e>
          <m:sup>
            <m:r>
              <m:t>11</m:t>
            </m:r>
          </m:sup>
        </m:sSup>
        <m:r>
          <m:rPr>
            <m:sty m:val="p"/>
          </m:rPr>
          <m:t>=</m:t>
        </m:r>
        <m:r>
          <m:t>2048</m:t>
        </m:r>
      </m:oMath>
      <w:r>
        <w:t xml:space="preserve"> </w:t>
      </w:r>
      <w:r>
        <w:t xml:space="preserve">次运行，PB设计仅需12次，节省约99.4%的实验资源</w:t>
      </w:r>
      <w:fldSimple w:instr="NOTEREF _Ref_Footnote_4 \h \f">
        <w:r>
          <w:rPr>
            <w:vertAlign w:val="superscript"/>
          </w:rPr>
          <w:t>4</w:t>
        </w:r>
      </w:fldSimple>
      <w:r>
        <w:t xml:space="preserve">。部分因子设计（</w:t>
      </w:r>
      <m:oMath>
        <m:sSup>
          <m:e>
            <m:r>
              <m:t>2</m:t>
            </m:r>
          </m:e>
          <m:sup>
            <m:r>
              <m:t>k</m:t>
            </m:r>
            <m:r>
              <m:rPr>
                <m:sty m:val="p"/>
              </m:rPr>
              <m:t>−</m:t>
            </m:r>
            <m:r>
              <m:t>p</m:t>
            </m:r>
          </m:sup>
        </m:sSup>
      </m:oMath>
      <w:r>
        <w:t xml:space="preserve">）适用于因子数≤6且需兼顾二阶交互作用的场景，6因子全因子需64次，分辨率IV的部分因子仅需16次</w:t>
      </w:r>
      <w:fldSimple w:instr="NOTEREF _Ref_Footnote_4 \h \f">
        <w:r>
          <w:rPr>
            <w:vertAlign w:val="superscript"/>
          </w:rPr>
          <w:t>4</w:t>
        </w:r>
      </w:fldSimple>
      <w:r>
        <w:t xml:space="preserve">。</w:t>
      </w:r>
    </w:p>
    <w:p>
      <w:pPr>
        <w:pStyle w:val="BodyText"/>
      </w:pPr>
      <w:r>
        <w:rPr>
          <w:bCs/>
          <w:b/>
        </w:rPr>
        <w:t xml:space="preserve">响应面设计阶段</w:t>
      </w:r>
      <w:r>
        <w:t xml:space="preserve">，中心复合设计（CCD）通过补充轴点和中心点使运行次数随因子数</w:t>
      </w:r>
      <w:r>
        <w:t xml:space="preserve"> </w:t>
      </w:r>
      <m:oMath>
        <m:r>
          <m:t>k</m:t>
        </m:r>
      </m:oMath>
      <w:r>
        <w:t xml:space="preserve"> </w:t>
      </w:r>
      <w:r>
        <w:t xml:space="preserve">按</w:t>
      </w:r>
      <w:r>
        <w:t xml:space="preserve"> </w:t>
      </w:r>
      <m:oMath>
        <m:sSup>
          <m:e>
            <m:r>
              <m:t>2</m:t>
            </m:r>
          </m:e>
          <m:sup>
            <m:r>
              <m:t>k</m:t>
            </m:r>
          </m:sup>
        </m:sSup>
        <m:r>
          <m:rPr>
            <m:sty m:val="p"/>
          </m:rPr>
          <m:t>+</m:t>
        </m:r>
        <m:r>
          <m:t>2</m:t>
        </m:r>
        <m:r>
          <m:t>k</m:t>
        </m:r>
        <m:r>
          <m:rPr>
            <m:sty m:val="p"/>
          </m:rPr>
          <m:t>+</m:t>
        </m:r>
        <m:sSub>
          <m:e>
            <m:r>
              <m:t>n</m:t>
            </m:r>
          </m:e>
          <m:sub>
            <m:r>
              <m:t>c</m:t>
            </m:r>
          </m:sub>
        </m:sSub>
      </m:oMath>
      <w:r>
        <w:t xml:space="preserve"> </w:t>
      </w:r>
      <w:r>
        <w:t xml:space="preserve">增长，适用于精确曲率估计</w:t>
      </w:r>
      <w:fldSimple w:instr="NOTEREF _Ref_Footnote_4 \h \f">
        <w:r>
          <w:rPr>
            <w:vertAlign w:val="superscript"/>
          </w:rPr>
          <w:t>4</w:t>
        </w:r>
      </w:fldSimple>
      <w:r>
        <w:t xml:space="preserve">。Box-Behnken设计（BBD）消除极端设置，运行规模约为CCD的80%，在安全边界约束下更具实操优势</w:t>
      </w:r>
      <w:fldSimple w:instr="NOTEREF _Ref_Footnote_4 \h \f">
        <w:r>
          <w:rPr>
            <w:vertAlign w:val="superscript"/>
          </w:rPr>
          <w:t>4</w:t>
        </w:r>
      </w:fldSimple>
      <w:r>
        <w:t xml:space="preserve"> </w:t>
      </w:r>
      <w:r>
        <w:rPr>
          <w:vertAlign w:val="superscript"/>
        </w:rPr>
        <w:footnoteReference w:id="85"/>
      </w:r>
      <w:r>
        <w:t xml:space="preserve">。</w:t>
      </w:r>
    </w:p>
    <w:p>
      <w:pPr>
        <w:pStyle w:val="BodyText"/>
      </w:pPr>
      <w:r>
        <w:rPr>
          <w:bCs/>
          <w:b/>
        </w:rPr>
        <w:t xml:space="preserve">D-最优设计</w:t>
      </w:r>
      <w:r>
        <w:t xml:space="preserve">是小样本约束下的核心能力，通过最大化Fisher信息矩阵行列式</w:t>
      </w:r>
      <w:r>
        <w:t xml:space="preserve"> </w:t>
      </w:r>
      <m:oMath>
        <m:d>
          <m:dPr>
            <m:begChr m:val="|"/>
            <m:endChr m:val="|"/>
            <m:sepChr m:val=""/>
            <m:grow/>
          </m:dPr>
          <m:e>
            <m:r>
              <m:t>X</m:t>
            </m:r>
            <m:r>
              <m:rPr>
                <m:sty m:val="p"/>
              </m:rPr>
              <m:t>′</m:t>
            </m:r>
            <m:r>
              <m:t>X</m:t>
            </m:r>
          </m:e>
        </m:d>
      </m:oMath>
      <w:r>
        <w:t xml:space="preserve"> </w:t>
      </w:r>
      <w:r>
        <w:t xml:space="preserve">降低回归系数估计方差，其D-效率定义为</w:t>
      </w:r>
      <w:r>
        <w:t xml:space="preserve"> </w:t>
      </w:r>
      <m:oMath>
        <m:r>
          <m:t>D</m:t>
        </m:r>
        <m:r>
          <m:t>E</m:t>
        </m:r>
        <m:r>
          <m:rPr>
            <m:sty m:val="p"/>
          </m:rPr>
          <m:t>=</m:t>
        </m:r>
        <m:r>
          <m:t>100</m:t>
        </m:r>
        <m:r>
          <m:rPr>
            <m:sty m:val="p"/>
          </m:rPr>
          <m:t>×</m:t>
        </m:r>
        <m:sSup>
          <m:e>
            <m:d>
              <m:dPr>
                <m:begChr m:val="|"/>
                <m:endChr m:val="|"/>
                <m:sepChr m:val=""/>
                <m:grow/>
              </m:dPr>
              <m:e>
                <m:r>
                  <m:t>X</m:t>
                </m:r>
                <m:r>
                  <m:rPr>
                    <m:sty m:val="p"/>
                  </m:rPr>
                  <m:t>′</m:t>
                </m:r>
                <m:r>
                  <m:t>X</m:t>
                </m:r>
              </m:e>
            </m:d>
          </m:e>
          <m:sup>
            <m:r>
              <m:t>1</m:t>
            </m:r>
            <m:r>
              <m:rPr>
                <m:sty m:val="p"/>
              </m:rPr>
              <m:t>/</m:t>
            </m:r>
            <m:r>
              <m:t>p</m:t>
            </m:r>
          </m:sup>
        </m:sSup>
        <m:r>
          <m:rPr>
            <m:sty m:val="p"/>
          </m:rPr>
          <m:t>/</m:t>
        </m:r>
        <m:r>
          <m:t>N</m:t>
        </m:r>
      </m:oMath>
      <w:r>
        <w:t xml:space="preserve">，其中</w:t>
      </w:r>
      <w:r>
        <w:t xml:space="preserve"> </w:t>
      </w:r>
      <m:oMath>
        <m:r>
          <m:t>p</m:t>
        </m:r>
      </m:oMath>
      <w:r>
        <w:t xml:space="preserve"> </w:t>
      </w:r>
      <w:r>
        <w:t xml:space="preserve">为自由度总数，</w:t>
      </w:r>
      <m:oMath>
        <m:r>
          <m:t>N</m:t>
        </m:r>
      </m:oMath>
      <w:r>
        <w:t xml:space="preserve"> </w:t>
      </w:r>
      <w:r>
        <w:t xml:space="preserve">为设计点数</w:t>
      </w:r>
      <w:r>
        <w:rPr>
          <w:vertAlign w:val="superscript"/>
        </w:rPr>
        <w:footnoteReference w:id="86"/>
      </w:r>
      <w:r>
        <w:t xml:space="preserve">。该设计支持任意指定模型和非标准约束空间，对蚀刻工艺的物理可行性边界尤为重要。</w:t>
      </w:r>
    </w:p>
    <w:p>
      <w:pPr>
        <w:pStyle w:val="BodyText"/>
      </w:pPr>
      <w:r>
        <w:rPr>
          <w:bCs/>
          <w:b/>
        </w:rPr>
        <w:t xml:space="preserve">混合实验设计</w:t>
      </w:r>
      <w:r>
        <w:t xml:space="preserve">（Mixture Design）处理气体配比中组分之和固定的约束。TiW蚀刻的经典研究采用两阶段策略：第一阶段以部分因子筛选关键因子，第二阶段以SF</w:t>
      </w:r>
      <m:oMath>
        <m:sSub>
          <m:e>
            <m:r>
              <m:t>​</m:t>
            </m:r>
          </m:e>
          <m:sub>
            <m:r>
              <m:t>6</m:t>
            </m:r>
          </m:sub>
        </m:sSub>
      </m:oMath>
      <w:r>
        <w:t xml:space="preserve">、He和N</w:t>
      </w:r>
      <m:oMath>
        <m:sSub>
          <m:e>
            <m:r>
              <m:t>​</m:t>
            </m:r>
          </m:e>
          <m:sub>
            <m:r>
              <m:t>2</m:t>
            </m:r>
          </m:sub>
        </m:sSub>
      </m:oMath>
      <w:r>
        <w:t xml:space="preserve">分压为混合变量构建特殊三次模型</w:t>
      </w:r>
      <w:r>
        <w:rPr>
          <w:vertAlign w:val="superscript"/>
        </w:rPr>
        <w:footnoteReference w:id="87"/>
      </w:r>
      <w:r>
        <w:t xml:space="preserve"> </w:t>
      </w:r>
      <w:r>
        <w:rPr>
          <w:vertAlign w:val="superscript"/>
        </w:rPr>
        <w:footnoteReference w:id="88"/>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设计类型</w:t>
            </w:r>
          </w:p>
        </w:tc>
        <w:tc>
          <w:tcPr/>
          <w:p>
            <w:pPr>
              <w:pStyle w:val="Compact"/>
              <w:jc w:val="left"/>
            </w:pPr>
            <w:r>
              <w:t xml:space="preserve">运行次数（k因子）</w:t>
            </w:r>
          </w:p>
        </w:tc>
        <w:tc>
          <w:tcPr/>
          <w:p>
            <w:pPr>
              <w:pStyle w:val="Compact"/>
              <w:jc w:val="left"/>
            </w:pPr>
            <w:r>
              <w:t xml:space="preserve">可估效应</w:t>
            </w:r>
          </w:p>
        </w:tc>
        <w:tc>
          <w:tcPr/>
          <w:p>
            <w:pPr>
              <w:pStyle w:val="Compact"/>
              <w:jc w:val="left"/>
            </w:pPr>
            <w:r>
              <w:t xml:space="preserve">最小适用样本量</w:t>
            </w:r>
          </w:p>
        </w:tc>
        <w:tc>
          <w:tcPr/>
          <w:p>
            <w:pPr>
              <w:pStyle w:val="Compact"/>
              <w:jc w:val="left"/>
            </w:pPr>
            <w:r>
              <w:t xml:space="preserve">典型应用场景</w:t>
            </w:r>
          </w:p>
        </w:tc>
      </w:tr>
      <w:tr>
        <w:tc>
          <w:tcPr/>
          <w:p>
            <w:pPr>
              <w:pStyle w:val="Compact"/>
              <w:jc w:val="left"/>
            </w:pPr>
            <w:r>
              <w:t xml:space="preserve">Plackett-Burman</w:t>
            </w:r>
          </w:p>
        </w:tc>
        <w:tc>
          <w:tcPr/>
          <w:p>
            <w:pPr>
              <w:pStyle w:val="Compact"/>
              <w:jc w:val="left"/>
            </w:pPr>
            <w:r>
              <w:t xml:space="preserve">k+1（最少12次）</w:t>
            </w:r>
          </w:p>
        </w:tc>
        <w:tc>
          <w:tcPr/>
          <w:p>
            <w:pPr>
              <w:pStyle w:val="Compact"/>
              <w:jc w:val="left"/>
            </w:pPr>
            <w:r>
              <w:t xml:space="preserve">主效应</w:t>
            </w:r>
          </w:p>
        </w:tc>
        <w:tc>
          <w:tcPr/>
          <w:p>
            <w:pPr>
              <w:pStyle w:val="Compact"/>
              <w:jc w:val="left"/>
            </w:pPr>
            <w:r>
              <w:t xml:space="preserve">12次</w:t>
            </w:r>
          </w:p>
        </w:tc>
        <w:tc>
          <w:tcPr/>
          <w:p>
            <w:pPr>
              <w:pStyle w:val="Compact"/>
              <w:jc w:val="left"/>
            </w:pPr>
            <w:r>
              <w:t xml:space="preserve">11+候选因子的初筛</w:t>
            </w:r>
            <w:fldSimple w:instr="NOTEREF _Ref_Footnote_4 \h \f">
              <w:r>
                <w:rPr>
                  <w:vertAlign w:val="superscript"/>
                </w:rPr>
                <w:t>4</w:t>
              </w:r>
            </w:fldSimple>
          </w:p>
        </w:tc>
      </w:tr>
      <w:tr>
        <w:tc>
          <w:tcPr/>
          <w:p>
            <w:pPr>
              <w:pStyle w:val="Compact"/>
              <w:jc w:val="left"/>
            </w:pPr>
            <w:r>
              <w:t xml:space="preserve">部分因子（</w:t>
            </w:r>
            <m:oMath>
              <m:sSup>
                <m:e>
                  <m:r>
                    <m:t>2</m:t>
                  </m:r>
                </m:e>
                <m:sup>
                  <m:r>
                    <m:t>k</m:t>
                  </m:r>
                  <m:r>
                    <m:rPr>
                      <m:sty m:val="p"/>
                    </m:rPr>
                    <m:t>−</m:t>
                  </m:r>
                  <m:r>
                    <m:t>p</m:t>
                  </m:r>
                </m:sup>
              </m:sSup>
            </m:oMath>
            <w:r>
              <w:t xml:space="preserve">）</w:t>
            </w:r>
          </w:p>
        </w:tc>
        <w:tc>
          <w:tcPr/>
          <w:p>
            <w:pPr>
              <w:pStyle w:val="Compact"/>
              <w:jc w:val="left"/>
            </w:pPr>
            <m:oMath>
              <m:sSup>
                <m:e>
                  <m:r>
                    <m:t>2</m:t>
                  </m:r>
                </m:e>
                <m:sup>
                  <m:r>
                    <m:t>k</m:t>
                  </m:r>
                  <m:r>
                    <m:rPr>
                      <m:sty m:val="p"/>
                    </m:rPr>
                    <m:t>−</m:t>
                  </m:r>
                  <m:r>
                    <m:t>p</m:t>
                  </m:r>
                </m:sup>
              </m:sSup>
            </m:oMath>
          </w:p>
        </w:tc>
        <w:tc>
          <w:tcPr/>
          <w:p>
            <w:pPr>
              <w:pStyle w:val="Compact"/>
              <w:jc w:val="left"/>
            </w:pPr>
            <w:r>
              <w:t xml:space="preserve">主效应+部分交互</w:t>
            </w:r>
          </w:p>
        </w:tc>
        <w:tc>
          <w:tcPr/>
          <w:p>
            <w:pPr>
              <w:pStyle w:val="Compact"/>
              <w:jc w:val="left"/>
            </w:pPr>
            <w:r>
              <w:t xml:space="preserve">8次</w:t>
            </w:r>
          </w:p>
        </w:tc>
        <w:tc>
          <w:tcPr/>
          <w:p>
            <w:pPr>
              <w:pStyle w:val="Compact"/>
              <w:jc w:val="left"/>
            </w:pPr>
            <w:r>
              <w:t xml:space="preserve">4-6因子交互作用探查</w:t>
            </w:r>
            <w:fldSimple w:instr="NOTEREF _Ref_Footnote_4 \h \f">
              <w:r>
                <w:rPr>
                  <w:vertAlign w:val="superscript"/>
                </w:rPr>
                <w:t>4</w:t>
              </w:r>
            </w:fldSimple>
          </w:p>
        </w:tc>
      </w:tr>
      <w:tr>
        <w:tc>
          <w:tcPr/>
          <w:p>
            <w:pPr>
              <w:pStyle w:val="Compact"/>
              <w:jc w:val="left"/>
            </w:pPr>
            <w:r>
              <w:t xml:space="preserve">CCD</w:t>
            </w:r>
          </w:p>
        </w:tc>
        <w:tc>
          <w:tcPr/>
          <w:p>
            <w:pPr>
              <w:pStyle w:val="Compact"/>
              <w:jc w:val="left"/>
            </w:pPr>
            <m:oMath>
              <m:sSup>
                <m:e>
                  <m:r>
                    <m:t>2</m:t>
                  </m:r>
                </m:e>
                <m:sup>
                  <m:r>
                    <m:t>k</m:t>
                  </m:r>
                </m:sup>
              </m:sSup>
              <m:r>
                <m:rPr>
                  <m:sty m:val="p"/>
                </m:rPr>
                <m:t>+</m:t>
              </m:r>
              <m:r>
                <m:t>2</m:t>
              </m:r>
              <m:r>
                <m:t>k</m:t>
              </m:r>
              <m:r>
                <m:rPr>
                  <m:sty m:val="p"/>
                </m:rPr>
                <m:t>+</m:t>
              </m:r>
              <m:sSub>
                <m:e>
                  <m:r>
                    <m:t>n</m:t>
                  </m:r>
                </m:e>
                <m:sub>
                  <m:r>
                    <m:t>c</m:t>
                  </m:r>
                </m:sub>
              </m:sSub>
            </m:oMath>
          </w:p>
        </w:tc>
        <w:tc>
          <w:tcPr/>
          <w:p>
            <w:pPr>
              <w:pStyle w:val="Compact"/>
              <w:jc w:val="left"/>
            </w:pPr>
            <w:r>
              <w:t xml:space="preserve">二阶模型全部项</w:t>
            </w:r>
          </w:p>
        </w:tc>
        <w:tc>
          <w:tcPr/>
          <w:p>
            <w:pPr>
              <w:pStyle w:val="Compact"/>
              <w:jc w:val="left"/>
            </w:pPr>
            <m:oMath>
              <m:sSup>
                <m:e>
                  <m:r>
                    <m:t>2</m:t>
                  </m:r>
                </m:e>
                <m:sup>
                  <m:r>
                    <m:t>k</m:t>
                  </m:r>
                </m:sup>
              </m:sSup>
              <m:r>
                <m:rPr>
                  <m:sty m:val="p"/>
                </m:rPr>
                <m:t>+</m:t>
              </m:r>
              <m:r>
                <m:t>2</m:t>
              </m:r>
              <m:r>
                <m:t>k</m:t>
              </m:r>
              <m:r>
                <m:rPr>
                  <m:sty m:val="p"/>
                </m:rPr>
                <m:t>+</m:t>
              </m:r>
              <m:r>
                <m:t>5</m:t>
              </m:r>
            </m:oMath>
          </w:p>
        </w:tc>
        <w:tc>
          <w:tcPr/>
          <w:p>
            <w:pPr>
              <w:pStyle w:val="Compact"/>
              <w:jc w:val="left"/>
            </w:pPr>
            <w:r>
              <w:t xml:space="preserve">精确曲率估计与模型验证</w:t>
            </w:r>
            <w:fldSimple w:instr="NOTEREF _Ref_Footnote_4 \h \f">
              <w:r>
                <w:rPr>
                  <w:vertAlign w:val="superscript"/>
                </w:rPr>
                <w:t>4</w:t>
              </w:r>
            </w:fldSimple>
          </w:p>
        </w:tc>
      </w:tr>
      <w:tr>
        <w:tc>
          <w:tcPr/>
          <w:p>
            <w:pPr>
              <w:pStyle w:val="Compact"/>
              <w:jc w:val="left"/>
            </w:pPr>
            <w:r>
              <w:t xml:space="preserve">BBD</w:t>
            </w:r>
          </w:p>
        </w:tc>
        <w:tc>
          <w:tcPr/>
          <w:p>
            <w:pPr>
              <w:pStyle w:val="Compact"/>
              <w:jc w:val="left"/>
            </w:pPr>
            <m:oMath>
              <m:sSup>
                <m:e>
                  <m:r>
                    <m:t>k</m:t>
                  </m:r>
                </m:e>
                <m:sup>
                  <m:r>
                    <m:t>2</m:t>
                  </m:r>
                </m:sup>
              </m:sSup>
              <m:r>
                <m:rPr>
                  <m:sty m:val="p"/>
                </m:rPr>
                <m:t>+</m:t>
              </m:r>
              <m:r>
                <m:t>k</m:t>
              </m:r>
              <m:r>
                <m:rPr>
                  <m:sty m:val="p"/>
                </m:rPr>
                <m:t>+</m:t>
              </m:r>
              <m:sSub>
                <m:e>
                  <m:r>
                    <m:t>n</m:t>
                  </m:r>
                </m:e>
                <m:sub>
                  <m:r>
                    <m:t>c</m:t>
                  </m:r>
                </m:sub>
              </m:sSub>
            </m:oMath>
          </w:p>
        </w:tc>
        <w:tc>
          <w:tcPr/>
          <w:p>
            <w:pPr>
              <w:pStyle w:val="Compact"/>
              <w:jc w:val="left"/>
            </w:pPr>
            <w:r>
              <w:t xml:space="preserve">二阶模型（无极端点）</w:t>
            </w:r>
          </w:p>
        </w:tc>
        <w:tc>
          <w:tcPr/>
          <w:p>
            <w:pPr>
              <w:pStyle w:val="Compact"/>
              <w:jc w:val="left"/>
            </w:pPr>
            <m:oMath>
              <m:sSup>
                <m:e>
                  <m:r>
                    <m:t>k</m:t>
                  </m:r>
                </m:e>
                <m:sup>
                  <m:r>
                    <m:t>2</m:t>
                  </m:r>
                </m:sup>
              </m:sSup>
              <m:r>
                <m:rPr>
                  <m:sty m:val="p"/>
                </m:rPr>
                <m:t>+</m:t>
              </m:r>
              <m:r>
                <m:t>k</m:t>
              </m:r>
              <m:r>
                <m:rPr>
                  <m:sty m:val="p"/>
                </m:rPr>
                <m:t>+</m:t>
              </m:r>
              <m:r>
                <m:t>3</m:t>
              </m:r>
            </m:oMath>
          </w:p>
        </w:tc>
        <w:tc>
          <w:tcPr/>
          <w:p>
            <w:pPr>
              <w:pStyle w:val="Compact"/>
              <w:jc w:val="left"/>
            </w:pPr>
            <w:r>
              <w:t xml:space="preserve">安全边界约束下的RSM</w:t>
            </w:r>
            <w:fldSimple w:instr="NOTEREF _Ref_Footnote_85 \h \f">
              <w:r>
                <w:rPr>
                  <w:vertAlign w:val="superscript"/>
                </w:rPr>
                <w:t>85</w:t>
              </w:r>
            </w:fldSimple>
          </w:p>
        </w:tc>
      </w:tr>
      <w:tr>
        <w:tc>
          <w:tcPr/>
          <w:p>
            <w:pPr>
              <w:pStyle w:val="Compact"/>
              <w:jc w:val="left"/>
            </w:pPr>
            <w:r>
              <w:t xml:space="preserve">D-最优</w:t>
            </w:r>
          </w:p>
        </w:tc>
        <w:tc>
          <w:tcPr/>
          <w:p>
            <w:pPr>
              <w:pStyle w:val="Compact"/>
              <w:jc w:val="left"/>
            </w:pPr>
            <w:r>
              <w:t xml:space="preserve">用户指定N</w:t>
            </w:r>
          </w:p>
        </w:tc>
        <w:tc>
          <w:tcPr/>
          <w:p>
            <w:pPr>
              <w:pStyle w:val="Compact"/>
              <w:jc w:val="left"/>
            </w:pPr>
            <w:r>
              <w:t xml:space="preserve">任意指定模型</w:t>
            </w:r>
          </w:p>
        </w:tc>
        <w:tc>
          <w:tcPr/>
          <w:p>
            <w:pPr>
              <w:pStyle w:val="Compact"/>
              <w:jc w:val="left"/>
            </w:pPr>
            <m:oMath>
              <m:r>
                <m:t>p</m:t>
              </m:r>
              <m:r>
                <m:rPr>
                  <m:sty m:val="p"/>
                </m:rPr>
                <m:t>+</m:t>
              </m:r>
              <m:r>
                <m:t>2</m:t>
              </m:r>
            </m:oMath>
          </w:p>
        </w:tc>
        <w:tc>
          <w:tcPr/>
          <w:p>
            <w:pPr>
              <w:pStyle w:val="Compact"/>
              <w:jc w:val="left"/>
            </w:pPr>
            <w:r>
              <w:t xml:space="preserve">小样本约束、非标准模型</w:t>
            </w:r>
            <w:fldSimple w:instr="NOTEREF _Ref_Footnote_86 \h \f">
              <w:r>
                <w:rPr>
                  <w:vertAlign w:val="superscript"/>
                </w:rPr>
                <w:t>86</w:t>
              </w:r>
            </w:fldSimple>
          </w:p>
        </w:tc>
      </w:tr>
      <w:tr>
        <w:tc>
          <w:tcPr/>
          <w:p>
            <w:pPr>
              <w:pStyle w:val="Compact"/>
              <w:jc w:val="left"/>
            </w:pPr>
            <w:r>
              <w:t xml:space="preserve">混合设计</w:t>
            </w:r>
          </w:p>
        </w:tc>
        <w:tc>
          <w:tcPr/>
          <w:p>
            <w:pPr>
              <w:pStyle w:val="Compact"/>
              <w:jc w:val="left"/>
            </w:pPr>
            <w:r>
              <w:t xml:space="preserve">依赖约束数</w:t>
            </w:r>
          </w:p>
        </w:tc>
        <w:tc>
          <w:tcPr/>
          <w:p>
            <w:pPr>
              <w:pStyle w:val="Compact"/>
              <w:jc w:val="left"/>
            </w:pPr>
            <w:r>
              <w:t xml:space="preserve">组分效应+Scheffe模型</w:t>
            </w:r>
          </w:p>
        </w:tc>
        <w:tc>
          <w:tcPr/>
          <w:p>
            <w:pPr>
              <w:pStyle w:val="Compact"/>
              <w:jc w:val="left"/>
            </w:pPr>
            <w:r>
              <w:t xml:space="preserve">与组分数相关</w:t>
            </w:r>
          </w:p>
        </w:tc>
        <w:tc>
          <w:tcPr/>
          <w:p>
            <w:pPr>
              <w:pStyle w:val="Compact"/>
              <w:jc w:val="left"/>
            </w:pPr>
            <w:r>
              <w:t xml:space="preserve">蚀刻气体配比优化</w:t>
            </w:r>
            <w:fldSimple w:instr="NOTEREF _Ref_Footnote_87 \h \f">
              <w:r>
                <w:rPr>
                  <w:vertAlign w:val="superscript"/>
                </w:rPr>
                <w:t>87</w:t>
              </w:r>
            </w:fldSimple>
          </w:p>
        </w:tc>
      </w:tr>
    </w:tbl>
    <w:p>
      <w:pPr>
        <w:pStyle w:val="BodyText"/>
      </w:pPr>
      <w:r>
        <w:t xml:space="preserve">该表揭示了DOE SubAgent的设计选择逻辑：因子数&gt;10时PB设计是唯一可行方案；预算&lt;15次时D-最优设计通过牺牲正交性换取估计效率；气体配比问题必须使用混合设计以正确处理组分约束</w:t>
      </w:r>
      <w:r>
        <w:t xml:space="preserve"> </w:t>
      </w:r>
      <m:oMath>
        <m:r>
          <m:rPr>
            <m:sty m:val="p"/>
          </m:rPr>
          <m:t>∑</m:t>
        </m:r>
        <m:sSub>
          <m:e>
            <m:r>
              <m:t>x</m:t>
            </m:r>
          </m:e>
          <m:sub>
            <m:r>
              <m:t>i</m:t>
            </m:r>
          </m:sub>
        </m:sSub>
        <m:r>
          <m:rPr>
            <m:sty m:val="p"/>
          </m:rPr>
          <m:t>=</m:t>
        </m:r>
        <m:r>
          <m:t>1</m:t>
        </m:r>
      </m:oMath>
      <w:r>
        <w:t xml:space="preserve">。</w:t>
      </w:r>
    </w:p>
    <w:bookmarkEnd w:id="79"/>
    <w:bookmarkStart w:id="80" w:name="序贯与自适应doe"/>
    <w:p>
      <w:pPr>
        <w:pStyle w:val="Heading4"/>
      </w:pPr>
      <w:r>
        <w:t xml:space="preserve">6.1.2 序贯与自适应DOE</w:t>
      </w:r>
    </w:p>
    <w:p>
      <w:pPr>
        <w:pStyle w:val="FirstParagraph"/>
      </w:pPr>
      <w:r>
        <w:t xml:space="preserve">序贯DOE将大规模实验分解为多阶段递进的小规模序列，通过前一阶段数据动态调整后一阶段设计</w:t>
      </w:r>
      <w:r>
        <w:rPr>
          <w:vertAlign w:val="superscript"/>
        </w:rPr>
        <w:footnoteReference w:id="89"/>
      </w:r>
      <w:r>
        <w:t xml:space="preserve">。</w:t>
      </w:r>
    </w:p>
    <w:p>
      <w:pPr>
        <w:pStyle w:val="BodyText"/>
      </w:pPr>
      <w:r>
        <w:rPr>
          <w:bCs/>
          <w:b/>
        </w:rPr>
        <w:t xml:space="preserve">两阶段序贯策略</w:t>
      </w:r>
      <w:r>
        <w:t xml:space="preserve">为工业标准：第一阶段以PB设计或</w:t>
      </w:r>
      <w:r>
        <w:t xml:space="preserve"> </w:t>
      </w:r>
      <m:oMath>
        <m:sSup>
          <m:e>
            <m:r>
              <m:t>2</m:t>
            </m:r>
          </m:e>
          <m:sup>
            <m:r>
              <m:t>k</m:t>
            </m:r>
            <m:r>
              <m:rPr>
                <m:sty m:val="p"/>
              </m:rPr>
              <m:t>−</m:t>
            </m:r>
            <m:r>
              <m:t>p</m:t>
            </m:r>
          </m:sup>
        </m:sSup>
      </m:oMath>
      <w:r>
        <w:t xml:space="preserve"> </w:t>
      </w:r>
      <w:r>
        <w:t xml:space="preserve">部分因子筛选关键因子（通常从大量候选因子中识别3-5个关键变量）；第二阶段以CCD或BBD构建响应面并优化确认</w:t>
      </w:r>
      <w:fldSimple w:instr="NOTEREF _Ref_Footnote_87 \h \f">
        <w:r>
          <w:rPr>
            <w:vertAlign w:val="superscript"/>
          </w:rPr>
          <w:t>87</w:t>
        </w:r>
      </w:fldSimple>
      <w:r>
        <w:t xml:space="preserve"> </w:t>
      </w:r>
      <w:fldSimple w:instr="NOTEREF _Ref_Footnote_4 \h \f">
        <w:r>
          <w:rPr>
            <w:vertAlign w:val="superscript"/>
          </w:rPr>
          <w:t>4</w:t>
        </w:r>
      </w:fldSimple>
      <w:r>
        <w:t xml:space="preserve">。</w:t>
      </w:r>
      <w:r>
        <w:rPr>
          <w:bCs/>
          <w:b/>
        </w:rPr>
        <w:t xml:space="preserve">高斯过程（GP）引导的序贯实验</w:t>
      </w:r>
      <w:r>
        <w:t xml:space="preserve">将贝叶斯优化引入实验规划：GP代理模型提供预测值与不确定性估计，采集函数（如期望改进EI）平衡”利用”与”探索”</w:t>
      </w:r>
      <w:fldSimple w:instr="NOTEREF _Ref_Footnote_5 \h \f">
        <w:r>
          <w:rPr>
            <w:vertAlign w:val="superscript"/>
          </w:rPr>
          <w:t>5</w:t>
        </w:r>
      </w:fldSimple>
      <w:r>
        <w:t xml:space="preserve">。GP的不确定性量化能力使Agent能将有限实验资源分配至信息增益最大的区域</w:t>
      </w:r>
      <w:fldSimple w:instr="NOTEREF _Ref_Footnote_89 \h \f">
        <w:r>
          <w:rPr>
            <w:vertAlign w:val="superscript"/>
          </w:rPr>
          <w:t>89</w:t>
        </w:r>
      </w:fldSimple>
      <w:r>
        <w:t xml:space="preserve">。</w:t>
      </w:r>
    </w:p>
    <w:p>
      <w:pPr>
        <w:pStyle w:val="BodyText"/>
      </w:pPr>
      <w:r>
        <w:rPr>
          <w:bCs/>
          <w:b/>
        </w:rPr>
        <w:t xml:space="preserve">多重启贝叶斯优化</w:t>
      </w:r>
      <w:r>
        <w:t xml:space="preserve">（MRBORI）针对传统BO对初始点敏感的问题，引入</w:t>
      </w:r>
      <w:r>
        <w:t xml:space="preserve"> </w:t>
      </w:r>
      <m:oMath>
        <m:r>
          <m:t>N</m:t>
        </m:r>
      </m:oMath>
      <w:r>
        <w:t xml:space="preserve"> </w:t>
      </w:r>
      <w:r>
        <w:t xml:space="preserve">次独立随机重启，遗漏全局最优解的概率呈指数级衰减</w:t>
      </w:r>
      <w:r>
        <w:rPr>
          <w:vertAlign w:val="superscript"/>
        </w:rPr>
        <w:footnoteReference w:id="90"/>
      </w:r>
      <w:r>
        <w:t xml:space="preserve">。</w:t>
      </w:r>
      <w:r>
        <w:rPr>
          <w:bCs/>
          <w:b/>
        </w:rPr>
        <w:t xml:space="preserve">人机协作策略</w:t>
      </w:r>
      <w:r>
        <w:t xml:space="preserve">的实证研究表明，工程师在早期大参数空间探索中表现出色，算法在接近严格公差时效率更高，</w:t>
      </w:r>
      <w:r>
        <w:t xml:space="preserve">“</w:t>
      </w:r>
      <w:r>
        <w:t xml:space="preserve">人类优先-计算机收尾</w:t>
      </w:r>
      <w:r>
        <w:t xml:space="preserve">”</w:t>
      </w:r>
      <w:r>
        <w:t xml:space="preserve">策略可将达到目标的成本降低约50%</w:t>
      </w:r>
      <w:r>
        <w:rPr>
          <w:vertAlign w:val="superscript"/>
        </w:rPr>
        <w:footnoteReference w:id="91"/>
      </w:r>
      <w:r>
        <w:t xml:space="preserve"> </w:t>
      </w:r>
      <w:r>
        <w:rPr>
          <w:vertAlign w:val="superscript"/>
        </w:rPr>
        <w:footnoteReference w:id="92"/>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序贯阶段</w:t>
            </w:r>
          </w:p>
        </w:tc>
        <w:tc>
          <w:tcPr/>
          <w:p>
            <w:pPr>
              <w:pStyle w:val="Compact"/>
              <w:jc w:val="left"/>
            </w:pPr>
            <w:r>
              <w:t xml:space="preserve">设计方法</w:t>
            </w:r>
          </w:p>
        </w:tc>
        <w:tc>
          <w:tcPr/>
          <w:p>
            <w:pPr>
              <w:pStyle w:val="Compact"/>
              <w:jc w:val="left"/>
            </w:pPr>
            <w:r>
              <w:t xml:space="preserve">核心目标</w:t>
            </w:r>
          </w:p>
        </w:tc>
        <w:tc>
          <w:tcPr/>
          <w:p>
            <w:pPr>
              <w:pStyle w:val="Compact"/>
              <w:jc w:val="left"/>
            </w:pPr>
            <w:r>
              <w:t xml:space="preserve">样本量建议</w:t>
            </w:r>
          </w:p>
        </w:tc>
        <w:tc>
          <w:tcPr/>
          <w:p>
            <w:pPr>
              <w:pStyle w:val="Compact"/>
              <w:jc w:val="left"/>
            </w:pPr>
            <w:r>
              <w:t xml:space="preserve">决策依据</w:t>
            </w:r>
          </w:p>
        </w:tc>
      </w:tr>
      <w:tr>
        <w:tc>
          <w:tcPr/>
          <w:p>
            <w:pPr>
              <w:pStyle w:val="Compact"/>
              <w:jc w:val="left"/>
            </w:pPr>
            <w:r>
              <w:t xml:space="preserve">第一阶段：因子筛选</w:t>
            </w:r>
          </w:p>
        </w:tc>
        <w:tc>
          <w:tcPr/>
          <w:p>
            <w:pPr>
              <w:pStyle w:val="Compact"/>
              <w:jc w:val="left"/>
            </w:pPr>
            <w:r>
              <w:t xml:space="preserve">PB设计、</w:t>
            </w:r>
            <m:oMath>
              <m:sSup>
                <m:e>
                  <m:r>
                    <m:t>2</m:t>
                  </m:r>
                </m:e>
                <m:sup>
                  <m:r>
                    <m:t>k</m:t>
                  </m:r>
                  <m:r>
                    <m:rPr>
                      <m:sty m:val="p"/>
                    </m:rPr>
                    <m:t>−</m:t>
                  </m:r>
                  <m:r>
                    <m:t>p</m:t>
                  </m:r>
                </m:sup>
              </m:sSup>
            </m:oMath>
            <w:r>
              <w:t xml:space="preserve">部分因子</w:t>
            </w:r>
          </w:p>
        </w:tc>
        <w:tc>
          <w:tcPr/>
          <w:p>
            <w:pPr>
              <w:pStyle w:val="Compact"/>
              <w:jc w:val="left"/>
            </w:pPr>
            <w:r>
              <w:t xml:space="preserve">识别关键因子</w:t>
            </w:r>
          </w:p>
        </w:tc>
        <w:tc>
          <w:tcPr/>
          <w:p>
            <w:pPr>
              <w:pStyle w:val="Compact"/>
              <w:jc w:val="left"/>
            </w:pPr>
            <w:r>
              <w:t xml:space="preserve">12-16次</w:t>
            </w:r>
          </w:p>
        </w:tc>
        <w:tc>
          <w:tcPr/>
          <w:p>
            <w:pPr>
              <w:pStyle w:val="Compact"/>
              <w:jc w:val="left"/>
            </w:pPr>
            <w:r>
              <w:t xml:space="preserve">因子数≥6时的效率考量</w:t>
            </w:r>
            <w:fldSimple w:instr="NOTEREF _Ref_Footnote_4 \h \f">
              <w:r>
                <w:rPr>
                  <w:vertAlign w:val="superscript"/>
                </w:rPr>
                <w:t>4</w:t>
              </w:r>
            </w:fldSimple>
          </w:p>
        </w:tc>
      </w:tr>
      <w:tr>
        <w:tc>
          <w:tcPr/>
          <w:p>
            <w:pPr>
              <w:pStyle w:val="Compact"/>
              <w:jc w:val="left"/>
            </w:pPr>
            <w:r>
              <w:t xml:space="preserve">第二阶段：响应面建模</w:t>
            </w:r>
          </w:p>
        </w:tc>
        <w:tc>
          <w:tcPr/>
          <w:p>
            <w:pPr>
              <w:pStyle w:val="Compact"/>
              <w:jc w:val="left"/>
            </w:pPr>
            <w:r>
              <w:t xml:space="preserve">CCD/BBD/D-最优</w:t>
            </w:r>
          </w:p>
        </w:tc>
        <w:tc>
          <w:tcPr/>
          <w:p>
            <w:pPr>
              <w:pStyle w:val="Compact"/>
              <w:jc w:val="left"/>
            </w:pPr>
            <w:r>
              <w:t xml:space="preserve">建立二次模型</w:t>
            </w:r>
          </w:p>
        </w:tc>
        <w:tc>
          <w:tcPr/>
          <w:p>
            <w:pPr>
              <w:pStyle w:val="Compact"/>
              <w:jc w:val="left"/>
            </w:pPr>
            <w:r>
              <w:t xml:space="preserve">15-25次</w:t>
            </w:r>
          </w:p>
        </w:tc>
        <w:tc>
          <w:tcPr/>
          <w:p>
            <w:pPr>
              <w:pStyle w:val="Compact"/>
              <w:jc w:val="left"/>
            </w:pPr>
            <w:r>
              <w:t xml:space="preserve">关键因子3-5的模型可估性</w:t>
            </w:r>
            <w:fldSimple w:instr="NOTEREF _Ref_Footnote_4 \h \f">
              <w:r>
                <w:rPr>
                  <w:vertAlign w:val="superscript"/>
                </w:rPr>
                <w:t>4</w:t>
              </w:r>
            </w:fldSimple>
          </w:p>
        </w:tc>
      </w:tr>
      <w:tr>
        <w:tc>
          <w:tcPr/>
          <w:p>
            <w:pPr>
              <w:pStyle w:val="Compact"/>
              <w:jc w:val="left"/>
            </w:pPr>
            <w:r>
              <w:t xml:space="preserve">第三阶段：序贯优化</w:t>
            </w:r>
          </w:p>
        </w:tc>
        <w:tc>
          <w:tcPr/>
          <w:p>
            <w:pPr>
              <w:pStyle w:val="Compact"/>
              <w:jc w:val="left"/>
            </w:pPr>
            <w:r>
              <w:t xml:space="preserve">GP+EI采集函数</w:t>
            </w:r>
          </w:p>
        </w:tc>
        <w:tc>
          <w:tcPr/>
          <w:p>
            <w:pPr>
              <w:pStyle w:val="Compact"/>
              <w:jc w:val="left"/>
            </w:pPr>
            <w:r>
              <w:t xml:space="preserve">收敛至最优窗口</w:t>
            </w:r>
          </w:p>
        </w:tc>
        <w:tc>
          <w:tcPr/>
          <w:p>
            <w:pPr>
              <w:pStyle w:val="Compact"/>
              <w:jc w:val="left"/>
            </w:pPr>
            <w:r>
              <w:t xml:space="preserve">10-20次</w:t>
            </w:r>
          </w:p>
        </w:tc>
        <w:tc>
          <w:tcPr/>
          <w:p>
            <w:pPr>
              <w:pStyle w:val="Compact"/>
              <w:jc w:val="left"/>
            </w:pPr>
            <w:r>
              <w:t xml:space="preserve">人机协作实证</w:t>
            </w:r>
            <w:fldSimple w:instr="NOTEREF _Ref_Footnote_92 \h \f">
              <w:r>
                <w:rPr>
                  <w:vertAlign w:val="superscript"/>
                </w:rPr>
                <w:t>92</w:t>
              </w:r>
            </w:fldSimple>
          </w:p>
        </w:tc>
      </w:tr>
      <w:tr>
        <w:tc>
          <w:tcPr/>
          <w:p>
            <w:pPr>
              <w:pStyle w:val="Compact"/>
              <w:jc w:val="left"/>
            </w:pPr>
            <w:r>
              <w:t xml:space="preserve">第四阶段：确认实验</w:t>
            </w:r>
          </w:p>
        </w:tc>
        <w:tc>
          <w:tcPr/>
          <w:p>
            <w:pPr>
              <w:pStyle w:val="Compact"/>
              <w:jc w:val="left"/>
            </w:pPr>
            <w:r>
              <w:t xml:space="preserve">最优点附近重复</w:t>
            </w:r>
          </w:p>
        </w:tc>
        <w:tc>
          <w:tcPr/>
          <w:p>
            <w:pPr>
              <w:pStyle w:val="Compact"/>
              <w:jc w:val="left"/>
            </w:pPr>
            <w:r>
              <w:t xml:space="preserve">验证预测可靠性</w:t>
            </w:r>
          </w:p>
        </w:tc>
        <w:tc>
          <w:tcPr/>
          <w:p>
            <w:pPr>
              <w:pStyle w:val="Compact"/>
              <w:jc w:val="left"/>
            </w:pPr>
            <w:r>
              <w:t xml:space="preserve">3-5次</w:t>
            </w:r>
          </w:p>
        </w:tc>
        <w:tc>
          <w:tcPr/>
          <w:p>
            <w:pPr>
              <w:pStyle w:val="Compact"/>
              <w:jc w:val="left"/>
            </w:pPr>
            <w:r>
              <w:t xml:space="preserve">统计功效≥80%</w:t>
            </w:r>
            <w:fldSimple w:instr="NOTEREF _Ref_Footnote_4 \h \f">
              <w:r>
                <w:rPr>
                  <w:vertAlign w:val="superscript"/>
                </w:rPr>
                <w:t>4</w:t>
              </w:r>
            </w:fldSimple>
          </w:p>
        </w:tc>
      </w:tr>
      <w:tr>
        <w:tc>
          <w:tcPr/>
          <w:p>
            <w:pPr>
              <w:pStyle w:val="Compact"/>
              <w:jc w:val="left"/>
            </w:pPr>
            <w:r>
              <w:t xml:space="preserve">备选：全周期MRBORI</w:t>
            </w:r>
          </w:p>
        </w:tc>
        <w:tc>
          <w:tcPr/>
          <w:p>
            <w:pPr>
              <w:pStyle w:val="Compact"/>
              <w:jc w:val="left"/>
            </w:pPr>
            <w:r>
              <w:t xml:space="preserve">多重启BO+随机初始化</w:t>
            </w:r>
          </w:p>
        </w:tc>
        <w:tc>
          <w:tcPr/>
          <w:p>
            <w:pPr>
              <w:pStyle w:val="Compact"/>
              <w:jc w:val="left"/>
            </w:pPr>
            <w:r>
              <w:t xml:space="preserve">全局最优保证</w:t>
            </w:r>
          </w:p>
        </w:tc>
        <w:tc>
          <w:tcPr/>
          <w:p>
            <w:pPr>
              <w:pStyle w:val="Compact"/>
              <w:jc w:val="left"/>
            </w:pPr>
            <w:r>
              <w:t xml:space="preserve">20-40次</w:t>
            </w:r>
          </w:p>
        </w:tc>
        <w:tc>
          <w:tcPr/>
          <w:p>
            <w:pPr>
              <w:pStyle w:val="Compact"/>
              <w:jc w:val="left"/>
            </w:pPr>
            <w:r>
              <w:t xml:space="preserve">遗漏概率指数衰减</w:t>
            </w:r>
            <w:fldSimple w:instr="NOTEREF _Ref_Footnote_90 \h \f">
              <w:r>
                <w:rPr>
                  <w:vertAlign w:val="superscript"/>
                </w:rPr>
                <w:t>90</w:t>
              </w:r>
            </w:fldSimple>
          </w:p>
        </w:tc>
      </w:tr>
    </w:tbl>
    <w:p>
      <w:pPr>
        <w:pStyle w:val="BodyText"/>
      </w:pPr>
      <w:r>
        <w:t xml:space="preserve">序贯DOE的核心价值在于将传统64-2048次运行的大规模实验压缩为总计40-70次的渐进序列。第四阶段的确认实验是统计上不可或缺的环节——仅当确认实验结果落入预测置信区间时，闭环方可宣告收敛。</w:t>
      </w:r>
    </w:p>
    <w:bookmarkEnd w:id="80"/>
    <w:bookmarkStart w:id="81" w:name="多目标约束优化"/>
    <w:p>
      <w:pPr>
        <w:pStyle w:val="Heading4"/>
      </w:pPr>
      <w:r>
        <w:t xml:space="preserve">6.1.3 多目标约束优化</w:t>
      </w:r>
    </w:p>
    <w:p>
      <w:pPr>
        <w:pStyle w:val="FirstParagraph"/>
      </w:pPr>
      <w:r>
        <w:t xml:space="preserve">蚀刻工艺需在多冲突目标间平衡：高蚀刻速率往往牺牲选择性和轮廓控制</w:t>
      </w:r>
      <w:fldSimple w:instr="NOTEREF _Ref_Footnote_89 \h \f">
        <w:r>
          <w:rPr>
            <w:vertAlign w:val="superscript"/>
          </w:rPr>
          <w:t>89</w:t>
        </w:r>
      </w:fldSimple>
      <w:r>
        <w:t xml:space="preserve">。</w:t>
      </w:r>
    </w:p>
    <w:p>
      <w:pPr>
        <w:pStyle w:val="BodyText"/>
      </w:pPr>
      <w:r>
        <w:rPr>
          <w:bCs/>
          <w:b/>
        </w:rPr>
        <w:t xml:space="preserve">Derringer-Suich期望函数法</w:t>
      </w:r>
      <w:r>
        <w:t xml:space="preserve">将各响应映射至</w:t>
      </w:r>
      <w:r>
        <w:t xml:space="preserve"> </w:t>
      </w:r>
      <m:oMath>
        <m:d>
          <m:dPr>
            <m:begChr m:val="["/>
            <m:endChr m:val="]"/>
            <m:sepChr m:val=""/>
            <m:grow/>
          </m:dPr>
          <m:e>
            <m:r>
              <m:t>0</m:t>
            </m:r>
            <m:r>
              <m:rPr>
                <m:sty m:val="p"/>
              </m:rPr>
              <m:t>,</m:t>
            </m:r>
            <m:r>
              <m:t>1</m:t>
            </m:r>
          </m:e>
        </m:d>
      </m:oMath>
      <w:r>
        <w:t xml:space="preserve"> </w:t>
      </w:r>
      <w:r>
        <w:t xml:space="preserve">区间的个体期望度</w:t>
      </w:r>
      <w:r>
        <w:t xml:space="preserve"> </w:t>
      </w:r>
      <m:oMath>
        <m:sSub>
          <m:e>
            <m:r>
              <m:t>d</m:t>
            </m:r>
          </m:e>
          <m:sub>
            <m:r>
              <m:t>i</m:t>
            </m:r>
          </m:sub>
        </m:sSub>
      </m:oMath>
      <w:r>
        <w:t xml:space="preserve">，以几何平均组合为总体期望度</w:t>
      </w:r>
      <w:r>
        <w:t xml:space="preserve"> </w:t>
      </w:r>
      <m:oMath>
        <m:r>
          <m:t>D</m:t>
        </m:r>
        <m:r>
          <m:rPr>
            <m:sty m:val="p"/>
          </m:rPr>
          <m:t>=</m:t>
        </m:r>
        <m:sSup>
          <m:e>
            <m:d>
              <m:dPr>
                <m:begChr m:val="("/>
                <m:endChr m:val=")"/>
                <m:sepChr m:val=""/>
                <m:grow/>
              </m:dPr>
              <m:e>
                <m:r>
                  <m:rPr>
                    <m:sty m:val="p"/>
                  </m:rPr>
                  <m:t>∏</m:t>
                </m:r>
                <m:sSub>
                  <m:e>
                    <m:r>
                      <m:t>d</m:t>
                    </m:r>
                  </m:e>
                  <m:sub>
                    <m:r>
                      <m:t>i</m:t>
                    </m:r>
                  </m:sub>
                </m:sSub>
              </m:e>
            </m:d>
          </m:e>
          <m:sup>
            <m:r>
              <m:t>1</m:t>
            </m:r>
            <m:r>
              <m:rPr>
                <m:sty m:val="p"/>
              </m:rPr>
              <m:t>/</m:t>
            </m:r>
            <m:r>
              <m:t>n</m:t>
            </m:r>
          </m:sup>
        </m:sSup>
      </m:oMath>
      <w:r>
        <w:rPr>
          <w:vertAlign w:val="superscript"/>
        </w:rPr>
        <w:footnoteReference w:id="93"/>
      </w:r>
      <w:r>
        <w:t xml:space="preserve">。DOE SubAgent支持三种期望度类型：望目特性（目标值型，如CD）、望大特性（如蚀刻速率）、望小特性（如表面粗糙度）</w:t>
      </w:r>
      <w:fldSimple w:instr="NOTEREF _Ref_Footnote_93 \h \f">
        <w:r>
          <w:rPr>
            <w:vertAlign w:val="superscript"/>
          </w:rPr>
          <w:t>93</w:t>
        </w:r>
      </w:fldSimple>
      <w:r>
        <w:t xml:space="preserve"> </w:t>
      </w:r>
      <w:r>
        <w:rPr>
          <w:vertAlign w:val="superscript"/>
        </w:rPr>
        <w:footnoteReference w:id="94"/>
      </w:r>
      <w:r>
        <w:t xml:space="preserve">。</w:t>
      </w:r>
      <w:r>
        <w:rPr>
          <w:bCs/>
          <w:b/>
        </w:rPr>
        <w:t xml:space="preserve">约束处理机制</w:t>
      </w:r>
      <w:r>
        <w:t xml:space="preserve">内嵌物理边界（温度范围、压力上限、气体流量总和），对不可行区域赋予零概率。</w:t>
      </w:r>
      <w:r>
        <w:rPr>
          <w:bCs/>
          <w:b/>
        </w:rPr>
        <w:t xml:space="preserve">多目标BO</w:t>
      </w:r>
      <w:r>
        <w:t xml:space="preserve">将MRBORI扩展至Pareto前沿搜索，识别非支配解集供工程师根据生产需求灵活选择。</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方法</w:t>
            </w:r>
          </w:p>
        </w:tc>
        <w:tc>
          <w:tcPr/>
          <w:p>
            <w:pPr>
              <w:pStyle w:val="Compact"/>
              <w:jc w:val="left"/>
            </w:pPr>
            <w:r>
              <w:t xml:space="preserve">优化策略</w:t>
            </w:r>
          </w:p>
        </w:tc>
        <w:tc>
          <w:tcPr/>
          <w:p>
            <w:pPr>
              <w:pStyle w:val="Compact"/>
              <w:jc w:val="left"/>
            </w:pPr>
            <w:r>
              <w:t xml:space="preserve">Pareto前沿</w:t>
            </w:r>
          </w:p>
        </w:tc>
        <w:tc>
          <w:tcPr/>
          <w:p>
            <w:pPr>
              <w:pStyle w:val="Compact"/>
              <w:jc w:val="left"/>
            </w:pPr>
            <w:r>
              <w:t xml:space="preserve">约束处理</w:t>
            </w:r>
          </w:p>
        </w:tc>
        <w:tc>
          <w:tcPr/>
          <w:p>
            <w:pPr>
              <w:pStyle w:val="Compact"/>
              <w:jc w:val="left"/>
            </w:pPr>
            <w:r>
              <w:t xml:space="preserve">适用场景</w:t>
            </w:r>
          </w:p>
        </w:tc>
        <w:tc>
          <w:tcPr/>
          <w:p>
            <w:pPr>
              <w:pStyle w:val="Compact"/>
              <w:jc w:val="left"/>
            </w:pPr>
            <w:r>
              <w:t xml:space="preserve">计算复杂度</w:t>
            </w:r>
          </w:p>
        </w:tc>
      </w:tr>
      <w:tr>
        <w:tc>
          <w:tcPr/>
          <w:p>
            <w:pPr>
              <w:pStyle w:val="Compact"/>
              <w:jc w:val="left"/>
            </w:pPr>
            <w:r>
              <w:t xml:space="preserve">Derringer-Suich期望函数</w:t>
            </w:r>
          </w:p>
        </w:tc>
        <w:tc>
          <w:tcPr/>
          <w:p>
            <w:pPr>
              <w:pStyle w:val="Compact"/>
              <w:jc w:val="left"/>
            </w:pPr>
            <w:r>
              <w:t xml:space="preserve">几何平均压缩为标量</w:t>
            </w:r>
          </w:p>
        </w:tc>
        <w:tc>
          <w:tcPr/>
          <w:p>
            <w:pPr>
              <w:pStyle w:val="Compact"/>
              <w:jc w:val="left"/>
            </w:pPr>
            <w:r>
              <w:t xml:space="preserve">间接（多起点扫描）</w:t>
            </w:r>
          </w:p>
        </w:tc>
        <w:tc>
          <w:tcPr/>
          <w:p>
            <w:pPr>
              <w:pStyle w:val="Compact"/>
              <w:jc w:val="left"/>
            </w:pPr>
            <m:oMath>
              <m:sSub>
                <m:e>
                  <m:r>
                    <m:t>d</m:t>
                  </m:r>
                </m:e>
                <m:sub>
                  <m:r>
                    <m:t>i</m:t>
                  </m:r>
                </m:sub>
              </m:sSub>
              <m:r>
                <m:rPr>
                  <m:sty m:val="p"/>
                </m:rPr>
                <m:t>=</m:t>
              </m:r>
              <m:r>
                <m:t>0</m:t>
              </m:r>
            </m:oMath>
            <w:r>
              <w:t xml:space="preserve">处理硬约束</w:t>
            </w:r>
          </w:p>
        </w:tc>
        <w:tc>
          <w:tcPr/>
          <w:p>
            <w:pPr>
              <w:pStyle w:val="Compact"/>
              <w:jc w:val="left"/>
            </w:pPr>
            <w:r>
              <w:t xml:space="preserve">2-4响应、权重已知</w:t>
            </w:r>
          </w:p>
        </w:tc>
        <w:tc>
          <w:tcPr/>
          <w:p>
            <w:pPr>
              <w:pStyle w:val="Compact"/>
              <w:jc w:val="left"/>
            </w:pPr>
            <w:r>
              <w:t xml:space="preserve">低</w:t>
            </w:r>
            <w:fldSimple w:instr="NOTEREF _Ref_Footnote_93 \h \f">
              <w:r>
                <w:rPr>
                  <w:vertAlign w:val="superscript"/>
                </w:rPr>
                <w:t>93</w:t>
              </w:r>
            </w:fldSimple>
          </w:p>
        </w:tc>
      </w:tr>
      <w:tr>
        <w:tc>
          <w:tcPr/>
          <w:p>
            <w:pPr>
              <w:pStyle w:val="Compact"/>
              <w:jc w:val="left"/>
            </w:pPr>
            <w:r>
              <w:t xml:space="preserve">多目标BO（Pareto-EI）</w:t>
            </w:r>
          </w:p>
        </w:tc>
        <w:tc>
          <w:tcPr/>
          <w:p>
            <w:pPr>
              <w:pStyle w:val="Compact"/>
              <w:jc w:val="left"/>
            </w:pPr>
            <w:r>
              <w:t xml:space="preserve">超体积改进最大化</w:t>
            </w:r>
          </w:p>
        </w:tc>
        <w:tc>
          <w:tcPr/>
          <w:p>
            <w:pPr>
              <w:pStyle w:val="Compact"/>
              <w:jc w:val="left"/>
            </w:pPr>
            <w:r>
              <w:t xml:space="preserve">直接输出非支配集</w:t>
            </w:r>
          </w:p>
        </w:tc>
        <w:tc>
          <w:tcPr/>
          <w:p>
            <w:pPr>
              <w:pStyle w:val="Compact"/>
              <w:jc w:val="left"/>
            </w:pPr>
            <w:r>
              <w:t xml:space="preserve">支持约束GP</w:t>
            </w:r>
          </w:p>
        </w:tc>
        <w:tc>
          <w:tcPr/>
          <w:p>
            <w:pPr>
              <w:pStyle w:val="Compact"/>
              <w:jc w:val="left"/>
            </w:pPr>
            <w:r>
              <w:t xml:space="preserve">3+响应、权衡待探索</w:t>
            </w:r>
          </w:p>
        </w:tc>
        <w:tc>
          <w:tcPr/>
          <w:p>
            <w:pPr>
              <w:pStyle w:val="Compact"/>
              <w:jc w:val="left"/>
            </w:pPr>
            <w:r>
              <w:t xml:space="preserve">高</w:t>
            </w:r>
            <w:fldSimple w:instr="NOTEREF _Ref_Footnote_89 \h \f">
              <w:r>
                <w:rPr>
                  <w:vertAlign w:val="superscript"/>
                </w:rPr>
                <w:t>89</w:t>
              </w:r>
            </w:fldSimple>
          </w:p>
        </w:tc>
      </w:tr>
      <w:tr>
        <w:tc>
          <w:tcPr/>
          <w:p>
            <w:pPr>
              <w:pStyle w:val="Compact"/>
              <w:jc w:val="left"/>
            </w:pPr>
            <w:r>
              <w:t xml:space="preserve">MRBORI多目标扩展</w:t>
            </w:r>
          </w:p>
        </w:tc>
        <w:tc>
          <w:tcPr/>
          <w:p>
            <w:pPr>
              <w:pStyle w:val="Compact"/>
              <w:jc w:val="left"/>
            </w:pPr>
            <w:r>
              <w:t xml:space="preserve">N次重启+非支配排序</w:t>
            </w:r>
          </w:p>
        </w:tc>
        <w:tc>
          <w:tcPr/>
          <w:p>
            <w:pPr>
              <w:pStyle w:val="Compact"/>
              <w:jc w:val="left"/>
            </w:pPr>
            <w:r>
              <w:t xml:space="preserve">多重启合并前沿</w:t>
            </w:r>
          </w:p>
        </w:tc>
        <w:tc>
          <w:tcPr/>
          <w:p>
            <w:pPr>
              <w:pStyle w:val="Compact"/>
              <w:jc w:val="left"/>
            </w:pPr>
            <w:r>
              <w:t xml:space="preserve">惩罚函数法</w:t>
            </w:r>
          </w:p>
        </w:tc>
        <w:tc>
          <w:tcPr/>
          <w:p>
            <w:pPr>
              <w:pStyle w:val="Compact"/>
              <w:jc w:val="left"/>
            </w:pPr>
            <w:r>
              <w:t xml:space="preserve">高维空间、防局部最优</w:t>
            </w:r>
          </w:p>
        </w:tc>
        <w:tc>
          <w:tcPr/>
          <w:p>
            <w:pPr>
              <w:pStyle w:val="Compact"/>
              <w:jc w:val="left"/>
            </w:pPr>
            <w:r>
              <w:t xml:space="preserve">中-高</w:t>
            </w:r>
            <w:fldSimple w:instr="NOTEREF _Ref_Footnote_90 \h \f">
              <w:r>
                <w:rPr>
                  <w:vertAlign w:val="superscript"/>
                </w:rPr>
                <w:t>90</w:t>
              </w:r>
            </w:fldSimple>
          </w:p>
        </w:tc>
      </w:tr>
      <w:tr>
        <w:tc>
          <w:tcPr/>
          <w:p>
            <w:pPr>
              <w:pStyle w:val="Compact"/>
              <w:jc w:val="left"/>
            </w:pPr>
            <w:r>
              <w:t xml:space="preserve">田口综合平衡法</w:t>
            </w:r>
          </w:p>
        </w:tc>
        <w:tc>
          <w:tcPr/>
          <w:p>
            <w:pPr>
              <w:pStyle w:val="Compact"/>
              <w:jc w:val="left"/>
            </w:pPr>
            <w:r>
              <w:t xml:space="preserve">信噪比加权</w:t>
            </w:r>
          </w:p>
        </w:tc>
        <w:tc>
          <w:tcPr/>
          <w:p>
            <w:pPr>
              <w:pStyle w:val="Compact"/>
              <w:jc w:val="left"/>
            </w:pPr>
            <w:r>
              <w:t xml:space="preserve">无</w:t>
            </w:r>
          </w:p>
        </w:tc>
        <w:tc>
          <w:tcPr/>
          <w:p>
            <w:pPr>
              <w:pStyle w:val="Compact"/>
              <w:jc w:val="left"/>
            </w:pPr>
            <w:r>
              <w:t xml:space="preserve">水平离散化间接处理</w:t>
            </w:r>
          </w:p>
        </w:tc>
        <w:tc>
          <w:tcPr/>
          <w:p>
            <w:pPr>
              <w:pStyle w:val="Compact"/>
              <w:jc w:val="left"/>
            </w:pPr>
            <w:r>
              <w:t xml:space="preserve">离散参数、稳健性优先</w:t>
            </w:r>
          </w:p>
        </w:tc>
        <w:tc>
          <w:tcPr/>
          <w:p>
            <w:pPr>
              <w:pStyle w:val="Compact"/>
              <w:jc w:val="left"/>
            </w:pPr>
            <w:r>
              <w:t xml:space="preserve">低</w:t>
            </w:r>
            <w:r>
              <w:rPr>
                <w:vertAlign w:val="superscript"/>
              </w:rPr>
              <w:footnoteReference w:id="95"/>
            </w:r>
          </w:p>
        </w:tc>
      </w:tr>
    </w:tbl>
    <w:p>
      <w:pPr>
        <w:pStyle w:val="BodyText"/>
      </w:pPr>
      <w:r>
        <w:t xml:space="preserve">对于蚀刻最常见的双目标或三目标优化（蚀刻速率+选择性+均匀性），Derringer-Suich因计算效率和结果直观性通常为首选；目标数≥4时多目标BO的直接Pareto搜索更具优势。</w:t>
      </w:r>
    </w:p>
    <w:bookmarkEnd w:id="81"/>
    <w:bookmarkStart w:id="82" w:name="虚拟doevdoe"/>
    <w:p>
      <w:pPr>
        <w:pStyle w:val="Heading4"/>
      </w:pPr>
      <w:r>
        <w:t xml:space="preserve">6.1.4 虚拟DOE（vDOE）</w:t>
      </w:r>
    </w:p>
    <w:p>
      <w:pPr>
        <w:pStyle w:val="FirstParagraph"/>
      </w:pPr>
      <w:r>
        <w:t xml:space="preserve">虚拟DOE通过数字孪生集成形成”虚拟预筛选→物理确认”的混合策略</w:t>
      </w:r>
      <w:r>
        <w:rPr>
          <w:vertAlign w:val="superscript"/>
        </w:rPr>
        <w:footnoteReference w:id="96"/>
      </w:r>
      <w:r>
        <w:t xml:space="preserve"> </w:t>
      </w:r>
      <w:r>
        <w:rPr>
          <w:vertAlign w:val="superscript"/>
        </w:rPr>
        <w:footnoteReference w:id="97"/>
      </w:r>
      <w:r>
        <w:t xml:space="preserve">。SEMulator3D已成功应用vDOE优化钨填充工艺，通过虚拟实验消除空洞后再执行硅验证</w:t>
      </w:r>
      <w:fldSimple w:instr="NOTEREF _Ref_Footnote_96 \h \f">
        <w:r>
          <w:rPr>
            <w:vertAlign w:val="superscript"/>
          </w:rPr>
          <w:t>96</w:t>
        </w:r>
      </w:fldSimple>
      <w:r>
        <w:t xml:space="preserve">。DOE SubAgent的vDOE层包含三个模块：</w:t>
      </w:r>
      <w:r>
        <w:rPr>
          <w:bCs/>
          <w:b/>
        </w:rPr>
        <w:t xml:space="preserve">仿真调用接口</w:t>
      </w:r>
      <w:r>
        <w:t xml:space="preserve">将设计方案发送至仿真Agent获取预测响应；</w:t>
      </w:r>
      <w:r>
        <w:rPr>
          <w:bCs/>
          <w:b/>
        </w:rPr>
        <w:t xml:space="preserve">虚实数据融合</w:t>
      </w:r>
      <w:r>
        <w:t xml:space="preserve">将虚拟数据作为GP先验均值、物理实验数据校正偏差；</w:t>
      </w:r>
      <w:r>
        <w:rPr>
          <w:bCs/>
          <w:b/>
        </w:rPr>
        <w:t xml:space="preserve">资源分配优化</w:t>
      </w:r>
      <w:r>
        <w:t xml:space="preserve">根据仿真可信度动态调整虚拟与物理实验的预算比例。</w:t>
      </w:r>
    </w:p>
    <w:bookmarkEnd w:id="82"/>
    <w:bookmarkEnd w:id="83"/>
    <w:bookmarkStart w:id="86" w:name="输入输出规范-4"/>
    <w:p>
      <w:pPr>
        <w:pStyle w:val="Heading3"/>
      </w:pPr>
      <w:r>
        <w:t xml:space="preserve">6.2 输入输出规范</w:t>
      </w:r>
    </w:p>
    <w:bookmarkStart w:id="84" w:name="输入json-schema-4"/>
    <w:p>
      <w:pPr>
        <w:pStyle w:val="Heading4"/>
      </w:pPr>
      <w:r>
        <w:t xml:space="preserve">6.2.1 输入JSON Schema</w:t>
      </w:r>
    </w:p>
    <w:p>
      <w:pPr>
        <w:pStyle w:val="FirstParagraph"/>
      </w:pPr>
      <w:r>
        <w:t xml:space="preserve">输入需包含完整实验上下文以支持Agent自主决策。</w:t>
      </w:r>
      <w:r>
        <w:rPr>
          <w:bCs/>
          <w:b/>
        </w:rPr>
        <w:t xml:space="preserve">工艺上下文</w:t>
      </w:r>
      <w:r>
        <w:t xml:space="preserve">（</w:t>
      </w:r>
      <w:r>
        <w:rPr>
          <w:rStyle w:val="VerbatimChar"/>
        </w:rPr>
        <w:t xml:space="preserve">process_context</w:t>
      </w:r>
      <w:r>
        <w:t xml:space="preserve">）指定蚀刻类型（ICP-RIE/DRIE/ALE等）、材料体系和优化目标，</w:t>
      </w:r>
      <w:r>
        <w:rPr>
          <w:rStyle w:val="VerbatimChar"/>
        </w:rPr>
        <w:t xml:space="preserve">experiment_budget</w:t>
      </w:r>
      <w:r>
        <w:t xml:space="preserve">是设计类型选择的最关键约束——预算&lt;15次时强制路由至D-最优设计或序贯贝叶斯策略</w:t>
      </w:r>
      <w:fldSimple w:instr="NOTEREF _Ref_Footnote_4 \h \f">
        <w:r>
          <w:rPr>
            <w:vertAlign w:val="superscript"/>
          </w:rPr>
          <w:t>4</w:t>
        </w:r>
      </w:fldSimple>
      <w:r>
        <w:t xml:space="preserve">。</w:t>
      </w:r>
      <w:r>
        <w:rPr>
          <w:bCs/>
          <w:b/>
        </w:rPr>
        <w:t xml:space="preserve">因子定义</w:t>
      </w:r>
      <w:r>
        <w:t xml:space="preserve">（</w:t>
      </w:r>
      <w:r>
        <w:rPr>
          <w:rStyle w:val="VerbatimChar"/>
        </w:rPr>
        <w:t xml:space="preserve">factors</w:t>
      </w:r>
      <w:r>
        <w:t xml:space="preserve">）数组要求声明类型（连续/分类/混合物组分）、水平范围与约束；混合物须指定</w:t>
      </w:r>
      <w:r>
        <w:t xml:space="preserve"> </w:t>
      </w:r>
      <w:r>
        <w:rPr>
          <w:rStyle w:val="VerbatimChar"/>
        </w:rPr>
        <w:t xml:space="preserve">sum_constraint</w:t>
      </w:r>
      <w:r>
        <w:t xml:space="preserve">（如总流量650 sccm），Agent据此自动调用混合设计</w:t>
      </w:r>
      <w:fldSimple w:instr="NOTEREF _Ref_Footnote_87 \h \f">
        <w:r>
          <w:rPr>
            <w:vertAlign w:val="superscript"/>
          </w:rPr>
          <w:t>87</w:t>
        </w:r>
      </w:fldSimple>
      <w:r>
        <w:t xml:space="preserve">。</w:t>
      </w:r>
      <w:r>
        <w:rPr>
          <w:bCs/>
          <w:b/>
        </w:rPr>
        <w:t xml:space="preserve">响应定义</w:t>
      </w:r>
      <w:r>
        <w:t xml:space="preserve">（</w:t>
      </w:r>
      <w:r>
        <w:rPr>
          <w:rStyle w:val="VerbatimChar"/>
        </w:rPr>
        <w:t xml:space="preserve">responses</w:t>
      </w:r>
      <w:r>
        <w:t xml:space="preserve">）指定优化方向、边界与权重</w:t>
      </w:r>
      <w:fldSimple w:instr="NOTEREF _Ref_Footnote_93 \h \f">
        <w:r>
          <w:rPr>
            <w:vertAlign w:val="superscript"/>
          </w:rPr>
          <w:t>93</w:t>
        </w:r>
      </w:fldSimple>
      <w:r>
        <w:t xml:space="preserve">。</w:t>
      </w:r>
      <w:r>
        <w:rPr>
          <w:bCs/>
          <w:b/>
        </w:rPr>
        <w:t xml:space="preserve">先验知识</w:t>
      </w:r>
      <w:r>
        <w:t xml:space="preserve">（</w:t>
      </w:r>
      <w:r>
        <w:rPr>
          <w:rStyle w:val="VerbatimChar"/>
        </w:rPr>
        <w:t xml:space="preserve">prior_knowledge</w:t>
      </w:r>
      <w:r>
        <w:t xml:space="preserve">）为可选字段，含历史数据和专家经验，用于引导GP先验或约束D-最优候选点集</w:t>
      </w:r>
      <w:fldSimple w:instr="NOTEREF _Ref_Footnote_5 \h \f">
        <w:r>
          <w:rPr>
            <w:vertAlign w:val="superscript"/>
          </w:rPr>
          <w:t>5</w:t>
        </w:r>
      </w:fldSimple>
      <w:r>
        <w:t xml:space="preserve">。</w:t>
      </w:r>
    </w:p>
    <w:bookmarkEnd w:id="84"/>
    <w:bookmarkStart w:id="85" w:name="输出json-schema-4"/>
    <w:p>
      <w:pPr>
        <w:pStyle w:val="Heading4"/>
      </w:pPr>
      <w:r>
        <w:t xml:space="preserve">6.2.2 输出JSON Schema</w:t>
      </w:r>
    </w:p>
    <w:p>
      <w:pPr>
        <w:pStyle w:val="FirstParagraph"/>
      </w:pPr>
      <w:r>
        <w:t xml:space="preserve">输出以结构化JSON返回完整方案。</w:t>
      </w:r>
      <w:r>
        <w:rPr>
          <w:bCs/>
          <w:b/>
        </w:rPr>
        <w:t xml:space="preserve">设计方案摘要</w:t>
      </w:r>
      <w:r>
        <w:t xml:space="preserve">（</w:t>
      </w:r>
      <w:r>
        <w:rPr>
          <w:rStyle w:val="VerbatimChar"/>
        </w:rPr>
        <w:t xml:space="preserve">design_summary</w:t>
      </w:r>
      <w:r>
        <w:t xml:space="preserve">）含设计类型、总运行次数、D-效率和别名结构，</w:t>
      </w:r>
      <w:r>
        <w:rPr>
          <w:rStyle w:val="VerbatimChar"/>
        </w:rPr>
        <w:t xml:space="preserve">power_analysis</w:t>
      </w:r>
      <w:r>
        <w:t xml:space="preserve">给出预期统计功效</w:t>
      </w:r>
      <w:fldSimple w:instr="NOTEREF _Ref_Footnote_4 \h \f">
        <w:r>
          <w:rPr>
            <w:vertAlign w:val="superscript"/>
          </w:rPr>
          <w:t>4</w:t>
        </w:r>
      </w:fldSimple>
      <w:r>
        <w:t xml:space="preserve">。</w:t>
      </w:r>
      <w:r>
        <w:rPr>
          <w:bCs/>
          <w:b/>
        </w:rPr>
        <w:t xml:space="preserve">设计矩阵</w:t>
      </w:r>
      <w:r>
        <w:t xml:space="preserve">（</w:t>
      </w:r>
      <w:r>
        <w:rPr>
          <w:rStyle w:val="VerbatimChar"/>
        </w:rPr>
        <w:t xml:space="preserve">design_matrix</w:t>
      </w:r>
      <w:r>
        <w:t xml:space="preserve">）给出每轮实验的因子设置与随机化执行顺序，随机化是减少系统性偏差的基本原则</w:t>
      </w:r>
      <w:fldSimple w:instr="NOTEREF _Ref_Footnote_4 \h \f">
        <w:r>
          <w:rPr>
            <w:vertAlign w:val="superscript"/>
          </w:rPr>
          <w:t>4</w:t>
        </w:r>
      </w:fldSimple>
      <w:r>
        <w:t xml:space="preserve">。</w:t>
      </w:r>
      <w:r>
        <w:rPr>
          <w:bCs/>
          <w:b/>
        </w:rPr>
        <w:t xml:space="preserve">分析计划</w:t>
      </w:r>
      <w:r>
        <w:t xml:space="preserve">（</w:t>
      </w:r>
      <w:r>
        <w:rPr>
          <w:rStyle w:val="VerbatimChar"/>
        </w:rPr>
        <w:t xml:space="preserve">analysis_plan</w:t>
      </w:r>
      <w:r>
        <w:t xml:space="preserve">）预定义回归拟合、ANOVA、失拟检验和残差诊断的步骤与显著性水平</w:t>
      </w:r>
      <w:fldSimple w:instr="NOTEREF _Ref_Footnote_93 \h \f">
        <w:r>
          <w:rPr>
            <w:vertAlign w:val="superscript"/>
          </w:rPr>
          <w:t>93</w:t>
        </w:r>
      </w:fldSimple>
      <w:r>
        <w:t xml:space="preserve">。</w:t>
      </w:r>
      <w:r>
        <w:rPr>
          <w:bCs/>
          <w:b/>
        </w:rPr>
        <w:t xml:space="preserve">优化结果</w:t>
      </w:r>
      <w:r>
        <w:t xml:space="preserve">（</w:t>
      </w:r>
      <w:r>
        <w:rPr>
          <w:rStyle w:val="VerbatimChar"/>
        </w:rPr>
        <w:t xml:space="preserve">optimization_result</w:t>
      </w:r>
      <w:r>
        <w:t xml:space="preserve">）含最优参数组合、预测响应与置信区间，多响应场景返回期望度评分</w:t>
      </w:r>
      <w:r>
        <w:t xml:space="preserve"> </w:t>
      </w:r>
      <m:oMath>
        <m:r>
          <m:t>D</m:t>
        </m:r>
        <m:r>
          <m:rPr>
            <m:sty m:val="p"/>
          </m:rPr>
          <m:t>∈</m:t>
        </m:r>
        <m:d>
          <m:dPr>
            <m:begChr m:val="["/>
            <m:endChr m:val="]"/>
            <m:sepChr m:val=""/>
            <m:grow/>
          </m:dPr>
          <m:e>
            <m:r>
              <m:t>0</m:t>
            </m:r>
            <m:r>
              <m:rPr>
                <m:sty m:val="p"/>
              </m:rPr>
              <m:t>,</m:t>
            </m:r>
            <m:r>
              <m:t>1</m:t>
            </m:r>
          </m:e>
        </m:d>
      </m:oMath>
      <w:fldSimple w:instr="NOTEREF _Ref_Footnote_93 \h \f">
        <w:r>
          <w:rPr>
            <w:vertAlign w:val="superscript"/>
          </w:rPr>
          <w:t>93</w:t>
        </w:r>
      </w:fldSimple>
      <w:r>
        <w:t xml:space="preserve">。</w:t>
      </w:r>
      <w:r>
        <w:rPr>
          <w:bCs/>
          <w:b/>
        </w:rPr>
        <w:t xml:space="preserve">可视化输出</w:t>
      </w:r>
      <w:r>
        <w:t xml:space="preserve">提供Pareto图、等高线图和优化路径图。</w:t>
      </w:r>
    </w:p>
    <w:bookmarkEnd w:id="85"/>
    <w:bookmarkEnd w:id="86"/>
    <w:bookmarkStart w:id="90" w:name="触发条件与协作关系-4"/>
    <w:p>
      <w:pPr>
        <w:pStyle w:val="Heading3"/>
      </w:pPr>
      <w:r>
        <w:t xml:space="preserve">6.3 触发条件与协作关系</w:t>
      </w:r>
    </w:p>
    <w:bookmarkStart w:id="87" w:name="触发条件-4"/>
    <w:p>
      <w:pPr>
        <w:pStyle w:val="Heading4"/>
      </w:pPr>
      <w:r>
        <w:t xml:space="preserve">6.3.1 触发条件</w:t>
      </w:r>
    </w:p>
    <w:p>
      <w:pPr>
        <w:pStyle w:val="FirstParagraph"/>
      </w:pPr>
      <w:r>
        <w:t xml:space="preserve">DOE SubAgent触发遵循”场景-优先级”双维度模型。</w:t>
      </w:r>
      <w:r>
        <w:rPr>
          <w:bCs/>
          <w:b/>
        </w:rPr>
        <w:t xml:space="preserve">自动触发</w:t>
      </w:r>
      <w:r>
        <w:t xml:space="preserve">：P0级——新蚀刻工艺开发启动时作为主Agent首批激活对象</w:t>
      </w:r>
      <w:fldSimple w:instr="NOTEREF _Ref_Footnote_4 \h \f">
        <w:r>
          <w:rPr>
            <w:vertAlign w:val="superscript"/>
          </w:rPr>
          <w:t>4</w:t>
        </w:r>
      </w:fldSimple>
      <w:r>
        <w:t xml:space="preserve">；P1级——多目标优化需求（≥3响应）或实验预算&lt;30次</w:t>
      </w:r>
      <w:fldSimple w:instr="NOTEREF _Ref_Footnote_4 \h \f">
        <w:r>
          <w:rPr>
            <w:vertAlign w:val="superscript"/>
          </w:rPr>
          <w:t>4</w:t>
        </w:r>
      </w:fldSimple>
      <w:r>
        <w:t xml:space="preserve"> </w:t>
      </w:r>
      <w:fldSimple w:instr="NOTEREF _Ref_Footnote_93 \h \f">
        <w:r>
          <w:rPr>
            <w:vertAlign w:val="superscript"/>
          </w:rPr>
          <w:t>93</w:t>
        </w:r>
      </w:fldSimple>
      <w:r>
        <w:t xml:space="preserve">；P2级——工艺窗口偏移需补偿性DOE。</w:t>
      </w:r>
      <w:r>
        <w:rPr>
          <w:bCs/>
          <w:b/>
        </w:rPr>
        <w:t xml:space="preserve">人工触发</w:t>
      </w:r>
      <w:r>
        <w:t xml:space="preserve">：工程师提交DOE任务、请求历史数据重分析或”最小实验量”优化。</w:t>
      </w:r>
      <w:r>
        <w:rPr>
          <w:bCs/>
          <w:b/>
        </w:rPr>
        <w:t xml:space="preserve">不触发路由</w:t>
      </w:r>
      <w:r>
        <w:t xml:space="preserve">：纯数据分析→数据预测Agent；实时控制→监控Agent；物理机理建模→仿真Agent。</w:t>
      </w:r>
    </w:p>
    <w:bookmarkEnd w:id="87"/>
    <w:bookmarkStart w:id="88" w:name="上游依赖-3"/>
    <w:p>
      <w:pPr>
        <w:pStyle w:val="Heading4"/>
      </w:pPr>
      <w:r>
        <w:t xml:space="preserve">6.3.2 上游依赖</w:t>
      </w:r>
    </w:p>
    <w:p>
      <w:pPr>
        <w:pStyle w:val="FirstParagraph"/>
      </w:pPr>
      <w:r>
        <w:t xml:space="preserve">DOE SubAgent依赖三个上游输入：</w:t>
      </w:r>
      <w:r>
        <w:rPr>
          <w:bCs/>
          <w:b/>
        </w:rPr>
        <w:t xml:space="preserve">仿真Agent</w:t>
      </w:r>
      <w:r>
        <w:t xml:space="preserve">在vDOE模式下提供虚拟实验数据及置信度指标，构成贝叶斯先验</w:t>
      </w:r>
      <w:fldSimple w:instr="NOTEREF _Ref_Footnote_96 \h \f">
        <w:r>
          <w:rPr>
            <w:vertAlign w:val="superscript"/>
          </w:rPr>
          <w:t>96</w:t>
        </w:r>
      </w:fldSimple>
      <w:r>
        <w:t xml:space="preserve">；</w:t>
      </w:r>
      <w:r>
        <w:rPr>
          <w:bCs/>
          <w:b/>
        </w:rPr>
        <w:t xml:space="preserve">RCP Agent</w:t>
      </w:r>
      <w:r>
        <w:t xml:space="preserve">提供候选参数集与可行范围，Agent验证范围是否覆盖足够响应变化区间后反馈扩展请求</w:t>
      </w:r>
      <w:fldSimple w:instr="NOTEREF _Ref_Footnote_4 \h \f">
        <w:r>
          <w:rPr>
            <w:vertAlign w:val="superscript"/>
          </w:rPr>
          <w:t>4</w:t>
        </w:r>
      </w:fldSimple>
      <w:r>
        <w:t xml:space="preserve">；</w:t>
      </w:r>
      <w:r>
        <w:rPr>
          <w:bCs/>
          <w:b/>
        </w:rPr>
        <w:t xml:space="preserve">文献Agent</w:t>
      </w:r>
      <w:r>
        <w:t xml:space="preserve">提供相似工艺的历史DOE数据作为先验知识，显著减少冷启动阶段实验次数</w:t>
      </w:r>
      <w:fldSimple w:instr="NOTEREF _Ref_Footnote_5 \h \f">
        <w:r>
          <w:rPr>
            <w:vertAlign w:val="superscript"/>
          </w:rPr>
          <w:t>5</w:t>
        </w:r>
      </w:fldSimple>
      <w:r>
        <w:t xml:space="preserve">。</w:t>
      </w:r>
    </w:p>
    <w:bookmarkEnd w:id="88"/>
    <w:bookmarkStart w:id="89" w:name="下游贡献-3"/>
    <w:p>
      <w:pPr>
        <w:pStyle w:val="Heading4"/>
      </w:pPr>
      <w:r>
        <w:t xml:space="preserve">6.3.3 下游贡献</w:t>
      </w:r>
    </w:p>
    <w:p>
      <w:pPr>
        <w:pStyle w:val="FirstParagraph"/>
      </w:pPr>
      <w:r>
        <w:t xml:space="preserve">输出流向三个下游Agent：</w:t>
      </w:r>
      <w:r>
        <w:rPr>
          <w:bCs/>
          <w:b/>
        </w:rPr>
        <w:t xml:space="preserve">数据Agent</w:t>
      </w:r>
      <w:r>
        <w:t xml:space="preserve">接收设计矩阵和分析计划，运行表定义数据收集格式，实验数据回流驱动模型更新</w:t>
      </w:r>
      <w:fldSimple w:instr="NOTEREF _Ref_Footnote_89 \h \f">
        <w:r>
          <w:rPr>
            <w:vertAlign w:val="superscript"/>
          </w:rPr>
          <w:t>89</w:t>
        </w:r>
      </w:fldSimple>
      <w:r>
        <w:t xml:space="preserve">；</w:t>
      </w:r>
      <w:r>
        <w:rPr>
          <w:bCs/>
          <w:b/>
        </w:rPr>
        <w:t xml:space="preserve">蓝军Agent</w:t>
      </w:r>
      <w:r>
        <w:t xml:space="preserve">在每次方案执行前进行质量门禁审查，评估统计充分性与收敛风险</w:t>
      </w:r>
      <w:fldSimple w:instr="NOTEREF _Ref_Footnote_91 \h \f">
        <w:r>
          <w:rPr>
            <w:vertAlign w:val="superscript"/>
          </w:rPr>
          <w:t>91</w:t>
        </w:r>
      </w:fldSimple>
      <w:r>
        <w:t xml:space="preserve">；</w:t>
      </w:r>
      <w:r>
        <w:rPr>
          <w:bCs/>
          <w:b/>
        </w:rPr>
        <w:t xml:space="preserve">人机协作接口</w:t>
      </w:r>
      <w:r>
        <w:t xml:space="preserve">将统计设计转化为工程师可理解的执行清单与可视化输出，支持”人类优先-计算机收尾”模式下的工程师介入</w:t>
      </w:r>
      <w:fldSimple w:instr="NOTEREF _Ref_Footnote_92 \h \f">
        <w:r>
          <w:rPr>
            <w:vertAlign w:val="superscript"/>
          </w:rPr>
          <w:t>92</w:t>
        </w:r>
      </w:fldSimple>
      <w:r>
        <w:t xml:space="preserve">。上述协作依赖DOE SubAgent内部的</w:t>
      </w:r>
      <w:r>
        <w:rPr>
          <w:bCs/>
          <w:b/>
        </w:rPr>
        <w:t xml:space="preserve">状态机管理机制</w:t>
      </w:r>
      <w:r>
        <w:t xml:space="preserve">：每次序贯迭代后更新全局状态（当前最优参数、剩余预算、收敛判定），自动触发下游工作流或向上游请求补充信息，直至确认实验验证通过或预算耗尽。</w:t>
      </w:r>
    </w:p>
    <w:bookmarkEnd w:id="89"/>
    <w:bookmarkEnd w:id="90"/>
    <w:bookmarkEnd w:id="91"/>
    <w:bookmarkStart w:id="104" w:name="蓝军review-批判subagent"/>
    <w:p>
      <w:pPr>
        <w:pStyle w:val="Heading2"/>
      </w:pPr>
      <w:r>
        <w:t xml:space="preserve">7. 蓝军（Review &amp; 批判）SubAgent</w:t>
      </w:r>
    </w:p>
    <w:bookmarkStart w:id="96" w:name="技术能力设计-5"/>
    <w:p>
      <w:pPr>
        <w:pStyle w:val="Heading3"/>
      </w:pPr>
      <w:r>
        <w:t xml:space="preserve">7.1 技术能力设计</w:t>
      </w:r>
    </w:p>
    <w:p>
      <w:pPr>
        <w:pStyle w:val="FirstParagraph"/>
      </w:pPr>
      <w:r>
        <w:t xml:space="preserve">蓝军SubAgent的职能根植于Red Team/Blue Team方法论。NIST将红队定义为”被授权模拟潜在对手攻击能力的一组人员”</w:t>
      </w:r>
      <w:r>
        <w:rPr>
          <w:vertAlign w:val="superscript"/>
        </w:rPr>
        <w:footnoteReference w:id="98"/>
      </w:r>
      <w:r>
        <w:t xml:space="preserve">，蓝队则从防御者视角专注于检测和响应威胁</w:t>
      </w:r>
      <w:r>
        <w:rPr>
          <w:vertAlign w:val="superscript"/>
        </w:rPr>
        <w:footnoteReference w:id="99"/>
      </w:r>
      <w:r>
        <w:t xml:space="preserve">。在蚀刻工艺语境下，蓝军的目标转化为识别方案中的逻辑缺陷、假设偏差与风险盲点。HAAF框架提出的”红队探测暴露漏洞→蓝队加固干预→重新评估验证”迭代循环</w:t>
      </w:r>
      <w:r>
        <w:rPr>
          <w:vertAlign w:val="superscript"/>
        </w:rPr>
        <w:footnoteReference w:id="100"/>
      </w:r>
      <w:r>
        <w:t xml:space="preserve">，为蓝军能力设计提供了工程框架。蓝军的审查效能通过检测平均时间（MTTD）、响应平均时间（MTTR）以及错误方案拦截率</w:t>
      </w:r>
      <w:fldSimple w:instr="NOTEREF _Ref_Footnote_99 \h \f">
        <w:r>
          <w:rPr>
            <w:vertAlign w:val="superscript"/>
          </w:rPr>
          <w:t>99</w:t>
        </w:r>
      </w:fldSimple>
      <w:r>
        <w:t xml:space="preserve">三类指标量化。</w:t>
      </w:r>
    </w:p>
    <w:bookmarkStart w:id="92" w:name="逻辑一致性检查"/>
    <w:p>
      <w:pPr>
        <w:pStyle w:val="Heading4"/>
      </w:pPr>
      <w:r>
        <w:t xml:space="preserve">7.1.1 逻辑一致性检查</w:t>
      </w:r>
    </w:p>
    <w:p>
      <w:pPr>
        <w:pStyle w:val="FirstParagraph"/>
      </w:pPr>
      <w:r>
        <w:t xml:space="preserve">逻辑一致性检查包含四个层级。</w:t>
      </w:r>
      <w:r>
        <w:rPr>
          <w:bCs/>
          <w:b/>
        </w:rPr>
        <w:t xml:space="preserve">推理链验证</w:t>
      </w:r>
      <w:r>
        <w:t xml:space="preserve">（P0）检查上游Agent方案的逻辑链条完整性，通过反向约束验证确保与生成路径的偏差独立性</w:t>
      </w:r>
      <w:r>
        <w:rPr>
          <w:vertAlign w:val="superscript"/>
        </w:rPr>
        <w:footnoteReference w:id="101"/>
      </w:r>
      <w:r>
        <w:t xml:space="preserve">。</w:t>
      </w:r>
      <w:r>
        <w:rPr>
          <w:bCs/>
          <w:b/>
        </w:rPr>
        <w:t xml:space="preserve">矛盾检测</w:t>
      </w:r>
      <w:r>
        <w:t xml:space="preserve">（P0）识别自相矛盾声明——如同时建议”提高RF功率以增大蚀刻速率”和”降低RF功率以保护选择比”而未提供切换逻辑。</w:t>
      </w:r>
      <w:r>
        <w:rPr>
          <w:bCs/>
          <w:b/>
        </w:rPr>
        <w:t xml:space="preserve">量纲一致性</w:t>
      </w:r>
      <w:r>
        <w:t xml:space="preserve">（P1）验证蚀刻速率（nm/min）、压力（mTorr）、功率（W）换算。</w:t>
      </w:r>
      <w:r>
        <w:rPr>
          <w:bCs/>
          <w:b/>
        </w:rPr>
        <w:t xml:space="preserve">因果有效性评估</w:t>
      </w:r>
      <w:r>
        <w:t xml:space="preserve">（P1）排除虚假相关。</w:t>
      </w:r>
    </w:p>
    <w:bookmarkEnd w:id="92"/>
    <w:bookmarkStart w:id="93" w:name="假设验证与风险评估"/>
    <w:p>
      <w:pPr>
        <w:pStyle w:val="Heading4"/>
      </w:pPr>
      <w:r>
        <w:t xml:space="preserve">7.1.2 假设验证与风险评估</w:t>
      </w:r>
    </w:p>
    <w:p>
      <w:pPr>
        <w:pStyle w:val="FirstParagraph"/>
      </w:pPr>
      <w:r>
        <w:rPr>
          <w:bCs/>
          <w:b/>
        </w:rPr>
        <w:t xml:space="preserve">隐含假设识别</w:t>
      </w:r>
      <w:r>
        <w:t xml:space="preserve">（P0）挖掘未显式声明的前提——如”选择比恒定”</w:t>
      </w:r>
      <w:r>
        <w:t xml:space="preserve">“</w:t>
      </w:r>
      <w:r>
        <w:t xml:space="preserve">温度均匀</w:t>
      </w:r>
      <w:r>
        <w:t xml:space="preserve">”</w:t>
      </w:r>
      <w:r>
        <w:t xml:space="preserve">“</w:t>
      </w:r>
      <w:r>
        <w:t xml:space="preserve">流量精度±1%</w:t>
      </w:r>
      <w:r>
        <w:t xml:space="preserve">”</w:t>
      </w:r>
      <w:r>
        <w:t xml:space="preserve">等，逐一显式化并评估合理性。</w:t>
      </w:r>
    </w:p>
    <w:p>
      <w:pPr>
        <w:pStyle w:val="BodyText"/>
      </w:pPr>
      <w:r>
        <w:t xml:space="preserve">风险评估采用FMEA（Failure Mode and Effects Analysis，失效模式与影响分析）框架，这是半导体制造业的核心风险评估工具</w:t>
      </w:r>
      <w:r>
        <w:rPr>
          <w:vertAlign w:val="superscript"/>
        </w:rPr>
        <w:footnoteReference w:id="102"/>
      </w:r>
      <w:r>
        <w:t xml:space="preserve">。FMEA通过三维度评分计算风险优先级数：</w:t>
      </w:r>
    </w:p>
    <w:p>
      <w:pPr>
        <w:pStyle w:val="BodyText"/>
      </w:pPr>
      <m:oMathPara>
        <m:oMathParaPr>
          <m:jc m:val="center"/>
        </m:oMathParaPr>
        <m:oMath>
          <m:r>
            <m:t>R</m:t>
          </m:r>
          <m:r>
            <m:t>P</m:t>
          </m:r>
          <m:r>
            <m:t>N</m:t>
          </m:r>
          <m:r>
            <m:rPr>
              <m:sty m:val="p"/>
            </m:rPr>
            <m:t>=</m:t>
          </m:r>
          <m:r>
            <m:t>S</m:t>
          </m:r>
          <m:r>
            <m:rPr>
              <m:sty m:val="p"/>
            </m:rPr>
            <m:t>×</m:t>
          </m:r>
          <m:r>
            <m:t>O</m:t>
          </m:r>
          <m:r>
            <m:rPr>
              <m:sty m:val="p"/>
            </m:rPr>
            <m:t>×</m:t>
          </m:r>
          <m:r>
            <m:t>D</m:t>
          </m:r>
        </m:oMath>
      </m:oMathPara>
    </w:p>
    <w:p>
      <w:pPr>
        <w:pStyle w:val="FirstParagraph"/>
      </w:pPr>
      <w:r>
        <w:t xml:space="preserve">其中</w:t>
      </w:r>
      <m:oMath>
        <m:r>
          <m:t>S</m:t>
        </m:r>
      </m:oMath>
      <w:r>
        <w:t xml:space="preserve">为严重度（1–10分），</w:t>
      </w:r>
      <m:oMath>
        <m:r>
          <m:t>O</m:t>
        </m:r>
      </m:oMath>
      <w:r>
        <w:t xml:space="preserve">为发生度（1–10分），</w:t>
      </w:r>
      <m:oMath>
        <m:r>
          <m:t>D</m:t>
        </m:r>
      </m:oMath>
      <w:r>
        <w:t xml:space="preserve">为探测度（1–10分）。某蚀刻阶段FMEA实施6周内探针测试良率损失接近0%</w:t>
      </w:r>
      <w:r>
        <w:rPr>
          <w:vertAlign w:val="superscript"/>
        </w:rPr>
        <w:footnoteReference w:id="103"/>
      </w:r>
      <w:r>
        <w:t xml:space="preserve">。</w:t>
      </w:r>
      <w:r>
        <w:rPr>
          <w:bCs/>
          <w:b/>
        </w:rPr>
        <w:t xml:space="preserve">边界条件评估</w:t>
      </w:r>
      <w:r>
        <w:t xml:space="preserve">（P1）验证方案在极限深宽比、极端温度等边界条件下的有效性。</w:t>
      </w:r>
    </w:p>
    <w:bookmarkEnd w:id="93"/>
    <w:bookmarkStart w:id="94" w:name="事实核查与幻觉检测"/>
    <w:p>
      <w:pPr>
        <w:pStyle w:val="Heading4"/>
      </w:pPr>
      <w:r>
        <w:t xml:space="preserve">7.1.3 事实核查与幻觉检测</w:t>
      </w:r>
    </w:p>
    <w:p>
      <w:pPr>
        <w:pStyle w:val="FirstParagraph"/>
      </w:pPr>
      <w:r>
        <w:rPr>
          <w:bCs/>
          <w:b/>
        </w:rPr>
        <w:t xml:space="preserve">decompose-then-verify策略</w:t>
      </w:r>
      <w:r>
        <w:t xml:space="preserve">将复杂声明分解为可独立验证的子声明</w:t>
      </w:r>
      <w:r>
        <w:rPr>
          <w:vertAlign w:val="superscript"/>
        </w:rPr>
        <w:footnoteReference w:id="104"/>
      </w:r>
      <w:r>
        <w:t xml:space="preserve">，蓝军将上游输出拆分为参数声明、因果断言和预测结论逐一验证。</w:t>
      </w:r>
      <w:r>
        <w:rPr>
          <w:bCs/>
          <w:b/>
        </w:rPr>
        <w:t xml:space="preserve">跨Agent输出交叉验证</w:t>
      </w:r>
      <w:r>
        <w:t xml:space="preserve">利用多Agent的独立推理路径进行一致性比对——若仿真Agent预测蚀刻速率为150 nm/min而数据Agent估算为300 nm/min，蓝军标记差异并触发调查。MAD框架为此提供了交替批判循环的架构</w:t>
      </w:r>
      <w:r>
        <w:rPr>
          <w:vertAlign w:val="superscript"/>
        </w:rPr>
        <w:footnoteReference w:id="105"/>
      </w:r>
      <w:r>
        <w:t xml:space="preserve">。</w:t>
      </w:r>
      <w:r>
        <w:rPr>
          <w:bCs/>
          <w:b/>
        </w:rPr>
        <w:t xml:space="preserve">引用溯源检查</w:t>
      </w:r>
      <w:r>
        <w:t xml:space="preserve">借鉴Hallucination Inspector的两层幻觉分类体系</w:t>
      </w:r>
      <w:fldSimple w:instr="NOTEREF _Ref_Footnote_89 \h \f">
        <w:r>
          <w:rPr>
            <w:vertAlign w:val="superscript"/>
          </w:rPr>
          <w:t>89</w:t>
        </w:r>
      </w:fldSimple>
      <w:r>
        <w:t xml:space="preserve">，将引用声明与可信知识库匹配。</w:t>
      </w:r>
    </w:p>
    <w:bookmarkEnd w:id="94"/>
    <w:bookmarkStart w:id="95" w:name="批判性反馈生成"/>
    <w:p>
      <w:pPr>
        <w:pStyle w:val="Heading4"/>
      </w:pPr>
      <w:r>
        <w:t xml:space="preserve">7.1.4 批判性反馈生成</w:t>
      </w:r>
    </w:p>
    <w:p>
      <w:pPr>
        <w:pStyle w:val="FirstParagraph"/>
      </w:pPr>
      <w:r>
        <w:t xml:space="preserve">结构化批判应产生：通过/不通过裁决、带严重级别的问题清单及具体修正建议</w:t>
      </w:r>
      <w:r>
        <w:rPr>
          <w:vertAlign w:val="superscript"/>
        </w:rPr>
        <w:footnoteReference w:id="106"/>
      </w:r>
      <w:r>
        <w:t xml:space="preserve">。迭代精炼模式研究表明边际改善在第2轮后急剧下降，token成本线性增长</w:t>
      </w:r>
      <w:r>
        <w:rPr>
          <w:vertAlign w:val="superscript"/>
        </w:rPr>
        <w:footnoteReference w:id="107"/>
      </w:r>
      <w:r>
        <w:t xml:space="preserve">，默认3轮为最优平衡点。</w:t>
      </w:r>
    </w:p>
    <w:p>
      <w:pPr>
        <w:pStyle w:val="BodyText"/>
      </w:pPr>
      <w:r>
        <w:t xml:space="preserve">表1汇总了蓝军六大核心能力群。</w:t>
      </w:r>
    </w:p>
    <w:p>
      <w:pPr>
        <w:pStyle w:val="BodyText"/>
      </w:pPr>
      <w:r>
        <w:rPr>
          <w:bCs/>
          <w:b/>
        </w:rPr>
        <w:t xml:space="preserve">表1 蓝军SubAgent核心能力矩阵</w:t>
      </w:r>
    </w:p>
    <w:tbl>
      <w:tblPr>
        <w:tblStyle w:val="Table"/>
        <w:tblW w:type="pct" w:w="5000"/>
        <w:tblLook w:firstRow="1" w:lastRow="0" w:firstColumn="0" w:lastColumn="0" w:noHBand="0" w:noVBand="0" w:val="0020"/>
      </w:tblPr>
      <w:tblGrid>
        <w:gridCol w:w="1863"/>
        <w:gridCol w:w="1863"/>
        <w:gridCol w:w="2329"/>
        <w:gridCol w:w="1863"/>
      </w:tblGrid>
      <w:tr>
        <w:trPr>
          <w:tblHeader w:val="true"/>
        </w:trPr>
        <w:tc>
          <w:tcPr/>
          <w:p>
            <w:pPr>
              <w:pStyle w:val="Compact"/>
              <w:jc w:val="left"/>
            </w:pPr>
            <w:r>
              <w:t xml:space="preserve">能力群</w:t>
            </w:r>
          </w:p>
        </w:tc>
        <w:tc>
          <w:tcPr/>
          <w:p>
            <w:pPr>
              <w:pStyle w:val="Compact"/>
              <w:jc w:val="left"/>
            </w:pPr>
            <w:r>
              <w:t xml:space="preserve">子能力</w:t>
            </w:r>
          </w:p>
        </w:tc>
        <w:tc>
          <w:tcPr/>
          <w:p>
            <w:pPr>
              <w:pStyle w:val="Compact"/>
              <w:jc w:val="center"/>
            </w:pPr>
            <w:r>
              <w:t xml:space="preserve">优先级</w:t>
            </w:r>
          </w:p>
        </w:tc>
        <w:tc>
          <w:tcPr/>
          <w:p>
            <w:pPr>
              <w:pStyle w:val="Compact"/>
              <w:jc w:val="left"/>
            </w:pPr>
            <w:r>
              <w:t xml:space="preserve">蚀刻工艺典型应用场景</w:t>
            </w:r>
          </w:p>
        </w:tc>
      </w:tr>
      <w:tr>
        <w:tc>
          <w:tcPr/>
          <w:p>
            <w:pPr>
              <w:pStyle w:val="Compact"/>
              <w:jc w:val="left"/>
            </w:pPr>
            <w:r>
              <w:t xml:space="preserve">逻辑一致性检查</w:t>
            </w:r>
          </w:p>
        </w:tc>
        <w:tc>
          <w:tcPr/>
          <w:p>
            <w:pPr>
              <w:pStyle w:val="Compact"/>
              <w:jc w:val="left"/>
            </w:pPr>
            <w:r>
              <w:t xml:space="preserve">推理链验证</w:t>
            </w:r>
          </w:p>
        </w:tc>
        <w:tc>
          <w:tcPr/>
          <w:p>
            <w:pPr>
              <w:pStyle w:val="Compact"/>
              <w:jc w:val="center"/>
            </w:pPr>
            <w:r>
              <w:t xml:space="preserve">P0</w:t>
            </w:r>
          </w:p>
        </w:tc>
        <w:tc>
          <w:tcPr/>
          <w:p>
            <w:pPr>
              <w:pStyle w:val="Compact"/>
              <w:jc w:val="left"/>
            </w:pPr>
            <w:r>
              <w:t xml:space="preserve">检查从工艺目标到参数推荐的推理链条完整性</w:t>
            </w:r>
          </w:p>
        </w:tc>
      </w:tr>
      <w:tr>
        <w:tc>
          <w:tcPr/>
          <w:p>
            <w:pPr>
              <w:pStyle w:val="Compact"/>
            </w:pPr>
          </w:p>
        </w:tc>
        <w:tc>
          <w:tcPr/>
          <w:p>
            <w:pPr>
              <w:pStyle w:val="Compact"/>
              <w:jc w:val="left"/>
            </w:pPr>
            <w:r>
              <w:t xml:space="preserve">矛盾检测</w:t>
            </w:r>
          </w:p>
        </w:tc>
        <w:tc>
          <w:tcPr/>
          <w:p>
            <w:pPr>
              <w:pStyle w:val="Compact"/>
              <w:jc w:val="center"/>
            </w:pPr>
            <w:r>
              <w:t xml:space="preserve">P0</w:t>
            </w:r>
          </w:p>
        </w:tc>
        <w:tc>
          <w:tcPr/>
          <w:p>
            <w:pPr>
              <w:pStyle w:val="Compact"/>
              <w:jc w:val="left"/>
            </w:pPr>
            <w:r>
              <w:t xml:space="preserve">识别功率-速率-选择比三角关系中的自相矛盾</w:t>
            </w:r>
          </w:p>
        </w:tc>
      </w:tr>
      <w:tr>
        <w:tc>
          <w:tcPr/>
          <w:p>
            <w:pPr>
              <w:pStyle w:val="Compact"/>
            </w:pPr>
          </w:p>
        </w:tc>
        <w:tc>
          <w:tcPr/>
          <w:p>
            <w:pPr>
              <w:pStyle w:val="Compact"/>
              <w:jc w:val="left"/>
            </w:pPr>
            <w:r>
              <w:t xml:space="preserve">量纲一致性</w:t>
            </w:r>
          </w:p>
        </w:tc>
        <w:tc>
          <w:tcPr/>
          <w:p>
            <w:pPr>
              <w:pStyle w:val="Compact"/>
              <w:jc w:val="center"/>
            </w:pPr>
            <w:r>
              <w:t xml:space="preserve">P1</w:t>
            </w:r>
          </w:p>
        </w:tc>
        <w:tc>
          <w:tcPr/>
          <w:p>
            <w:pPr>
              <w:pStyle w:val="Compact"/>
              <w:jc w:val="left"/>
            </w:pPr>
            <w:r>
              <w:t xml:space="preserve">验证蚀刻速率(nm/min)、压力(mTorr)、功率(W)换算</w:t>
            </w:r>
          </w:p>
        </w:tc>
      </w:tr>
      <w:tr>
        <w:tc>
          <w:tcPr/>
          <w:p>
            <w:pPr>
              <w:pStyle w:val="Compact"/>
            </w:pPr>
          </w:p>
        </w:tc>
        <w:tc>
          <w:tcPr/>
          <w:p>
            <w:pPr>
              <w:pStyle w:val="Compact"/>
              <w:jc w:val="left"/>
            </w:pPr>
            <w:r>
              <w:t xml:space="preserve">因果有效性评估</w:t>
            </w:r>
          </w:p>
        </w:tc>
        <w:tc>
          <w:tcPr/>
          <w:p>
            <w:pPr>
              <w:pStyle w:val="Compact"/>
              <w:jc w:val="center"/>
            </w:pPr>
            <w:r>
              <w:t xml:space="preserve">P1</w:t>
            </w:r>
          </w:p>
        </w:tc>
        <w:tc>
          <w:tcPr/>
          <w:p>
            <w:pPr>
              <w:pStyle w:val="Compact"/>
              <w:jc w:val="left"/>
            </w:pPr>
            <w:r>
              <w:t xml:space="preserve">排除压力-速率关系的虚假因果归因</w:t>
            </w:r>
          </w:p>
        </w:tc>
      </w:tr>
      <w:tr>
        <w:tc>
          <w:tcPr/>
          <w:p>
            <w:pPr>
              <w:pStyle w:val="Compact"/>
              <w:jc w:val="left"/>
            </w:pPr>
            <w:r>
              <w:t xml:space="preserve">假设验证与识别</w:t>
            </w:r>
          </w:p>
        </w:tc>
        <w:tc>
          <w:tcPr/>
          <w:p>
            <w:pPr>
              <w:pStyle w:val="Compact"/>
              <w:jc w:val="left"/>
            </w:pPr>
            <w:r>
              <w:t xml:space="preserve">隐含假设挖掘</w:t>
            </w:r>
          </w:p>
        </w:tc>
        <w:tc>
          <w:tcPr/>
          <w:p>
            <w:pPr>
              <w:pStyle w:val="Compact"/>
              <w:jc w:val="center"/>
            </w:pPr>
            <w:r>
              <w:t xml:space="preserve">P0</w:t>
            </w:r>
          </w:p>
        </w:tc>
        <w:tc>
          <w:tcPr/>
          <w:p>
            <w:pPr>
              <w:pStyle w:val="Compact"/>
              <w:jc w:val="left"/>
            </w:pPr>
            <w:r>
              <w:t xml:space="preserve">显式化”选择比恒定”</w:t>
            </w:r>
            <w:r>
              <w:t xml:space="preserve">“</w:t>
            </w:r>
            <w:r>
              <w:t xml:space="preserve">温度均匀</w:t>
            </w:r>
            <w:r>
              <w:t xml:space="preserve">”</w:t>
            </w:r>
            <w:r>
              <w:t xml:space="preserve">等未声明假设</w:t>
            </w:r>
          </w:p>
        </w:tc>
      </w:tr>
      <w:tr>
        <w:tc>
          <w:tcPr/>
          <w:p>
            <w:pPr>
              <w:pStyle w:val="Compact"/>
            </w:pPr>
          </w:p>
        </w:tc>
        <w:tc>
          <w:tcPr/>
          <w:p>
            <w:pPr>
              <w:pStyle w:val="Compact"/>
              <w:jc w:val="left"/>
            </w:pPr>
            <w:r>
              <w:t xml:space="preserve">假设合理性评估</w:t>
            </w:r>
          </w:p>
        </w:tc>
        <w:tc>
          <w:tcPr/>
          <w:p>
            <w:pPr>
              <w:pStyle w:val="Compact"/>
              <w:jc w:val="center"/>
            </w:pPr>
            <w:r>
              <w:t xml:space="preserve">P0</w:t>
            </w:r>
          </w:p>
        </w:tc>
        <w:tc>
          <w:tcPr/>
          <w:p>
            <w:pPr>
              <w:pStyle w:val="Compact"/>
              <w:jc w:val="left"/>
            </w:pPr>
            <w:r>
              <w:t xml:space="preserve">评估假设在目标工艺窗口内的有效性</w:t>
            </w:r>
          </w:p>
        </w:tc>
      </w:tr>
      <w:tr>
        <w:tc>
          <w:tcPr/>
          <w:p>
            <w:pPr>
              <w:pStyle w:val="Compact"/>
            </w:pPr>
          </w:p>
        </w:tc>
        <w:tc>
          <w:tcPr/>
          <w:p>
            <w:pPr>
              <w:pStyle w:val="Compact"/>
              <w:jc w:val="left"/>
            </w:pPr>
            <w:r>
              <w:t xml:space="preserve">边界条件检验</w:t>
            </w:r>
          </w:p>
        </w:tc>
        <w:tc>
          <w:tcPr/>
          <w:p>
            <w:pPr>
              <w:pStyle w:val="Compact"/>
              <w:jc w:val="center"/>
            </w:pPr>
            <w:r>
              <w:t xml:space="preserve">P1</w:t>
            </w:r>
          </w:p>
        </w:tc>
        <w:tc>
          <w:tcPr/>
          <w:p>
            <w:pPr>
              <w:pStyle w:val="Compact"/>
              <w:jc w:val="left"/>
            </w:pPr>
            <w:r>
              <w:t xml:space="preserve">验证方案在深宽比&gt;50:1等极限条件下的适用性</w:t>
            </w:r>
          </w:p>
        </w:tc>
      </w:tr>
      <w:tr>
        <w:tc>
          <w:tcPr/>
          <w:p>
            <w:pPr>
              <w:pStyle w:val="Compact"/>
            </w:pPr>
          </w:p>
        </w:tc>
        <w:tc>
          <w:tcPr/>
          <w:p>
            <w:pPr>
              <w:pStyle w:val="Compact"/>
              <w:jc w:val="left"/>
            </w:pPr>
            <w:r>
              <w:t xml:space="preserve">敏感性分析</w:t>
            </w:r>
          </w:p>
        </w:tc>
        <w:tc>
          <w:tcPr/>
          <w:p>
            <w:pPr>
              <w:pStyle w:val="Compact"/>
              <w:jc w:val="center"/>
            </w:pPr>
            <w:r>
              <w:t xml:space="preserve">P1</w:t>
            </w:r>
          </w:p>
        </w:tc>
        <w:tc>
          <w:tcPr/>
          <w:p>
            <w:pPr>
              <w:pStyle w:val="Compact"/>
              <w:jc w:val="left"/>
            </w:pPr>
            <w:r>
              <w:t xml:space="preserve">评估方案输出对关键假设变化的敏感程度</w:t>
            </w:r>
          </w:p>
        </w:tc>
      </w:tr>
      <w:tr>
        <w:tc>
          <w:tcPr/>
          <w:p>
            <w:pPr>
              <w:pStyle w:val="Compact"/>
              <w:jc w:val="left"/>
            </w:pPr>
            <w:r>
              <w:t xml:space="preserve">风险评估</w:t>
            </w:r>
          </w:p>
        </w:tc>
        <w:tc>
          <w:tcPr/>
          <w:p>
            <w:pPr>
              <w:pStyle w:val="Compact"/>
              <w:jc w:val="left"/>
            </w:pPr>
            <w:r>
              <w:t xml:space="preserve">FMEA式失效分析</w:t>
            </w:r>
          </w:p>
        </w:tc>
        <w:tc>
          <w:tcPr/>
          <w:p>
            <w:pPr>
              <w:pStyle w:val="Compact"/>
              <w:jc w:val="center"/>
            </w:pPr>
            <w:r>
              <w:t xml:space="preserve">P0</w:t>
            </w:r>
          </w:p>
        </w:tc>
        <w:tc>
          <w:tcPr/>
          <w:p>
            <w:pPr>
              <w:pStyle w:val="Compact"/>
              <w:jc w:val="left"/>
            </w:pPr>
            <w:r>
              <w:t xml:space="preserve">识别RF漂移、腔室污染、喷淋头侵蚀等失效模式</w:t>
            </w:r>
          </w:p>
        </w:tc>
      </w:tr>
      <w:tr>
        <w:tc>
          <w:tcPr/>
          <w:p>
            <w:pPr>
              <w:pStyle w:val="Compact"/>
            </w:pPr>
          </w:p>
        </w:tc>
        <w:tc>
          <w:tcPr/>
          <w:p>
            <w:pPr>
              <w:pStyle w:val="Compact"/>
              <w:jc w:val="left"/>
            </w:pPr>
            <w:r>
              <w:t xml:space="preserve">风险优先级排序</w:t>
            </w:r>
          </w:p>
        </w:tc>
        <w:tc>
          <w:tcPr/>
          <w:p>
            <w:pPr>
              <w:pStyle w:val="Compact"/>
              <w:jc w:val="center"/>
            </w:pPr>
            <w:r>
              <w:t xml:space="preserve">P0</w:t>
            </w:r>
          </w:p>
        </w:tc>
        <w:tc>
          <w:tcPr/>
          <w:p>
            <w:pPr>
              <w:pStyle w:val="Compact"/>
              <w:jc w:val="left"/>
            </w:pPr>
            <w:r>
              <w:t xml:space="preserve">按RPN=S×O×D模型排序，聚焦高RPN项</w:t>
            </w:r>
          </w:p>
        </w:tc>
      </w:tr>
      <w:tr>
        <w:tc>
          <w:tcPr/>
          <w:p>
            <w:pPr>
              <w:pStyle w:val="Compact"/>
            </w:pPr>
          </w:p>
        </w:tc>
        <w:tc>
          <w:tcPr/>
          <w:p>
            <w:pPr>
              <w:pStyle w:val="Compact"/>
              <w:jc w:val="left"/>
            </w:pPr>
            <w:r>
              <w:t xml:space="preserve">连锁失效识别</w:t>
            </w:r>
          </w:p>
        </w:tc>
        <w:tc>
          <w:tcPr/>
          <w:p>
            <w:pPr>
              <w:pStyle w:val="Compact"/>
              <w:jc w:val="center"/>
            </w:pPr>
            <w:r>
              <w:t xml:space="preserve">P1</w:t>
            </w:r>
          </w:p>
        </w:tc>
        <w:tc>
          <w:tcPr/>
          <w:p>
            <w:pPr>
              <w:pStyle w:val="Compact"/>
              <w:jc w:val="left"/>
            </w:pPr>
            <w:r>
              <w:t xml:space="preserve">发现单一失效的级联效应（如污染→微粒→短路）</w:t>
            </w:r>
          </w:p>
        </w:tc>
      </w:tr>
      <w:tr>
        <w:tc>
          <w:tcPr/>
          <w:p>
            <w:pPr>
              <w:pStyle w:val="Compact"/>
            </w:pPr>
          </w:p>
        </w:tc>
        <w:tc>
          <w:tcPr/>
          <w:p>
            <w:pPr>
              <w:pStyle w:val="Compact"/>
              <w:jc w:val="left"/>
            </w:pPr>
            <w:r>
              <w:t xml:space="preserve">工艺窗口评估</w:t>
            </w:r>
          </w:p>
        </w:tc>
        <w:tc>
          <w:tcPr/>
          <w:p>
            <w:pPr>
              <w:pStyle w:val="Compact"/>
              <w:jc w:val="center"/>
            </w:pPr>
            <w:r>
              <w:t xml:space="preserve">P0</w:t>
            </w:r>
          </w:p>
        </w:tc>
        <w:tc>
          <w:tcPr/>
          <w:p>
            <w:pPr>
              <w:pStyle w:val="Compact"/>
              <w:jc w:val="left"/>
            </w:pPr>
            <w:r>
              <w:t xml:space="preserve">评估方案在安全工艺窗口内的稳健性</w:t>
            </w:r>
          </w:p>
        </w:tc>
      </w:tr>
      <w:tr>
        <w:tc>
          <w:tcPr/>
          <w:p>
            <w:pPr>
              <w:pStyle w:val="Compact"/>
              <w:jc w:val="left"/>
            </w:pPr>
            <w:r>
              <w:t xml:space="preserve">事实核查与幻觉检测</w:t>
            </w:r>
          </w:p>
        </w:tc>
        <w:tc>
          <w:tcPr/>
          <w:p>
            <w:pPr>
              <w:pStyle w:val="Compact"/>
              <w:jc w:val="left"/>
            </w:pPr>
            <w:r>
              <w:t xml:space="preserve">物理常数验证</w:t>
            </w:r>
          </w:p>
        </w:tc>
        <w:tc>
          <w:tcPr/>
          <w:p>
            <w:pPr>
              <w:pStyle w:val="Compact"/>
              <w:jc w:val="center"/>
            </w:pPr>
            <w:r>
              <w:t xml:space="preserve">P0</w:t>
            </w:r>
          </w:p>
        </w:tc>
        <w:tc>
          <w:tcPr/>
          <w:p>
            <w:pPr>
              <w:pStyle w:val="Compact"/>
              <w:jc w:val="left"/>
            </w:pPr>
            <w:r>
              <w:t xml:space="preserve">验证SiO₂介电常数、Si蚀刻激活能等参数</w:t>
            </w:r>
          </w:p>
        </w:tc>
      </w:tr>
      <w:tr>
        <w:tc>
          <w:tcPr/>
          <w:p>
            <w:pPr>
              <w:pStyle w:val="Compact"/>
            </w:pPr>
          </w:p>
        </w:tc>
        <w:tc>
          <w:tcPr/>
          <w:p>
            <w:pPr>
              <w:pStyle w:val="Compact"/>
              <w:jc w:val="left"/>
            </w:pPr>
            <w:r>
              <w:t xml:space="preserve">工艺参数范围核查</w:t>
            </w:r>
          </w:p>
        </w:tc>
        <w:tc>
          <w:tcPr/>
          <w:p>
            <w:pPr>
              <w:pStyle w:val="Compact"/>
              <w:jc w:val="center"/>
            </w:pPr>
            <w:r>
              <w:t xml:space="preserve">P0</w:t>
            </w:r>
          </w:p>
        </w:tc>
        <w:tc>
          <w:tcPr/>
          <w:p>
            <w:pPr>
              <w:pStyle w:val="Compact"/>
              <w:jc w:val="left"/>
            </w:pPr>
            <w:r>
              <w:t xml:space="preserve">检查参数是否在物理可行范围内</w:t>
            </w:r>
          </w:p>
        </w:tc>
      </w:tr>
      <w:tr>
        <w:tc>
          <w:tcPr/>
          <w:p>
            <w:pPr>
              <w:pStyle w:val="Compact"/>
            </w:pPr>
          </w:p>
        </w:tc>
        <w:tc>
          <w:tcPr/>
          <w:p>
            <w:pPr>
              <w:pStyle w:val="Compact"/>
              <w:jc w:val="left"/>
            </w:pPr>
            <w:r>
              <w:t xml:space="preserve">引用文献验证</w:t>
            </w:r>
          </w:p>
        </w:tc>
        <w:tc>
          <w:tcPr/>
          <w:p>
            <w:pPr>
              <w:pStyle w:val="Compact"/>
              <w:jc w:val="center"/>
            </w:pPr>
            <w:r>
              <w:t xml:space="preserve">P1</w:t>
            </w:r>
          </w:p>
        </w:tc>
        <w:tc>
          <w:tcPr/>
          <w:p>
            <w:pPr>
              <w:pStyle w:val="Compact"/>
              <w:jc w:val="left"/>
            </w:pPr>
            <w:r>
              <w:t xml:space="preserve">验证SEMI标准、JEDEC规范的引用真实性</w:t>
            </w:r>
            <w:r>
              <w:rPr>
                <w:vertAlign w:val="superscript"/>
              </w:rPr>
              <w:footnoteReference w:id="108"/>
            </w:r>
          </w:p>
        </w:tc>
      </w:tr>
      <w:tr>
        <w:tc>
          <w:tcPr/>
          <w:p>
            <w:pPr>
              <w:pStyle w:val="Compact"/>
            </w:pPr>
          </w:p>
        </w:tc>
        <w:tc>
          <w:tcPr/>
          <w:p>
            <w:pPr>
              <w:pStyle w:val="Compact"/>
              <w:jc w:val="left"/>
            </w:pPr>
            <w:r>
              <w:t xml:space="preserve">数值合理性检查</w:t>
            </w:r>
          </w:p>
        </w:tc>
        <w:tc>
          <w:tcPr/>
          <w:p>
            <w:pPr>
              <w:pStyle w:val="Compact"/>
              <w:jc w:val="center"/>
            </w:pPr>
            <w:r>
              <w:t xml:space="preserve">P0</w:t>
            </w:r>
          </w:p>
        </w:tc>
        <w:tc>
          <w:tcPr/>
          <w:p>
            <w:pPr>
              <w:pStyle w:val="Compact"/>
              <w:jc w:val="left"/>
            </w:pPr>
            <w:r>
              <w:t xml:space="preserve">检查计算结果的数量级合理性</w:t>
            </w:r>
          </w:p>
        </w:tc>
      </w:tr>
      <w:tr>
        <w:tc>
          <w:tcPr/>
          <w:p>
            <w:pPr>
              <w:pStyle w:val="Compact"/>
              <w:jc w:val="left"/>
            </w:pPr>
            <w:r>
              <w:t xml:space="preserve">完备性与覆盖性检查</w:t>
            </w:r>
          </w:p>
        </w:tc>
        <w:tc>
          <w:tcPr/>
          <w:p>
            <w:pPr>
              <w:pStyle w:val="Compact"/>
              <w:jc w:val="left"/>
            </w:pPr>
            <w:r>
              <w:t xml:space="preserve">需求覆盖度分析</w:t>
            </w:r>
          </w:p>
        </w:tc>
        <w:tc>
          <w:tcPr/>
          <w:p>
            <w:pPr>
              <w:pStyle w:val="Compact"/>
              <w:jc w:val="center"/>
            </w:pPr>
            <w:r>
              <w:t xml:space="preserve">P0</w:t>
            </w:r>
          </w:p>
        </w:tc>
        <w:tc>
          <w:tcPr/>
          <w:p>
            <w:pPr>
              <w:pStyle w:val="Compact"/>
              <w:jc w:val="left"/>
            </w:pPr>
            <w:r>
              <w:t xml:space="preserve">检查方案是否覆盖所有工艺需求指标</w:t>
            </w:r>
          </w:p>
        </w:tc>
      </w:tr>
      <w:tr>
        <w:tc>
          <w:tcPr/>
          <w:p>
            <w:pPr>
              <w:pStyle w:val="Compact"/>
            </w:pPr>
          </w:p>
        </w:tc>
        <w:tc>
          <w:tcPr/>
          <w:p>
            <w:pPr>
              <w:pStyle w:val="Compact"/>
              <w:jc w:val="left"/>
            </w:pPr>
            <w:r>
              <w:t xml:space="preserve">约束条件确认</w:t>
            </w:r>
          </w:p>
        </w:tc>
        <w:tc>
          <w:tcPr/>
          <w:p>
            <w:pPr>
              <w:pStyle w:val="Compact"/>
              <w:jc w:val="center"/>
            </w:pPr>
            <w:r>
              <w:t xml:space="preserve">P0</w:t>
            </w:r>
          </w:p>
        </w:tc>
        <w:tc>
          <w:tcPr/>
          <w:p>
            <w:pPr>
              <w:pStyle w:val="Compact"/>
              <w:jc w:val="left"/>
            </w:pPr>
            <w:r>
              <w:t xml:space="preserve">确认设备能力限制、材料兼容性等约束满足性</w:t>
            </w:r>
          </w:p>
        </w:tc>
      </w:tr>
      <w:tr>
        <w:tc>
          <w:tcPr/>
          <w:p>
            <w:pPr>
              <w:pStyle w:val="Compact"/>
            </w:pPr>
          </w:p>
        </w:tc>
        <w:tc>
          <w:tcPr/>
          <w:p>
            <w:pPr>
              <w:pStyle w:val="Compact"/>
              <w:jc w:val="left"/>
            </w:pPr>
            <w:r>
              <w:t xml:space="preserve">遗漏要素识别</w:t>
            </w:r>
          </w:p>
        </w:tc>
        <w:tc>
          <w:tcPr/>
          <w:p>
            <w:pPr>
              <w:pStyle w:val="Compact"/>
              <w:jc w:val="center"/>
            </w:pPr>
            <w:r>
              <w:t xml:space="preserve">P1</w:t>
            </w:r>
          </w:p>
        </w:tc>
        <w:tc>
          <w:tcPr/>
          <w:p>
            <w:pPr>
              <w:pStyle w:val="Compact"/>
              <w:jc w:val="left"/>
            </w:pPr>
            <w:r>
              <w:t xml:space="preserve">识别方案中可能遗漏的关键因素</w:t>
            </w:r>
          </w:p>
        </w:tc>
      </w:tr>
      <w:tr>
        <w:tc>
          <w:tcPr/>
          <w:p>
            <w:pPr>
              <w:pStyle w:val="Compact"/>
            </w:pPr>
          </w:p>
        </w:tc>
        <w:tc>
          <w:tcPr/>
          <w:p>
            <w:pPr>
              <w:pStyle w:val="Compact"/>
              <w:jc w:val="left"/>
            </w:pPr>
            <w:r>
              <w:t xml:space="preserve">可执行性评估</w:t>
            </w:r>
          </w:p>
        </w:tc>
        <w:tc>
          <w:tcPr/>
          <w:p>
            <w:pPr>
              <w:pStyle w:val="Compact"/>
              <w:jc w:val="center"/>
            </w:pPr>
            <w:r>
              <w:t xml:space="preserve">P1</w:t>
            </w:r>
          </w:p>
        </w:tc>
        <w:tc>
          <w:tcPr/>
          <w:p>
            <w:pPr>
              <w:pStyle w:val="Compact"/>
              <w:jc w:val="left"/>
            </w:pPr>
            <w:r>
              <w:t xml:space="preserve">评估方案在实际产线上的可执行性</w:t>
            </w:r>
          </w:p>
        </w:tc>
      </w:tr>
      <w:tr>
        <w:tc>
          <w:tcPr/>
          <w:p>
            <w:pPr>
              <w:pStyle w:val="Compact"/>
              <w:jc w:val="left"/>
            </w:pPr>
            <w:r>
              <w:t xml:space="preserve">批判性反馈生成</w:t>
            </w:r>
          </w:p>
        </w:tc>
        <w:tc>
          <w:tcPr/>
          <w:p>
            <w:pPr>
              <w:pStyle w:val="Compact"/>
              <w:jc w:val="left"/>
            </w:pPr>
            <w:r>
              <w:t xml:space="preserve">结构化审查报告</w:t>
            </w:r>
          </w:p>
        </w:tc>
        <w:tc>
          <w:tcPr/>
          <w:p>
            <w:pPr>
              <w:pStyle w:val="Compact"/>
              <w:jc w:val="center"/>
            </w:pPr>
            <w:r>
              <w:t xml:space="preserve">P0</w:t>
            </w:r>
          </w:p>
        </w:tc>
        <w:tc>
          <w:tcPr/>
          <w:p>
            <w:pPr>
              <w:pStyle w:val="Compact"/>
              <w:jc w:val="left"/>
            </w:pPr>
            <w:r>
              <w:t xml:space="preserve">生成包含问题-证据-建议的标准化JSON报告</w:t>
            </w:r>
          </w:p>
        </w:tc>
      </w:tr>
      <w:tr>
        <w:tc>
          <w:tcPr/>
          <w:p>
            <w:pPr>
              <w:pStyle w:val="Compact"/>
            </w:pPr>
          </w:p>
        </w:tc>
        <w:tc>
          <w:tcPr/>
          <w:p>
            <w:pPr>
              <w:pStyle w:val="Compact"/>
              <w:jc w:val="left"/>
            </w:pPr>
            <w:r>
              <w:t xml:space="preserve">风险等级标注</w:t>
            </w:r>
          </w:p>
        </w:tc>
        <w:tc>
          <w:tcPr/>
          <w:p>
            <w:pPr>
              <w:pStyle w:val="Compact"/>
              <w:jc w:val="center"/>
            </w:pPr>
            <w:r>
              <w:t xml:space="preserve">P0</w:t>
            </w:r>
          </w:p>
        </w:tc>
        <w:tc>
          <w:tcPr/>
          <w:p>
            <w:pPr>
              <w:pStyle w:val="Compact"/>
              <w:jc w:val="left"/>
            </w:pPr>
            <w:r>
              <w:t xml:space="preserve">对每个发现标注CRITICAL/HIGH/MEDIUM/LOW等级</w:t>
            </w:r>
          </w:p>
        </w:tc>
      </w:tr>
      <w:tr>
        <w:tc>
          <w:tcPr/>
          <w:p>
            <w:pPr>
              <w:pStyle w:val="Compact"/>
            </w:pPr>
          </w:p>
        </w:tc>
        <w:tc>
          <w:tcPr/>
          <w:p>
            <w:pPr>
              <w:pStyle w:val="Compact"/>
              <w:jc w:val="left"/>
            </w:pPr>
            <w:r>
              <w:t xml:space="preserve">改进建议提供</w:t>
            </w:r>
          </w:p>
        </w:tc>
        <w:tc>
          <w:tcPr/>
          <w:p>
            <w:pPr>
              <w:pStyle w:val="Compact"/>
              <w:jc w:val="center"/>
            </w:pPr>
            <w:r>
              <w:t xml:space="preserve">P0</w:t>
            </w:r>
          </w:p>
        </w:tc>
        <w:tc>
          <w:tcPr/>
          <w:p>
            <w:pPr>
              <w:pStyle w:val="Compact"/>
              <w:jc w:val="left"/>
            </w:pPr>
            <w:r>
              <w:t xml:space="preserve">提供具体可行的参数调整或方案修正建议</w:t>
            </w:r>
          </w:p>
        </w:tc>
      </w:tr>
      <w:tr>
        <w:tc>
          <w:tcPr/>
          <w:p>
            <w:pPr>
              <w:pStyle w:val="Compact"/>
            </w:pPr>
          </w:p>
        </w:tc>
        <w:tc>
          <w:tcPr/>
          <w:p>
            <w:pPr>
              <w:pStyle w:val="Compact"/>
              <w:jc w:val="left"/>
            </w:pPr>
            <w:r>
              <w:t xml:space="preserve">共识/分歧追踪</w:t>
            </w:r>
          </w:p>
        </w:tc>
        <w:tc>
          <w:tcPr/>
          <w:p>
            <w:pPr>
              <w:pStyle w:val="Compact"/>
              <w:jc w:val="center"/>
            </w:pPr>
            <w:r>
              <w:t xml:space="preserve">P1</w:t>
            </w:r>
          </w:p>
        </w:tc>
        <w:tc>
          <w:tcPr/>
          <w:p>
            <w:pPr>
              <w:pStyle w:val="Compact"/>
              <w:jc w:val="left"/>
            </w:pPr>
            <w:r>
              <w:t xml:space="preserve">记录与其他Agent的分歧点及理由</w:t>
            </w:r>
          </w:p>
        </w:tc>
      </w:tr>
    </w:tbl>
    <w:p>
      <w:pPr>
        <w:pStyle w:val="BodyText"/>
      </w:pPr>
      <w:r>
        <w:t xml:space="preserve">表1覆盖24项原子能力，P0优先级16项（占67%）。能力群遵循”逻辑一致性→假设验证→风险评估→事实核查→完备性检查→反馈生成”的递进链条。FMEA式失效分析与事实核查在蚀刻语境下具有最高实践价值，因蚀刻设备失效模式已有充分文献支撑</w:t>
      </w:r>
      <w:fldSimple w:instr="NOTEREF _Ref_Footnote_102 \h \f">
        <w:r>
          <w:rPr>
            <w:vertAlign w:val="superscript"/>
          </w:rPr>
          <w:t>102</w:t>
        </w:r>
      </w:fldSimple>
      <w:r>
        <w:t xml:space="preserve">。</w:t>
      </w:r>
    </w:p>
    <w:bookmarkEnd w:id="95"/>
    <w:bookmarkEnd w:id="96"/>
    <w:bookmarkStart w:id="99" w:name="输入输出规范-5"/>
    <w:p>
      <w:pPr>
        <w:pStyle w:val="Heading3"/>
      </w:pPr>
      <w:r>
        <w:t xml:space="preserve">7.2 输入输出规范</w:t>
      </w:r>
    </w:p>
    <w:bookmarkStart w:id="97" w:name="输入json-schema-5"/>
    <w:p>
      <w:pPr>
        <w:pStyle w:val="Heading4"/>
      </w:pPr>
      <w:r>
        <w:t xml:space="preserve">7.2.1 输入JSON Schema</w:t>
      </w:r>
    </w:p>
    <w:p>
      <w:pPr>
        <w:pStyle w:val="FirstParagraph"/>
      </w:pPr>
      <w:r>
        <w:t xml:space="preserve">蓝军输入接收三类信息：</w:t>
      </w:r>
      <w:r>
        <w:rPr>
          <w:bCs/>
          <w:b/>
        </w:rPr>
        <w:t xml:space="preserve">待审查方案</w:t>
      </w:r>
      <w:r>
        <w:t xml:space="preserve">（上游Agent的结构化输出）、</w:t>
      </w:r>
      <w:r>
        <w:rPr>
          <w:bCs/>
          <w:b/>
        </w:rPr>
        <w:t xml:space="preserve">审查上下文</w:t>
      </w:r>
      <w:r>
        <w:t xml:space="preserve">（原始工艺需求、晶圆规格、设备限制）以及</w:t>
      </w:r>
      <w:r>
        <w:rPr>
          <w:bCs/>
          <w:b/>
        </w:rPr>
        <w:t xml:space="preserve">审查指令</w:t>
      </w:r>
      <w:r>
        <w:t xml:space="preserve">（审查深度与焦点）。审查焦点支持逻辑、数据、安全三维度。表2定义了三级审查深度规范。</w:t>
      </w:r>
    </w:p>
    <w:p>
      <w:pPr>
        <w:pStyle w:val="BodyText"/>
      </w:pPr>
      <w:r>
        <w:rPr>
          <w:bCs/>
          <w:b/>
        </w:rPr>
        <w:t xml:space="preserve">表2 蓝军SubAgent审查深度分级规范</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维度</w:t>
            </w:r>
          </w:p>
        </w:tc>
        <w:tc>
          <w:tcPr/>
          <w:p>
            <w:pPr>
              <w:pStyle w:val="Compact"/>
              <w:jc w:val="left"/>
            </w:pPr>
            <w:r>
              <w:t xml:space="preserve">快速审查（Quick）</w:t>
            </w:r>
          </w:p>
        </w:tc>
        <w:tc>
          <w:tcPr/>
          <w:p>
            <w:pPr>
              <w:pStyle w:val="Compact"/>
              <w:jc w:val="left"/>
            </w:pPr>
            <w:r>
              <w:t xml:space="preserve">标准审查（Standard）</w:t>
            </w:r>
          </w:p>
        </w:tc>
        <w:tc>
          <w:tcPr/>
          <w:p>
            <w:pPr>
              <w:pStyle w:val="Compact"/>
              <w:jc w:val="left"/>
            </w:pPr>
            <w:r>
              <w:t xml:space="preserve">深度审查（Deep）</w:t>
            </w:r>
          </w:p>
        </w:tc>
      </w:tr>
      <w:tr>
        <w:tc>
          <w:tcPr/>
          <w:p>
            <w:pPr>
              <w:pStyle w:val="Compact"/>
              <w:jc w:val="left"/>
            </w:pPr>
            <w:r>
              <w:t xml:space="preserve">目标响应时间</w:t>
            </w:r>
          </w:p>
        </w:tc>
        <w:tc>
          <w:tcPr/>
          <w:p>
            <w:pPr>
              <w:pStyle w:val="Compact"/>
              <w:jc w:val="left"/>
            </w:pPr>
            <w:r>
              <w:t xml:space="preserve">≤60秒</w:t>
            </w:r>
          </w:p>
        </w:tc>
        <w:tc>
          <w:tcPr/>
          <w:p>
            <w:pPr>
              <w:pStyle w:val="Compact"/>
              <w:jc w:val="left"/>
            </w:pPr>
            <w:r>
              <w:t xml:space="preserve">≤5分钟</w:t>
            </w:r>
          </w:p>
        </w:tc>
        <w:tc>
          <w:tcPr/>
          <w:p>
            <w:pPr>
              <w:pStyle w:val="Compact"/>
              <w:jc w:val="left"/>
            </w:pPr>
            <w:r>
              <w:t xml:space="preserve">≤15分钟</w:t>
            </w:r>
          </w:p>
        </w:tc>
      </w:tr>
      <w:tr>
        <w:tc>
          <w:tcPr/>
          <w:p>
            <w:pPr>
              <w:pStyle w:val="Compact"/>
              <w:jc w:val="left"/>
            </w:pPr>
            <w:r>
              <w:t xml:space="preserve">逻辑一致性范围</w:t>
            </w:r>
          </w:p>
        </w:tc>
        <w:tc>
          <w:tcPr/>
          <w:p>
            <w:pPr>
              <w:pStyle w:val="Compact"/>
              <w:jc w:val="left"/>
            </w:pPr>
            <w:r>
              <w:t xml:space="preserve">关键推理节点抽样</w:t>
            </w:r>
          </w:p>
        </w:tc>
        <w:tc>
          <w:tcPr/>
          <w:p>
            <w:pPr>
              <w:pStyle w:val="Compact"/>
              <w:jc w:val="left"/>
            </w:pPr>
            <w:r>
              <w:t xml:space="preserve">全推理链覆盖</w:t>
            </w:r>
          </w:p>
        </w:tc>
        <w:tc>
          <w:tcPr/>
          <w:p>
            <w:pPr>
              <w:pStyle w:val="Compact"/>
              <w:jc w:val="left"/>
            </w:pPr>
            <w:r>
              <w:t xml:space="preserve">全推理链+替代路径分析</w:t>
            </w:r>
          </w:p>
        </w:tc>
      </w:tr>
      <w:tr>
        <w:tc>
          <w:tcPr/>
          <w:p>
            <w:pPr>
              <w:pStyle w:val="Compact"/>
              <w:jc w:val="left"/>
            </w:pPr>
            <w:r>
              <w:t xml:space="preserve">假设验证深度</w:t>
            </w:r>
          </w:p>
        </w:tc>
        <w:tc>
          <w:tcPr/>
          <w:p>
            <w:pPr>
              <w:pStyle w:val="Compact"/>
              <w:jc w:val="left"/>
            </w:pPr>
            <w:r>
              <w:t xml:space="preserve">显式假设确认</w:t>
            </w:r>
          </w:p>
        </w:tc>
        <w:tc>
          <w:tcPr/>
          <w:p>
            <w:pPr>
              <w:pStyle w:val="Compact"/>
              <w:jc w:val="left"/>
            </w:pPr>
            <w:r>
              <w:t xml:space="preserve">显式+隐含假设识别</w:t>
            </w:r>
          </w:p>
        </w:tc>
        <w:tc>
          <w:tcPr/>
          <w:p>
            <w:pPr>
              <w:pStyle w:val="Compact"/>
              <w:jc w:val="left"/>
            </w:pPr>
            <w:r>
              <w:t xml:space="preserve">全假设谱系+敏感性分析</w:t>
            </w:r>
          </w:p>
        </w:tc>
      </w:tr>
      <w:tr>
        <w:tc>
          <w:tcPr/>
          <w:p>
            <w:pPr>
              <w:pStyle w:val="Compact"/>
              <w:jc w:val="left"/>
            </w:pPr>
            <w:r>
              <w:t xml:space="preserve">FMEA覆盖范围</w:t>
            </w:r>
          </w:p>
        </w:tc>
        <w:tc>
          <w:tcPr/>
          <w:p>
            <w:pPr>
              <w:pStyle w:val="Compact"/>
              <w:jc w:val="left"/>
            </w:pPr>
            <w:r>
              <w:t xml:space="preserve">高风险失效模式扫描</w:t>
            </w:r>
          </w:p>
        </w:tc>
        <w:tc>
          <w:tcPr/>
          <w:p>
            <w:pPr>
              <w:pStyle w:val="Compact"/>
              <w:jc w:val="left"/>
            </w:pPr>
            <w:r>
              <w:t xml:space="preserve">Top-5失效模式详析</w:t>
            </w:r>
          </w:p>
        </w:tc>
        <w:tc>
          <w:tcPr/>
          <w:p>
            <w:pPr>
              <w:pStyle w:val="Compact"/>
              <w:jc w:val="left"/>
            </w:pPr>
            <w:r>
              <w:t xml:space="preserve">全失效模式谱+连锁效应</w:t>
            </w:r>
          </w:p>
        </w:tc>
      </w:tr>
      <w:tr>
        <w:tc>
          <w:tcPr/>
          <w:p>
            <w:pPr>
              <w:pStyle w:val="Compact"/>
              <w:jc w:val="left"/>
            </w:pPr>
            <w:r>
              <w:t xml:space="preserve">事实核查强度</w:t>
            </w:r>
          </w:p>
        </w:tc>
        <w:tc>
          <w:tcPr/>
          <w:p>
            <w:pPr>
              <w:pStyle w:val="Compact"/>
              <w:jc w:val="left"/>
            </w:pPr>
            <w:r>
              <w:t xml:space="preserve">关键参数范围检查</w:t>
            </w:r>
          </w:p>
        </w:tc>
        <w:tc>
          <w:tcPr/>
          <w:p>
            <w:pPr>
              <w:pStyle w:val="Compact"/>
              <w:jc w:val="left"/>
            </w:pPr>
            <w:r>
              <w:t xml:space="preserve">核心参数+引用验证</w:t>
            </w:r>
          </w:p>
        </w:tc>
        <w:tc>
          <w:tcPr/>
          <w:p>
            <w:pPr>
              <w:pStyle w:val="Compact"/>
              <w:jc w:val="left"/>
            </w:pPr>
            <w:r>
              <w:t xml:space="preserve">全参数+引用+数值复核</w:t>
            </w:r>
          </w:p>
        </w:tc>
      </w:tr>
      <w:tr>
        <w:tc>
          <w:tcPr/>
          <w:p>
            <w:pPr>
              <w:pStyle w:val="Compact"/>
              <w:jc w:val="left"/>
            </w:pPr>
            <w:r>
              <w:t xml:space="preserve">完备性检查范围</w:t>
            </w:r>
          </w:p>
        </w:tc>
        <w:tc>
          <w:tcPr/>
          <w:p>
            <w:pPr>
              <w:pStyle w:val="Compact"/>
              <w:jc w:val="left"/>
            </w:pPr>
            <w:r>
              <w:t xml:space="preserve">需求覆盖度快速扫描</w:t>
            </w:r>
          </w:p>
        </w:tc>
        <w:tc>
          <w:tcPr/>
          <w:p>
            <w:pPr>
              <w:pStyle w:val="Compact"/>
              <w:jc w:val="left"/>
            </w:pPr>
            <w:r>
              <w:t xml:space="preserve">约束条件逐项确认</w:t>
            </w:r>
          </w:p>
        </w:tc>
        <w:tc>
          <w:tcPr/>
          <w:p>
            <w:pPr>
              <w:pStyle w:val="Compact"/>
              <w:jc w:val="left"/>
            </w:pPr>
            <w:r>
              <w:t xml:space="preserve">需求+约束+可执行性三维度</w:t>
            </w:r>
          </w:p>
        </w:tc>
      </w:tr>
      <w:tr>
        <w:tc>
          <w:tcPr/>
          <w:p>
            <w:pPr>
              <w:pStyle w:val="Compact"/>
              <w:jc w:val="left"/>
            </w:pPr>
            <w:r>
              <w:t xml:space="preserve">典型触发场景</w:t>
            </w:r>
          </w:p>
        </w:tc>
        <w:tc>
          <w:tcPr/>
          <w:p>
            <w:pPr>
              <w:pStyle w:val="Compact"/>
              <w:jc w:val="left"/>
            </w:pPr>
            <w:r>
              <w:t xml:space="preserve">低风险常规方案预审</w:t>
            </w:r>
          </w:p>
        </w:tc>
        <w:tc>
          <w:tcPr/>
          <w:p>
            <w:pPr>
              <w:pStyle w:val="Compact"/>
              <w:jc w:val="left"/>
            </w:pPr>
            <w:r>
              <w:t xml:space="preserve">标准流程中的质量门禁</w:t>
            </w:r>
          </w:p>
        </w:tc>
        <w:tc>
          <w:tcPr/>
          <w:p>
            <w:pPr>
              <w:pStyle w:val="Compact"/>
              <w:jc w:val="left"/>
            </w:pPr>
            <w:r>
              <w:t xml:space="preserve">新工艺开发/高风险参数变更</w:t>
            </w:r>
          </w:p>
        </w:tc>
      </w:tr>
      <w:tr>
        <w:tc>
          <w:tcPr/>
          <w:p>
            <w:pPr>
              <w:pStyle w:val="Compact"/>
              <w:jc w:val="left"/>
            </w:pPr>
            <w:r>
              <w:t xml:space="preserve">输出格式</w:t>
            </w:r>
          </w:p>
        </w:tc>
        <w:tc>
          <w:tcPr/>
          <w:p>
            <w:pPr>
              <w:pStyle w:val="Compact"/>
              <w:jc w:val="left"/>
            </w:pPr>
            <w:r>
              <w:t xml:space="preserve">简版报告（状态+Top-3问题）</w:t>
            </w:r>
          </w:p>
        </w:tc>
        <w:tc>
          <w:tcPr/>
          <w:p>
            <w:pPr>
              <w:pStyle w:val="Compact"/>
              <w:jc w:val="left"/>
            </w:pPr>
            <w:r>
              <w:t xml:space="preserve">标准JSON报告</w:t>
            </w:r>
          </w:p>
        </w:tc>
        <w:tc>
          <w:tcPr/>
          <w:p>
            <w:pPr>
              <w:pStyle w:val="Compact"/>
              <w:jc w:val="left"/>
            </w:pPr>
            <w:r>
              <w:t xml:space="preserve">增强报告（含替代方案对比）</w:t>
            </w:r>
          </w:p>
        </w:tc>
      </w:tr>
      <w:tr>
        <w:tc>
          <w:tcPr/>
          <w:p>
            <w:pPr>
              <w:pStyle w:val="Compact"/>
              <w:jc w:val="left"/>
            </w:pPr>
            <w:r>
              <w:t xml:space="preserve">迭代预算</w:t>
            </w:r>
          </w:p>
        </w:tc>
        <w:tc>
          <w:tcPr/>
          <w:p>
            <w:pPr>
              <w:pStyle w:val="Compact"/>
              <w:jc w:val="left"/>
            </w:pPr>
            <w:r>
              <w:t xml:space="preserve">1轮</w:t>
            </w:r>
          </w:p>
        </w:tc>
        <w:tc>
          <w:tcPr/>
          <w:p>
            <w:pPr>
              <w:pStyle w:val="Compact"/>
              <w:jc w:val="left"/>
            </w:pPr>
            <w:r>
              <w:t xml:space="preserve">最多2轮</w:t>
            </w:r>
          </w:p>
        </w:tc>
        <w:tc>
          <w:tcPr/>
          <w:p>
            <w:pPr>
              <w:pStyle w:val="Compact"/>
              <w:jc w:val="left"/>
            </w:pPr>
            <w:r>
              <w:t xml:space="preserve">最多3轮</w:t>
            </w:r>
          </w:p>
        </w:tc>
      </w:tr>
      <w:tr>
        <w:tc>
          <w:tcPr/>
          <w:p>
            <w:pPr>
              <w:pStyle w:val="Compact"/>
              <w:jc w:val="left"/>
            </w:pPr>
            <w:r>
              <w:t xml:space="preserve">终止条件</w:t>
            </w:r>
          </w:p>
        </w:tc>
        <w:tc>
          <w:tcPr/>
          <w:p>
            <w:pPr>
              <w:pStyle w:val="Compact"/>
              <w:jc w:val="left"/>
            </w:pPr>
            <w:r>
              <w:t xml:space="preserve">无HIGH级以上问题</w:t>
            </w:r>
          </w:p>
        </w:tc>
        <w:tc>
          <w:tcPr/>
          <w:p>
            <w:pPr>
              <w:pStyle w:val="Compact"/>
              <w:jc w:val="left"/>
            </w:pPr>
            <w:r>
              <w:t xml:space="preserve">综合评分≥70分</w:t>
            </w:r>
          </w:p>
        </w:tc>
        <w:tc>
          <w:tcPr/>
          <w:p>
            <w:pPr>
              <w:pStyle w:val="Compact"/>
              <w:jc w:val="left"/>
            </w:pPr>
            <w:r>
              <w:t xml:space="preserve">综合评分≥80分且RPN&lt;200</w:t>
            </w:r>
          </w:p>
        </w:tc>
      </w:tr>
    </w:tbl>
    <w:p>
      <w:pPr>
        <w:pStyle w:val="BodyText"/>
      </w:pPr>
      <w:r>
        <w:t xml:space="preserve">涉及5个以上关联参数调整或超出典型工艺窗口的建议触发深度审查；中等复杂度触发标准审查；常规优化触发快速审查。</w:t>
      </w:r>
    </w:p>
    <w:bookmarkEnd w:id="97"/>
    <w:bookmarkStart w:id="98" w:name="输出json-schema-5"/>
    <w:p>
      <w:pPr>
        <w:pStyle w:val="Heading4"/>
      </w:pPr>
      <w:r>
        <w:t xml:space="preserve">7.2.2 输出JSON Schema</w:t>
      </w:r>
    </w:p>
    <w:p>
      <w:pPr>
        <w:pStyle w:val="FirstParagraph"/>
      </w:pPr>
      <w:r>
        <w:t xml:space="preserve">蓝军输出采用结构化JSON格式。</w:t>
      </w:r>
      <w:r>
        <w:rPr>
          <w:bCs/>
          <w:b/>
        </w:rPr>
        <w:t xml:space="preserve">审查状态</w:t>
      </w:r>
      <w:r>
        <w:t xml:space="preserve">为三值枚举：APPROVED、CONDITIONAL（有条件通过）、REJECTED。</w:t>
      </w:r>
      <w:r>
        <w:rPr>
          <w:bCs/>
          <w:b/>
        </w:rPr>
        <w:t xml:space="preserve">综合评估</w:t>
      </w:r>
      <w:r>
        <w:t xml:space="preserve">含0–100分评分（CRITICAL扣30分、HIGH扣15分、MEDIUM扣5分、LOW扣2分）、摘要和置信度。</w:t>
      </w:r>
      <w:r>
        <w:rPr>
          <w:bCs/>
          <w:b/>
        </w:rPr>
        <w:t xml:space="preserve">发现清单</w:t>
      </w:r>
      <w:r>
        <w:t xml:space="preserve">每项含类别（LOGIC_ERROR/ASSUMPTION_VIOLATION/RISK/INCOMPLETENESS/FACTUAL_ERROR）、严重级别、证据引用和修正建议。</w:t>
      </w:r>
      <w:r>
        <w:rPr>
          <w:bCs/>
          <w:b/>
        </w:rPr>
        <w:t xml:space="preserve">风险评估</w:t>
      </w:r>
      <w:r>
        <w:t xml:space="preserve">含FMEA条目（S/O/D与RPN），</w:t>
      </w:r>
      <w:r>
        <w:rPr>
          <w:bCs/>
          <w:b/>
        </w:rPr>
        <w:t xml:space="preserve">假设验证结果</w:t>
      </w:r>
      <w:r>
        <w:t xml:space="preserve">标注每条假设有效性。蓝军模型配置建议temperature=0.1以确保严谨性</w:t>
      </w:r>
      <w:r>
        <w:rPr>
          <w:vertAlign w:val="superscript"/>
        </w:rPr>
        <w:footnoteReference w:id="109"/>
      </w:r>
      <w:r>
        <w:t xml:space="preserve">，仅赋予只读工具权限，禁止直接修改方案</w:t>
      </w:r>
      <w:fldSimple w:instr="NOTEREF _Ref_Footnote_8 \h \f">
        <w:r>
          <w:rPr>
            <w:vertAlign w:val="superscript"/>
          </w:rPr>
          <w:t>8</w:t>
        </w:r>
      </w:fldSimple>
      <w:r>
        <w:t xml:space="preserve">——</w:t>
      </w:r>
      <w:r>
        <w:t xml:space="preserve">“</w:t>
      </w:r>
      <w:r>
        <w:t xml:space="preserve">只审查不修改</w:t>
      </w:r>
      <w:r>
        <w:t xml:space="preserve">”</w:t>
      </w:r>
      <w:r>
        <w:t xml:space="preserve">原则确保审查者与修订者角色分离。</w:t>
      </w:r>
    </w:p>
    <w:bookmarkEnd w:id="98"/>
    <w:bookmarkEnd w:id="99"/>
    <w:bookmarkStart w:id="103" w:name="触发条件与协作关系-5"/>
    <w:p>
      <w:pPr>
        <w:pStyle w:val="Heading3"/>
      </w:pPr>
      <w:r>
        <w:t xml:space="preserve">7.3 触发条件与协作关系</w:t>
      </w:r>
    </w:p>
    <w:bookmarkStart w:id="100" w:name="触发条件-5"/>
    <w:p>
      <w:pPr>
        <w:pStyle w:val="Heading4"/>
      </w:pPr>
      <w:r>
        <w:t xml:space="preserve">7.3.1 触发条件</w:t>
      </w:r>
    </w:p>
    <w:p>
      <w:pPr>
        <w:pStyle w:val="FirstParagraph"/>
      </w:pPr>
      <w:r>
        <w:t xml:space="preserve">蓝军采用”过程节点触发”而非”任务完成触发”</w:t>
      </w:r>
      <w:fldSimple w:instr="NOTEREF _Ref_Footnote_100 \h \f">
        <w:r>
          <w:rPr>
            <w:vertAlign w:val="superscript"/>
          </w:rPr>
          <w:t>100</w:t>
        </w:r>
      </w:fldSimple>
      <w:r>
        <w:t xml:space="preserve">，在关键流程节点嵌入质量门禁。</w:t>
      </w:r>
      <w:r>
        <w:rPr>
          <w:bCs/>
          <w:b/>
        </w:rPr>
        <w:t xml:space="preserve">自动触发</w:t>
      </w:r>
      <w:r>
        <w:t xml:space="preserve">包含四类场景：上游Agent完成方案后的默认触发；包含超安全范围参数时的即时触发；修订方案重新提交时的再审查触发；多Agent分歧时的辩论模式触发</w:t>
      </w:r>
      <w:fldSimple w:instr="NOTEREF _Ref_Footnote_105 \h \f">
        <w:r>
          <w:rPr>
            <w:vertAlign w:val="superscript"/>
          </w:rPr>
          <w:t>105</w:t>
        </w:r>
      </w:fldSimple>
      <w:r>
        <w:t xml:space="preserve">。</w:t>
      </w:r>
      <w:r>
        <w:rPr>
          <w:bCs/>
          <w:b/>
        </w:rPr>
        <w:t xml:space="preserve">手动触发</w:t>
      </w:r>
      <w:r>
        <w:t xml:space="preserve">包含操作员显式请求和工艺变更后的周期性复查。终止条件包括：审查通过、最大迭代达3轮、高风险问题需人工干预</w:t>
      </w:r>
      <w:fldSimple w:instr="NOTEREF _Ref_Footnote_107 \h \f">
        <w:r>
          <w:rPr>
            <w:vertAlign w:val="superscript"/>
          </w:rPr>
          <w:t>107</w:t>
        </w:r>
      </w:fldSimple>
      <w:r>
        <w:t xml:space="preserve">。</w:t>
      </w:r>
    </w:p>
    <w:bookmarkEnd w:id="100"/>
    <w:bookmarkStart w:id="101" w:name="上游依赖-4"/>
    <w:p>
      <w:pPr>
        <w:pStyle w:val="Heading4"/>
      </w:pPr>
      <w:r>
        <w:t xml:space="preserve">7.3.2 上游依赖</w:t>
      </w:r>
    </w:p>
    <w:p>
      <w:pPr>
        <w:pStyle w:val="FirstParagraph"/>
      </w:pPr>
      <w:r>
        <w:t xml:space="preserve">蓝军审查重点随被审查Agent而异：对DOE Agent侧重参数合理性与统计有效性，对仿真Agent侧重模型假设，对RCP Agent侧重设备匹配与安全范围，对数据Agent侧重预测假设。</w:t>
      </w:r>
    </w:p>
    <w:p>
      <w:pPr>
        <w:pStyle w:val="BodyText"/>
      </w:pPr>
      <w:r>
        <w:t xml:space="preserve">HCP-MAD框架的三阶段机制为多Agent审查提供参考</w:t>
      </w:r>
      <w:fldSimple w:instr="NOTEREF _Ref_Footnote_105 \h \f">
        <w:r>
          <w:rPr>
            <w:vertAlign w:val="superscript"/>
          </w:rPr>
          <w:t>105</w:t>
        </w:r>
      </w:fldSimple>
      <w:r>
        <w:t xml:space="preserve">：异构共识验证（HCV）用于快速验证与早期终止，异构对偶辩论（HPAD）部署成对Agent相互批判，升级集体投票（ECT）聚合多元视角。蓝军在标准审查中扮演HCV验证者，深度审查中升级为HPAD批判参与者。</w:t>
      </w:r>
    </w:p>
    <w:bookmarkEnd w:id="101"/>
    <w:bookmarkStart w:id="102" w:name="下游贡献-4"/>
    <w:p>
      <w:pPr>
        <w:pStyle w:val="Heading4"/>
      </w:pPr>
      <w:r>
        <w:t xml:space="preserve">7.3.3 下游贡献</w:t>
      </w:r>
    </w:p>
    <w:p>
      <w:pPr>
        <w:pStyle w:val="FirstParagraph"/>
      </w:pPr>
      <w:r>
        <w:t xml:space="preserve">蓝军的审查结果向三类下游接收方传递价值。</w:t>
      </w:r>
      <w:r>
        <w:rPr>
          <w:bCs/>
          <w:b/>
        </w:rPr>
        <w:t xml:space="preserve">对Summary Agent</w:t>
      </w:r>
      <w:r>
        <w:t xml:space="preserve">，审查结论与评分作为可信度加权因子——通过的方案获高权重，不通过的降级或排除。</w:t>
      </w:r>
      <w:r>
        <w:rPr>
          <w:bCs/>
          <w:b/>
        </w:rPr>
        <w:t xml:space="preserve">对被审查Agent</w:t>
      </w:r>
      <w:r>
        <w:t xml:space="preserve">，结构化审查报告构成修订指令，驱动”生成→审查→修订→再审查”的迭代循环</w:t>
      </w:r>
      <w:r>
        <w:rPr>
          <w:vertAlign w:val="superscript"/>
        </w:rPr>
        <w:footnoteReference w:id="110"/>
      </w:r>
      <w:r>
        <w:t xml:space="preserve">。</w:t>
      </w:r>
      <w:r>
        <w:rPr>
          <w:bCs/>
          <w:b/>
        </w:rPr>
        <w:t xml:space="preserve">对主Agent</w:t>
      </w:r>
      <w:r>
        <w:t xml:space="preserve">，高风险问题自动上报作为调度决策依据。半导体制造安全框架整合FMEA和FTA识别潜在故障点</w:t>
      </w:r>
      <w:r>
        <w:rPr>
          <w:vertAlign w:val="superscript"/>
        </w:rPr>
        <w:footnoteReference w:id="111"/>
      </w:r>
      <w:r>
        <w:t xml:space="preserve">，蓝军的风险评估输出可直接接入该框架。蓝军与其他Agent的协作遵循Purple Team原则</w:t>
      </w:r>
      <w:r>
        <w:rPr>
          <w:vertAlign w:val="superscript"/>
        </w:rPr>
        <w:footnoteReference w:id="112"/>
      </w:r>
      <w:r>
        <w:t xml:space="preserve">——批判的目的不是否定方案，而是推动整体质量提升</w:t>
      </w:r>
      <w:fldSimple w:instr="NOTEREF _Ref_Footnote_100 \h \f">
        <w:r>
          <w:rPr>
            <w:vertAlign w:val="superscript"/>
          </w:rPr>
          <w:t>100</w:t>
        </w:r>
      </w:fldSimple>
      <w:r>
        <w:t xml:space="preserve">。</w:t>
      </w:r>
    </w:p>
    <w:bookmarkEnd w:id="102"/>
    <w:bookmarkEnd w:id="103"/>
    <w:bookmarkEnd w:id="104"/>
    <w:bookmarkStart w:id="117" w:name="triz创新方法分析subagent"/>
    <w:p>
      <w:pPr>
        <w:pStyle w:val="Heading2"/>
      </w:pPr>
      <w:r>
        <w:t xml:space="preserve">8. TRIZ（创新方法分析）SubAgent</w:t>
      </w:r>
    </w:p>
    <w:bookmarkStart w:id="109" w:name="技术能力设计-6"/>
    <w:p>
      <w:pPr>
        <w:pStyle w:val="Heading3"/>
      </w:pPr>
      <w:r>
        <w:t xml:space="preserve">8.1 技术能力设计</w:t>
      </w:r>
    </w:p>
    <w:p>
      <w:pPr>
        <w:pStyle w:val="FirstParagraph"/>
      </w:pPr>
      <w:r>
        <w:t xml:space="preserve">TRIZ（Theory of Inventive Problem Solving，发明问题解决理论）SubAgent在多智能体系统中定位为”创造性扰动源”。该Agent仅在特定创新触发场景下激活，为系统提供跳出局部最优所需的突破性思路</w:t>
      </w:r>
      <w:fldSimple w:instr="NOTEREF _Ref_Footnote_100 \h \f">
        <w:r>
          <w:rPr>
            <w:vertAlign w:val="superscript"/>
          </w:rPr>
          <w:t>100</w:t>
        </w:r>
      </w:fldSimple>
      <w:r>
        <w:t xml:space="preserve"> </w:t>
      </w:r>
      <w:r>
        <w:rPr>
          <w:vertAlign w:val="superscript"/>
        </w:rPr>
        <w:footnoteReference w:id="113"/>
      </w:r>
      <w:r>
        <w:t xml:space="preserve">。TRIZ由Altshuller团队通过分析全球超过200万件专利创立，其核心假设是技术系统的进化遵循客观规律，突破性方案来自消除矛盾而非接受妥协</w:t>
      </w:r>
      <w:r>
        <w:rPr>
          <w:vertAlign w:val="superscript"/>
        </w:rPr>
        <w:footnoteReference w:id="114"/>
      </w:r>
      <w:r>
        <w:t xml:space="preserve"> </w:t>
      </w:r>
      <w:r>
        <w:rPr>
          <w:vertAlign w:val="superscript"/>
        </w:rPr>
        <w:footnoteReference w:id="115"/>
      </w:r>
      <w:r>
        <w:t xml:space="preserve">。</w:t>
      </w:r>
    </w:p>
    <w:bookmarkStart w:id="105" w:name="矛盾分析与解决"/>
    <w:p>
      <w:pPr>
        <w:pStyle w:val="Heading4"/>
      </w:pPr>
      <w:r>
        <w:t xml:space="preserve">8.1.1 矛盾分析与解决</w:t>
      </w:r>
    </w:p>
    <w:p>
      <w:pPr>
        <w:pStyle w:val="FirstParagraph"/>
      </w:pPr>
      <w:r>
        <w:t xml:space="preserve">TRIZ SubAgent将蚀刻工艺问题映射为39个标准工程参数之间的矛盾对，涵盖物理/几何参数（重量、长度、面积）和品质/功能参数（制造精度、可靠性、生产率等）</w:t>
      </w:r>
      <w:r>
        <w:rPr>
          <w:vertAlign w:val="superscript"/>
        </w:rPr>
        <w:footnoteReference w:id="116"/>
      </w:r>
      <w:r>
        <w:t xml:space="preserve"> </w:t>
      </w:r>
      <w:r>
        <w:rPr>
          <w:vertAlign w:val="superscript"/>
        </w:rPr>
        <w:footnoteReference w:id="117"/>
      </w:r>
      <w:r>
        <w:t xml:space="preserve">。识别”改善参数A导致参数B恶化”的技术矛盾后，系统自动查询39×39矛盾矩阵获取1–4条推荐发明原理</w:t>
      </w:r>
      <w:r>
        <w:rPr>
          <w:vertAlign w:val="superscript"/>
        </w:rPr>
        <w:footnoteReference w:id="118"/>
      </w:r>
      <w:r>
        <w:t xml:space="preserve"> </w:t>
      </w:r>
      <w:r>
        <w:rPr>
          <w:vertAlign w:val="superscript"/>
        </w:rPr>
        <w:footnoteReference w:id="119"/>
      </w:r>
      <w:r>
        <w:t xml:space="preserve">。</w:t>
      </w:r>
    </w:p>
    <w:p>
      <w:pPr>
        <w:pStyle w:val="BodyText"/>
      </w:pPr>
      <w:r>
        <w:t xml:space="preserve">以3D NAND高深宽比沟槽蚀刻为例，</w:t>
      </w:r>
      <w:r>
        <w:t xml:space="preserve">“</w:t>
      </w:r>
      <w:r>
        <w:t xml:space="preserve">提高蚀刻速率</w:t>
      </w:r>
      <w:r>
        <w:t xml:space="preserve">”</w:t>
      </w:r>
      <w:r>
        <w:t xml:space="preserve">（改善参数：生产率#39）与”轮廓控制精度下降”（恶化参数：制造精度#29）构成技术矛盾，矩阵推荐原理3（局部质量）、原理15（动态化）和原理28（机械系统替代）</w:t>
      </w:r>
      <w:r>
        <w:rPr>
          <w:vertAlign w:val="superscript"/>
        </w:rPr>
        <w:footnoteReference w:id="120"/>
      </w:r>
      <w:r>
        <w:t xml:space="preserve"> </w:t>
      </w:r>
      <w:r>
        <w:rPr>
          <w:vertAlign w:val="superscript"/>
        </w:rPr>
        <w:footnoteReference w:id="121"/>
      </w:r>
      <w:r>
        <w:t xml:space="preserve">。SK Hynix在EFEM烟气滞留问题中，将问题建模为”排气口尺寸”与”内部空间限制”的技术矛盾，最终通过功能分析和发明原理应用解决了烟气排出问题</w:t>
      </w:r>
      <w:r>
        <w:rPr>
          <w:vertAlign w:val="superscript"/>
        </w:rPr>
        <w:footnoteReference w:id="122"/>
      </w:r>
      <w:r>
        <w:t xml:space="preserve">。</w:t>
      </w:r>
    </w:p>
    <w:p>
      <w:pPr>
        <w:pStyle w:val="BodyText"/>
      </w:pPr>
      <w:r>
        <w:t xml:space="preserve">对于物理矛盾——同一参数上互斥的要求，如”等离子体能量既要高又要低”——系统应用四种分离原理：空间分离（不同区域施加不同能量密度）、时间分离（主蚀刻高功率/过蚀刻低功率）、条件分离（实时终点检测动态切换）、整体与局部分离（整体中等能量，局部辅助补偿）</w:t>
      </w:r>
      <w:r>
        <w:rPr>
          <w:vertAlign w:val="superscript"/>
        </w:rPr>
        <w:footnoteReference w:id="123"/>
      </w:r>
      <w:r>
        <w:t xml:space="preserve"> </w:t>
      </w:r>
      <w:r>
        <w:rPr>
          <w:vertAlign w:val="superscript"/>
        </w:rPr>
        <w:footnoteReference w:id="124"/>
      </w:r>
      <w:r>
        <w:t xml:space="preserve">。</w:t>
      </w:r>
    </w:p>
    <w:bookmarkEnd w:id="105"/>
    <w:bookmarkStart w:id="106" w:name="功能分析与因果链"/>
    <w:p>
      <w:pPr>
        <w:pStyle w:val="Heading4"/>
      </w:pPr>
      <w:r>
        <w:t xml:space="preserve">8.1.2 功能分析与因果链</w:t>
      </w:r>
    </w:p>
    <w:p>
      <w:pPr>
        <w:pStyle w:val="FirstParagraph"/>
      </w:pPr>
      <w:r>
        <w:t xml:space="preserve">功能分析（Function Analysis, FA）将蚀刻系统建模为组件及功能关系网络，识别三类功能：有用功能（等离子体提供蚀刻能量）、有害功能（等离子体损伤光刻胶掩模）、不足功能（气体分布均匀性未达理想状态）</w:t>
      </w:r>
      <w:r>
        <w:rPr>
          <w:vertAlign w:val="superscript"/>
        </w:rPr>
        <w:footnoteReference w:id="125"/>
      </w:r>
      <w:r>
        <w:t xml:space="preserve"> </w:t>
      </w:r>
      <w:r>
        <w:rPr>
          <w:vertAlign w:val="superscript"/>
        </w:rPr>
        <w:footnoteReference w:id="126"/>
      </w:r>
      <w:r>
        <w:t xml:space="preserve">。因果链分析（Cause-Effect Chain Analysis, CECA）通过连续追问”为什么”追溯根本原因。以蚀刻残留物为例，CECA路径为：残留物致短路 → 蚀刻剂传输受阻 → 侧壁沉积层阻碍 → 间隔层设计与蚀刻动力学不匹配</w:t>
      </w:r>
      <w:fldSimple w:instr="NOTEREF _Ref_Footnote_120 \h \f">
        <w:r>
          <w:rPr>
            <w:vertAlign w:val="superscript"/>
          </w:rPr>
          <w:t>120</w:t>
        </w:r>
      </w:fldSimple>
      <w:r>
        <w:t xml:space="preserve">。终止条件为追溯到组织无法控制的外部因素或需改变基本物理/化学定律时停止。在台湾某半导体公司MCM/SiP组装案例中，FA与CECA联合应用将产量从接近0%提升至99%</w:t>
      </w:r>
      <w:r>
        <w:rPr>
          <w:vertAlign w:val="superscript"/>
        </w:rPr>
        <w:footnoteReference w:id="127"/>
      </w:r>
      <w:r>
        <w:t xml:space="preserve">。</w:t>
      </w:r>
    </w:p>
    <w:bookmarkEnd w:id="106"/>
    <w:bookmarkStart w:id="107" w:name="物场分析与标准解"/>
    <w:p>
      <w:pPr>
        <w:pStyle w:val="Heading4"/>
      </w:pPr>
      <w:r>
        <w:t xml:space="preserve">8.1.3 物场分析与标准解</w:t>
      </w:r>
    </w:p>
    <w:p>
      <w:pPr>
        <w:pStyle w:val="FirstParagraph"/>
      </w:pPr>
      <w:r>
        <w:t xml:space="preserve">物场分析（Su-Field）使用物质（S1, S2）和场（F）三元组建模系统功能行为。蚀刻场景中，S1为晶圆，S2为等离子体/蚀刻气体，F为电场/磁场/热场</w:t>
      </w:r>
      <w:r>
        <w:rPr>
          <w:vertAlign w:val="superscript"/>
        </w:rPr>
        <w:footnoteReference w:id="128"/>
      </w:r>
      <w:r>
        <w:t xml:space="preserve"> </w:t>
      </w:r>
      <w:r>
        <w:rPr>
          <w:vertAlign w:val="superscript"/>
        </w:rPr>
        <w:footnoteReference w:id="129"/>
      </w:r>
      <w:r>
        <w:t xml:space="preserve">。系统匹配76个标准解（分5大类：建立/破坏物场13个、增强物场23个、向超系统/微观级转化6个、检测与测量17个、简化策略17个）进行分类求解</w:t>
      </w:r>
      <w:r>
        <w:rPr>
          <w:vertAlign w:val="superscript"/>
        </w:rPr>
        <w:footnoteReference w:id="130"/>
      </w:r>
      <w:r>
        <w:t xml:space="preserve"> </w:t>
      </w:r>
      <w:r>
        <w:rPr>
          <w:vertAlign w:val="superscript"/>
        </w:rPr>
        <w:footnoteReference w:id="131"/>
      </w:r>
      <w:r>
        <w:t xml:space="preserve">。</w:t>
      </w:r>
    </w:p>
    <w:p>
      <w:pPr>
        <w:pStyle w:val="BodyText"/>
      </w:pPr>
      <w:r>
        <w:t xml:space="preserve">系统组件裁剪（Trimming）将被裁剪组件的功能转移给其他组件，在不损失功能的前提下减少组件数量</w:t>
      </w:r>
      <w:r>
        <w:rPr>
          <w:vertAlign w:val="superscript"/>
        </w:rPr>
        <w:footnoteReference w:id="132"/>
      </w:r>
      <w:r>
        <w:t xml:space="preserve"> </w:t>
      </w:r>
      <w:fldSimple w:instr="NOTEREF _Ref_Footnote_125 \h \f">
        <w:r>
          <w:rPr>
            <w:vertAlign w:val="superscript"/>
          </w:rPr>
          <w:t>125</w:t>
        </w:r>
      </w:fldSimple>
      <w:r>
        <w:t xml:space="preserve">。台湾半导体公司在CVD设备中应用该方法，实现元件数量减少83.3%、成本降低95%、运作能源减少99%</w:t>
      </w:r>
      <w:fldSimple w:instr="NOTEREF _Ref_Footnote_132 \h \f">
        <w:r>
          <w:rPr>
            <w:vertAlign w:val="superscript"/>
          </w:rPr>
          <w:t>132</w:t>
        </w:r>
      </w:fldSimple>
      <w:r>
        <w:t xml:space="preserve">。</w:t>
      </w:r>
    </w:p>
    <w:bookmarkEnd w:id="107"/>
    <w:bookmarkStart w:id="108" w:name="进化趋势预测"/>
    <w:p>
      <w:pPr>
        <w:pStyle w:val="Heading4"/>
      </w:pPr>
      <w:r>
        <w:t xml:space="preserve">8.1.4 进化趋势预测</w:t>
      </w:r>
    </w:p>
    <w:p>
      <w:pPr>
        <w:pStyle w:val="FirstParagraph"/>
      </w:pPr>
      <w:r>
        <w:t xml:space="preserve">TRIZ的8大技术系统进化法则（提高理想度、动态化、向微观级进化、自动化等）为蚀刻技术提供预测框架</w:t>
      </w:r>
      <w:fldSimple w:instr="NOTEREF _Ref_Footnote_115 \h \f">
        <w:r>
          <w:rPr>
            <w:vertAlign w:val="superscript"/>
          </w:rPr>
          <w:t>115</w:t>
        </w:r>
      </w:fldSimple>
      <w:r>
        <w:t xml:space="preserve"> </w:t>
      </w:r>
      <w:r>
        <w:rPr>
          <w:vertAlign w:val="superscript"/>
        </w:rPr>
        <w:footnoteReference w:id="133"/>
      </w:r>
      <w:r>
        <w:t xml:space="preserve">。干法蚀刻工具的演进——RIE → 磁控RIE → ECR → ICP → 未来干扰电离源——验证了动态化法则的预测：每代演进均增加等离子体控制自由度</w:t>
      </w:r>
      <w:r>
        <w:rPr>
          <w:vertAlign w:val="superscript"/>
        </w:rPr>
        <w:footnoteReference w:id="134"/>
      </w:r>
      <w:r>
        <w:t xml:space="preserve">。</w:t>
      </w:r>
    </w:p>
    <w:p>
      <w:pPr>
        <w:pStyle w:val="BodyText"/>
      </w:pPr>
      <w:r>
        <w:t xml:space="preserve">S曲线技术成熟度评估通过专利增长率、性能改进速率等参数，将技术定位在婴儿期、成长期、成熟期或衰退期</w:t>
      </w:r>
      <w:r>
        <w:rPr>
          <w:vertAlign w:val="superscript"/>
        </w:rPr>
        <w:footnoteReference w:id="135"/>
      </w:r>
      <w:r>
        <w:t xml:space="preserve"> </w:t>
      </w:r>
      <w:r>
        <w:rPr>
          <w:vertAlign w:val="superscript"/>
        </w:rPr>
        <w:footnoteReference w:id="136"/>
      </w:r>
      <w:r>
        <w:t xml:space="preserve">。评估结果为技术路线选择提供依据：婴儿期技术（如低温等离子体蚀刻）需DOE Agent大量探索，成熟期技术（如传统RIE）适合数据Agent参数微调。最终理想结果（Ideal Final Result, IFR）定义为”系统在不消耗额外资源下实现全部功能的目标状态”</w:t>
      </w:r>
      <w:r>
        <w:rPr>
          <w:vertAlign w:val="superscript"/>
        </w:rPr>
        <w:footnoteReference w:id="137"/>
      </w:r>
      <w:r>
        <w:t xml:space="preserve"> </w:t>
      </w:r>
      <w:fldSimple w:instr="NOTEREF _Ref_Footnote_135 \h \f">
        <w:r>
          <w:rPr>
            <w:vertAlign w:val="superscript"/>
          </w:rPr>
          <w:t>135</w:t>
        </w:r>
      </w:fldSimple>
      <w:r>
        <w:t xml:space="preserve">。蚀刻工艺中的IFR表述为”晶圆自我选择性去除目标材料，无需外部能量和掩模”，为创新方向提供基准线。</w:t>
      </w:r>
    </w:p>
    <w:bookmarkEnd w:id="108"/>
    <w:bookmarkEnd w:id="109"/>
    <w:bookmarkStart w:id="112" w:name="输入输出规范-6"/>
    <w:p>
      <w:pPr>
        <w:pStyle w:val="Heading3"/>
      </w:pPr>
      <w:r>
        <w:t xml:space="preserve">8.2 输入输出规范</w:t>
      </w:r>
    </w:p>
    <w:bookmarkStart w:id="110" w:name="输入json-schema-6"/>
    <w:p>
      <w:pPr>
        <w:pStyle w:val="Heading4"/>
      </w:pPr>
      <w:r>
        <w:t xml:space="preserve">8.2.1 输入JSON Schema</w:t>
      </w:r>
    </w:p>
    <w:p>
      <w:pPr>
        <w:pStyle w:val="FirstParagraph"/>
      </w:pPr>
      <w:r>
        <w:t xml:space="preserve">TRIZ SubAgent的输入Schema包含四个字段组。问题描述层：</w:t>
      </w:r>
      <w:r>
        <w:rPr>
          <w:rStyle w:val="VerbatimChar"/>
        </w:rPr>
        <w:t xml:space="preserve">problem_statement</w:t>
      </w:r>
      <w:r>
        <w:t xml:space="preserve">（字符串，必选）承载工艺问题自然语言描述；</w:t>
      </w:r>
      <w:r>
        <w:rPr>
          <w:rStyle w:val="VerbatimChar"/>
        </w:rPr>
        <w:t xml:space="preserve">problem_context</w:t>
      </w:r>
      <w:r>
        <w:t xml:space="preserve">（字符串，可选）补充环境和条件。系统信息层：</w:t>
      </w:r>
      <w:r>
        <w:rPr>
          <w:rStyle w:val="VerbatimChar"/>
        </w:rPr>
        <w:t xml:space="preserve">system_components</w:t>
      </w:r>
      <w:r>
        <w:t xml:space="preserve">（字符串列表，可选）枚举物理组件；</w:t>
      </w:r>
      <w:r>
        <w:rPr>
          <w:rStyle w:val="VerbatimChar"/>
        </w:rPr>
        <w:t xml:space="preserve">component_functions</w:t>
      </w:r>
      <w:r>
        <w:t xml:space="preserve">（字典，可选）记录功能描述。约束条件层：</w:t>
      </w:r>
      <w:r>
        <w:rPr>
          <w:rStyle w:val="VerbatimChar"/>
        </w:rPr>
        <w:t xml:space="preserve">technical_constraints</w:t>
      </w:r>
      <w:r>
        <w:t xml:space="preserve">（字符串列表，可选）定义技术边界；</w:t>
      </w:r>
      <w:r>
        <w:rPr>
          <w:rStyle w:val="VerbatimChar"/>
        </w:rPr>
        <w:t xml:space="preserve">resource_constraints</w:t>
      </w:r>
      <w:r>
        <w:t xml:space="preserve">（字符串列表，可选）限定可用资源。任务控制层：</w:t>
      </w:r>
      <w:r>
        <w:rPr>
          <w:rStyle w:val="VerbatimChar"/>
        </w:rPr>
        <w:t xml:space="preserve">task_type</w:t>
      </w:r>
      <w:r>
        <w:t xml:space="preserve">（枚举，必选）指定分析类型，可选</w:t>
      </w:r>
      <w:r>
        <w:rPr>
          <w:rStyle w:val="VerbatimChar"/>
        </w:rPr>
        <w:t xml:space="preserve">contradiction_analysis</w:t>
      </w:r>
      <w:r>
        <w:t xml:space="preserve"> </w:t>
      </w:r>
      <w:r>
        <w:rPr>
          <w:rStyle w:val="VerbatimChar"/>
        </w:rPr>
        <w:t xml:space="preserve">solution_generation</w:t>
      </w:r>
      <w:r>
        <w:t xml:space="preserve"> </w:t>
      </w:r>
      <w:r>
        <w:rPr>
          <w:rStyle w:val="VerbatimChar"/>
        </w:rPr>
        <w:t xml:space="preserve">evolution_forecast</w:t>
      </w:r>
      <w:r>
        <w:t xml:space="preserve"> </w:t>
      </w:r>
      <w:r>
        <w:rPr>
          <w:rStyle w:val="VerbatimChar"/>
        </w:rPr>
        <w:t xml:space="preserve">trimming_analysis</w:t>
      </w:r>
      <w:r>
        <w:t xml:space="preserve"> </w:t>
      </w:r>
      <w:r>
        <w:rPr>
          <w:rStyle w:val="VerbatimChar"/>
        </w:rPr>
        <w:t xml:space="preserve">full_triz_process</w:t>
      </w:r>
      <w:r>
        <w:t xml:space="preserve">；</w:t>
      </w:r>
      <w:r>
        <w:rPr>
          <w:rStyle w:val="VerbatimChar"/>
        </w:rPr>
        <w:t xml:space="preserve">depth_level</w:t>
      </w:r>
      <w:r>
        <w:t xml:space="preserve">（枚举，可选，默认</w:t>
      </w:r>
      <w:r>
        <w:rPr>
          <w:rStyle w:val="VerbatimChar"/>
        </w:rPr>
        <w:t xml:space="preserve">standard</w:t>
      </w:r>
      <w:r>
        <w:t xml:space="preserve">）取</w:t>
      </w:r>
      <w:r>
        <w:rPr>
          <w:rStyle w:val="VerbatimChar"/>
        </w:rPr>
        <w:t xml:space="preserve">basic</w:t>
      </w:r>
      <w:r>
        <w:t xml:space="preserve">/</w:t>
      </w:r>
      <w:r>
        <w:rPr>
          <w:rStyle w:val="VerbatimChar"/>
        </w:rPr>
        <w:t xml:space="preserve">standard</w:t>
      </w:r>
      <w:r>
        <w:t xml:space="preserve">/</w:t>
      </w:r>
      <w:r>
        <w:rPr>
          <w:rStyle w:val="VerbatimChar"/>
        </w:rPr>
        <w:t xml:space="preserve">advanced</w:t>
      </w:r>
      <w:r>
        <w:t xml:space="preserve">。</w:t>
      </w:r>
    </w:p>
    <w:bookmarkEnd w:id="110"/>
    <w:bookmarkStart w:id="111" w:name="输出json-schema-6"/>
    <w:p>
      <w:pPr>
        <w:pStyle w:val="Heading4"/>
      </w:pPr>
      <w:r>
        <w:t xml:space="preserve">8.2.2 输出JSON Schema</w:t>
      </w:r>
    </w:p>
    <w:p>
      <w:pPr>
        <w:pStyle w:val="FirstParagraph"/>
      </w:pPr>
      <w:r>
        <w:t xml:space="preserve">输出Schema包含六个字段组。问题建模层</w:t>
      </w:r>
      <w:r>
        <w:rPr>
          <w:rStyle w:val="VerbatimChar"/>
        </w:rPr>
        <w:t xml:space="preserve">problem_modeling</w:t>
      </w:r>
      <w:r>
        <w:t xml:space="preserve">（对象）返回功能分析和组件关系图。矛盾分析层</w:t>
      </w:r>
      <w:r>
        <w:rPr>
          <w:rStyle w:val="VerbatimChar"/>
        </w:rPr>
        <w:t xml:space="preserve">contradictions</w:t>
      </w:r>
      <w:r>
        <w:t xml:space="preserve">（列表）返回技术矛盾（含改善/恶化参数）和物理矛盾（含互斥需求）。工具应用层</w:t>
      </w:r>
      <w:r>
        <w:rPr>
          <w:rStyle w:val="VerbatimChar"/>
        </w:rPr>
        <w:t xml:space="preserve">recommended_principles</w:t>
      </w:r>
      <w:r>
        <w:t xml:space="preserve">（列表）返回推荐发明原理编号、名称及释义；</w:t>
      </w:r>
      <w:r>
        <w:rPr>
          <w:rStyle w:val="VerbatimChar"/>
        </w:rPr>
        <w:t xml:space="preserve">su_field_model</w:t>
      </w:r>
      <w:r>
        <w:t xml:space="preserve">（对象）返回物场模型（如适用）。解决方案层</w:t>
      </w:r>
      <w:r>
        <w:rPr>
          <w:rStyle w:val="VerbatimChar"/>
        </w:rPr>
        <w:t xml:space="preserve">solutions</w:t>
      </w:r>
      <w:r>
        <w:t xml:space="preserve">（列表）返回方案描述、所依据原理、可行性评估（高/中/低）和风险分析。方案评估层</w:t>
      </w:r>
      <w:r>
        <w:rPr>
          <w:rStyle w:val="VerbatimChar"/>
        </w:rPr>
        <w:t xml:space="preserve">ideality_score</w:t>
      </w:r>
      <w:r>
        <w:t xml:space="preserve">（浮点数0–1）按公式</w:t>
      </w:r>
      <m:oMath>
        <m:r>
          <m:rPr>
            <m:nor/>
            <m:sty m:val="p"/>
          </m:rPr>
          <m:t>Ideality</m:t>
        </m:r>
        <m:r>
          <m:rPr>
            <m:sty m:val="p"/>
          </m:rPr>
          <m:t>=</m:t>
        </m:r>
        <m:r>
          <m:rPr>
            <m:nor/>
            <m:sty m:val="p"/>
          </m:rPr>
          <m:t>Benefits</m:t>
        </m:r>
        <m:r>
          <m:rPr>
            <m:sty m:val="p"/>
          </m:rPr>
          <m:t>/</m:t>
        </m:r>
        <m:d>
          <m:dPr>
            <m:begChr m:val="("/>
            <m:endChr m:val=")"/>
            <m:sepChr m:val=""/>
            <m:grow/>
          </m:dPr>
          <m:e>
            <m:r>
              <m:rPr>
                <m:nor/>
                <m:sty m:val="p"/>
              </m:rPr>
              <m:t>Harms</m:t>
            </m:r>
            <m:r>
              <m:rPr>
                <m:sty m:val="p"/>
              </m:rPr>
              <m:t>+</m:t>
            </m:r>
            <m:r>
              <m:rPr>
                <m:nor/>
                <m:sty m:val="p"/>
              </m:rPr>
              <m:t>Costs</m:t>
            </m:r>
          </m:e>
        </m:d>
      </m:oMath>
      <w:r>
        <w:t xml:space="preserve">评分；</w:t>
      </w:r>
      <w:r>
        <w:rPr>
          <w:rStyle w:val="VerbatimChar"/>
        </w:rPr>
        <w:t xml:space="preserve">evolution_insights</w:t>
      </w:r>
      <w:r>
        <w:t xml:space="preserve">（字符串）在进化预测任务中返回S曲线定位和路线建议。执行日志层</w:t>
      </w:r>
      <w:r>
        <w:rPr>
          <w:rStyle w:val="VerbatimChar"/>
        </w:rPr>
        <w:t xml:space="preserve">reasoning_process</w:t>
      </w:r>
      <w:r>
        <w:t xml:space="preserve">（字符串）记录可解释推理过程；</w:t>
      </w:r>
      <w:r>
        <w:rPr>
          <w:rStyle w:val="VerbatimChar"/>
        </w:rPr>
        <w:t xml:space="preserve">references</w:t>
      </w:r>
      <w:r>
        <w:t xml:space="preserve">（列表）引用TRIZ知识和案例来源。</w:t>
      </w:r>
    </w:p>
    <w:bookmarkEnd w:id="111"/>
    <w:bookmarkEnd w:id="112"/>
    <w:bookmarkStart w:id="116" w:name="触发条件与协作关系-6"/>
    <w:p>
      <w:pPr>
        <w:pStyle w:val="Heading3"/>
      </w:pPr>
      <w:r>
        <w:t xml:space="preserve">8.3 触发条件与协作关系</w:t>
      </w:r>
    </w:p>
    <w:bookmarkStart w:id="113" w:name="触发条件-6"/>
    <w:p>
      <w:pPr>
        <w:pStyle w:val="Heading4"/>
      </w:pPr>
      <w:r>
        <w:t xml:space="preserve">8.3.1 触发条件</w:t>
      </w:r>
    </w:p>
    <w:p>
      <w:pPr>
        <w:pStyle w:val="FirstParagraph"/>
      </w:pPr>
      <w:r>
        <w:t xml:space="preserve">TRIZ SubAgent的激活遵循”战略储备”原则，分为三类触发条件。收敛停滞触发：当优化Agent连续</w:t>
      </w:r>
      <m:oMath>
        <m:r>
          <m:t>N</m:t>
        </m:r>
      </m:oMath>
      <w:r>
        <w:t xml:space="preserve">轮（默认</w:t>
      </w:r>
      <m:oMath>
        <m:r>
          <m:t>N</m:t>
        </m:r>
        <m:r>
          <m:rPr>
            <m:sty m:val="p"/>
          </m:rPr>
          <m:t>=</m:t>
        </m:r>
        <m:r>
          <m:t>5</m:t>
        </m:r>
      </m:oMath>
      <w:r>
        <w:t xml:space="preserve">）未改善目标指标且陷入局部最优时激活。知识空白触发：遇到全新工艺材料或器件结构且知识库无先例时，由TRIZ通过矛盾分析生成初始假设。系统性矛盾触发：当蓝军Agent发现”改善X必然恶化Y”的不可调和矛盾且常规策略已穷尽时，直接传递矛盾定义至TRIZ SubAgent。不触发条件包括：纯参数优化问题（由DOE Agent处理）、数据充足且已有标准解法的问题。</w:t>
      </w:r>
    </w:p>
    <w:bookmarkEnd w:id="113"/>
    <w:bookmarkStart w:id="114" w:name="上游依赖-5"/>
    <w:p>
      <w:pPr>
        <w:pStyle w:val="Heading4"/>
      </w:pPr>
      <w:r>
        <w:t xml:space="preserve">8.3.2 上游依赖</w:t>
      </w:r>
    </w:p>
    <w:p>
      <w:pPr>
        <w:pStyle w:val="FirstParagraph"/>
      </w:pPr>
      <w:r>
        <w:t xml:space="preserve">TRIZ SubAgent依赖两条上游链路。链路一接收蓝军Agent传递的系统性矛盾报告，包含改善参数、恶化参数、已尝试策略及效果，直接填充输入Schema的</w:t>
      </w:r>
      <w:r>
        <w:rPr>
          <w:rStyle w:val="VerbatimChar"/>
        </w:rPr>
        <w:t xml:space="preserve">contradictions</w:t>
      </w:r>
      <w:r>
        <w:t xml:space="preserve">字段。链路二接收文献Agent的跨领域案例素材。TRIZ的核心优势之一是跨领域类比——将其他领域（化工催化、材料表面处理等）的同构矛盾解决方案迁移至蚀刻问题</w:t>
      </w:r>
      <w:r>
        <w:rPr>
          <w:vertAlign w:val="superscript"/>
        </w:rPr>
        <w:footnoteReference w:id="138"/>
      </w:r>
      <w:r>
        <w:t xml:space="preserve"> </w:t>
      </w:r>
      <w:fldSimple w:instr="NOTEREF _Ref_Footnote_108 \h \f">
        <w:r>
          <w:rPr>
            <w:vertAlign w:val="superscript"/>
          </w:rPr>
          <w:t>108</w:t>
        </w:r>
      </w:fldSimple>
      <w:r>
        <w:t xml:space="preserve">。文献Agent负责构建语义网络映射这些跨领域类比关系。</w:t>
      </w:r>
    </w:p>
    <w:bookmarkEnd w:id="114"/>
    <w:bookmarkStart w:id="115" w:name="下游贡献-5"/>
    <w:p>
      <w:pPr>
        <w:pStyle w:val="Heading4"/>
      </w:pPr>
      <w:r>
        <w:t xml:space="preserve">8.3.3 下游贡献</w:t>
      </w:r>
    </w:p>
    <w:p>
      <w:pPr>
        <w:pStyle w:val="FirstParagraph"/>
      </w:pPr>
      <w:r>
        <w:t xml:space="preserve">TRIZ SubAgent的分析结果向三个下游Agent传递价值。对DOE Agent：TRIZ推荐的分离原理（如时间分离）转化为分阶段参数设计任务，发明原理提供跳出常规参数空间的实验维度。对机理Agent：</w:t>
      </w:r>
      <w:r>
        <w:t xml:space="preserve">“</w:t>
      </w:r>
      <w:r>
        <w:t xml:space="preserve">机械系统替代</w:t>
      </w:r>
      <w:r>
        <w:t xml:space="preserve">”</w:t>
      </w:r>
      <w:r>
        <w:t xml:space="preserve">等原理可转化为新反应路径建模假设，Su-Field模型为物理模型边界条件提供参考。对Summary Agent：多组解决方案及其理想度评分、可行性评估和风险分析构成报告中的”创新方案”章节，各方案均附带TRIZ原理依据和推理过程记录。</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TRIZ工具</w:t>
            </w:r>
          </w:p>
        </w:tc>
        <w:tc>
          <w:tcPr/>
          <w:p>
            <w:pPr>
              <w:pStyle w:val="Compact"/>
              <w:jc w:val="left"/>
            </w:pPr>
            <w:r>
              <w:t xml:space="preserve">核心功能</w:t>
            </w:r>
          </w:p>
        </w:tc>
        <w:tc>
          <w:tcPr/>
          <w:p>
            <w:pPr>
              <w:pStyle w:val="Compact"/>
              <w:jc w:val="left"/>
            </w:pPr>
            <w:r>
              <w:t xml:space="preserve">输入要求</w:t>
            </w:r>
          </w:p>
        </w:tc>
        <w:tc>
          <w:tcPr/>
          <w:p>
            <w:pPr>
              <w:pStyle w:val="Compact"/>
              <w:jc w:val="left"/>
            </w:pPr>
            <w:r>
              <w:t xml:space="preserve">半导体蚀刻适用场景</w:t>
            </w:r>
          </w:p>
        </w:tc>
        <w:tc>
          <w:tcPr/>
          <w:p>
            <w:pPr>
              <w:pStyle w:val="Compact"/>
              <w:jc w:val="left"/>
            </w:pPr>
            <w:r>
              <w:t xml:space="preserve">计算复杂度</w:t>
            </w:r>
          </w:p>
        </w:tc>
      </w:tr>
      <w:tr>
        <w:tc>
          <w:tcPr/>
          <w:p>
            <w:pPr>
              <w:pStyle w:val="Compact"/>
              <w:jc w:val="left"/>
            </w:pPr>
            <w:r>
              <w:t xml:space="preserve">矛盾矩阵（39×39）</w:t>
            </w:r>
          </w:p>
        </w:tc>
        <w:tc>
          <w:tcPr/>
          <w:p>
            <w:pPr>
              <w:pStyle w:val="Compact"/>
              <w:jc w:val="left"/>
            </w:pPr>
            <w:r>
              <w:t xml:space="preserve">技术矛盾→发明原理映射</w:t>
            </w:r>
          </w:p>
        </w:tc>
        <w:tc>
          <w:tcPr/>
          <w:p>
            <w:pPr>
              <w:pStyle w:val="Compact"/>
              <w:jc w:val="left"/>
            </w:pPr>
            <w:r>
              <w:t xml:space="preserve">改善/恶化参数编号</w:t>
            </w:r>
          </w:p>
        </w:tc>
        <w:tc>
          <w:tcPr/>
          <w:p>
            <w:pPr>
              <w:pStyle w:val="Compact"/>
              <w:jc w:val="left"/>
            </w:pPr>
            <w:r>
              <w:t xml:space="preserve">速率-选择性权衡、均匀性-复杂性平衡</w:t>
            </w:r>
          </w:p>
        </w:tc>
        <w:tc>
          <w:tcPr/>
          <w:p>
            <w:pPr>
              <w:pStyle w:val="Compact"/>
              <w:jc w:val="left"/>
            </w:pPr>
            <w:r>
              <w:t xml:space="preserve">O(1)查表</w:t>
            </w:r>
          </w:p>
        </w:tc>
      </w:tr>
      <w:tr>
        <w:tc>
          <w:tcPr/>
          <w:p>
            <w:pPr>
              <w:pStyle w:val="Compact"/>
              <w:jc w:val="left"/>
            </w:pPr>
            <w:r>
              <w:t xml:space="preserve">分离原理（4种）</w:t>
            </w:r>
          </w:p>
        </w:tc>
        <w:tc>
          <w:tcPr/>
          <w:p>
            <w:pPr>
              <w:pStyle w:val="Compact"/>
              <w:jc w:val="left"/>
            </w:pPr>
            <w:r>
              <w:t xml:space="preserve">物理矛盾化解</w:t>
            </w:r>
          </w:p>
        </w:tc>
        <w:tc>
          <w:tcPr/>
          <w:p>
            <w:pPr>
              <w:pStyle w:val="Compact"/>
              <w:jc w:val="left"/>
            </w:pPr>
            <w:r>
              <w:t xml:space="preserve">矛盾参数、互斥需求</w:t>
            </w:r>
          </w:p>
        </w:tc>
        <w:tc>
          <w:tcPr/>
          <w:p>
            <w:pPr>
              <w:pStyle w:val="Compact"/>
              <w:jc w:val="left"/>
            </w:pPr>
            <w:r>
              <w:t xml:space="preserve">等离子体能量高低兼顾</w:t>
            </w:r>
          </w:p>
        </w:tc>
        <w:tc>
          <w:tcPr/>
          <w:p>
            <w:pPr>
              <w:pStyle w:val="Compact"/>
              <w:jc w:val="left"/>
            </w:pPr>
            <w:r>
              <w:t xml:space="preserve">O(1)规则匹配</w:t>
            </w:r>
          </w:p>
        </w:tc>
      </w:tr>
      <w:tr>
        <w:tc>
          <w:tcPr/>
          <w:p>
            <w:pPr>
              <w:pStyle w:val="Compact"/>
              <w:jc w:val="left"/>
            </w:pPr>
            <w:r>
              <w:t xml:space="preserve">功能分析（FA）</w:t>
            </w:r>
          </w:p>
        </w:tc>
        <w:tc>
          <w:tcPr/>
          <w:p>
            <w:pPr>
              <w:pStyle w:val="Compact"/>
              <w:jc w:val="left"/>
            </w:pPr>
            <w:r>
              <w:t xml:space="preserve">组件功能分类</w:t>
            </w:r>
          </w:p>
        </w:tc>
        <w:tc>
          <w:tcPr/>
          <w:p>
            <w:pPr>
              <w:pStyle w:val="Compact"/>
              <w:jc w:val="left"/>
            </w:pPr>
            <w:r>
              <w:t xml:space="preserve">系统组件清单及交互</w:t>
            </w:r>
          </w:p>
        </w:tc>
        <w:tc>
          <w:tcPr/>
          <w:p>
            <w:pPr>
              <w:pStyle w:val="Compact"/>
              <w:jc w:val="left"/>
            </w:pPr>
            <w:r>
              <w:t xml:space="preserve">设备故障诊断、质量根因分析</w:t>
            </w:r>
          </w:p>
        </w:tc>
        <w:tc>
          <w:tcPr/>
          <w:p>
            <w:pPr>
              <w:pStyle w:val="Compact"/>
              <w:jc w:val="left"/>
            </w:pPr>
            <w:r>
              <w:t xml:space="preserve">O(n²)</w:t>
            </w:r>
          </w:p>
        </w:tc>
      </w:tr>
      <w:tr>
        <w:tc>
          <w:tcPr/>
          <w:p>
            <w:pPr>
              <w:pStyle w:val="Compact"/>
              <w:jc w:val="left"/>
            </w:pPr>
            <w:r>
              <w:t xml:space="preserve">因果链分析（CECA）</w:t>
            </w:r>
          </w:p>
        </w:tc>
        <w:tc>
          <w:tcPr/>
          <w:p>
            <w:pPr>
              <w:pStyle w:val="Compact"/>
              <w:jc w:val="left"/>
            </w:pPr>
            <w:r>
              <w:t xml:space="preserve">根因追溯</w:t>
            </w:r>
          </w:p>
        </w:tc>
        <w:tc>
          <w:tcPr/>
          <w:p>
            <w:pPr>
              <w:pStyle w:val="Compact"/>
              <w:jc w:val="left"/>
            </w:pPr>
            <w:r>
              <w:t xml:space="preserve">表面问题描述</w:t>
            </w:r>
          </w:p>
        </w:tc>
        <w:tc>
          <w:tcPr/>
          <w:p>
            <w:pPr>
              <w:pStyle w:val="Compact"/>
              <w:jc w:val="left"/>
            </w:pPr>
            <w:r>
              <w:t xml:space="preserve">残留物机理、颗粒来源、设备失效</w:t>
            </w:r>
          </w:p>
        </w:tc>
        <w:tc>
          <w:tcPr/>
          <w:p>
            <w:pPr>
              <w:pStyle w:val="Compact"/>
              <w:jc w:val="left"/>
            </w:pPr>
            <w:r>
              <w:t xml:space="preserve">O(k)</w:t>
            </w:r>
          </w:p>
        </w:tc>
      </w:tr>
      <w:tr>
        <w:tc>
          <w:tcPr/>
          <w:p>
            <w:pPr>
              <w:pStyle w:val="Compact"/>
              <w:jc w:val="left"/>
            </w:pPr>
            <w:r>
              <w:t xml:space="preserve">物场分析（Su-Field）</w:t>
            </w:r>
          </w:p>
        </w:tc>
        <w:tc>
          <w:tcPr/>
          <w:p>
            <w:pPr>
              <w:pStyle w:val="Compact"/>
              <w:jc w:val="left"/>
            </w:pPr>
            <w:r>
              <w:t xml:space="preserve">功能三元组建模</w:t>
            </w:r>
          </w:p>
        </w:tc>
        <w:tc>
          <w:tcPr/>
          <w:p>
            <w:pPr>
              <w:pStyle w:val="Compact"/>
              <w:jc w:val="left"/>
            </w:pPr>
            <w:r>
              <w:t xml:space="preserve">S1/S2/F类型</w:t>
            </w:r>
          </w:p>
        </w:tc>
        <w:tc>
          <w:tcPr/>
          <w:p>
            <w:pPr>
              <w:pStyle w:val="Compact"/>
              <w:jc w:val="left"/>
            </w:pPr>
            <w:r>
              <w:t xml:space="preserve">等离子体-晶圆相互作用、概念设计</w:t>
            </w:r>
          </w:p>
        </w:tc>
        <w:tc>
          <w:tcPr/>
          <w:p>
            <w:pPr>
              <w:pStyle w:val="Compact"/>
              <w:jc w:val="left"/>
            </w:pPr>
            <w:r>
              <w:t xml:space="preserve">O(76)匹配</w:t>
            </w:r>
          </w:p>
        </w:tc>
      </w:tr>
      <w:tr>
        <w:tc>
          <w:tcPr/>
          <w:p>
            <w:pPr>
              <w:pStyle w:val="Compact"/>
              <w:jc w:val="left"/>
            </w:pPr>
            <w:r>
              <w:t xml:space="preserve">系统裁剪（Trimming）</w:t>
            </w:r>
          </w:p>
        </w:tc>
        <w:tc>
          <w:tcPr/>
          <w:p>
            <w:pPr>
              <w:pStyle w:val="Compact"/>
              <w:jc w:val="left"/>
            </w:pPr>
            <w:r>
              <w:t xml:space="preserve">组件精简与功能转移</w:t>
            </w:r>
          </w:p>
        </w:tc>
        <w:tc>
          <w:tcPr/>
          <w:p>
            <w:pPr>
              <w:pStyle w:val="Compact"/>
              <w:jc w:val="left"/>
            </w:pPr>
            <w:r>
              <w:t xml:space="preserve">组件图及功能列表</w:t>
            </w:r>
          </w:p>
        </w:tc>
        <w:tc>
          <w:tcPr/>
          <w:p>
            <w:pPr>
              <w:pStyle w:val="Compact"/>
              <w:jc w:val="left"/>
            </w:pPr>
            <w:r>
              <w:t xml:space="preserve">设备架构简化、成本削减</w:t>
            </w:r>
          </w:p>
        </w:tc>
        <w:tc>
          <w:tcPr/>
          <w:p>
            <w:pPr>
              <w:pStyle w:val="Compact"/>
              <w:jc w:val="left"/>
            </w:pPr>
            <w:r>
              <w:t xml:space="preserve">启发式O(n²)</w:t>
            </w:r>
          </w:p>
        </w:tc>
      </w:tr>
      <w:tr>
        <w:tc>
          <w:tcPr/>
          <w:p>
            <w:pPr>
              <w:pStyle w:val="Compact"/>
              <w:jc w:val="left"/>
            </w:pPr>
            <w:r>
              <w:t xml:space="preserve">进化趋势分析</w:t>
            </w:r>
          </w:p>
        </w:tc>
        <w:tc>
          <w:tcPr/>
          <w:p>
            <w:pPr>
              <w:pStyle w:val="Compact"/>
              <w:jc w:val="left"/>
            </w:pPr>
            <w:r>
              <w:t xml:space="preserve">技术成熟度预测</w:t>
            </w:r>
          </w:p>
        </w:tc>
        <w:tc>
          <w:tcPr/>
          <w:p>
            <w:pPr>
              <w:pStyle w:val="Compact"/>
              <w:jc w:val="left"/>
            </w:pPr>
            <w:r>
              <w:t xml:space="preserve">专利/性能历史数据</w:t>
            </w:r>
          </w:p>
        </w:tc>
        <w:tc>
          <w:tcPr/>
          <w:p>
            <w:pPr>
              <w:pStyle w:val="Compact"/>
              <w:jc w:val="left"/>
            </w:pPr>
            <w:r>
              <w:t xml:space="preserve">下一代技术路线评估</w:t>
            </w:r>
          </w:p>
        </w:tc>
        <w:tc>
          <w:tcPr/>
          <w:p>
            <w:pPr>
              <w:pStyle w:val="Compact"/>
              <w:jc w:val="left"/>
            </w:pPr>
            <w:r>
              <w:t xml:space="preserve">O(m)</w:t>
            </w:r>
          </w:p>
        </w:tc>
      </w:tr>
      <w:tr>
        <w:tc>
          <w:tcPr/>
          <w:p>
            <w:pPr>
              <w:pStyle w:val="Compact"/>
              <w:jc w:val="left"/>
            </w:pPr>
            <w:r>
              <w:t xml:space="preserve">ARIZ算法</w:t>
            </w:r>
          </w:p>
        </w:tc>
        <w:tc>
          <w:tcPr/>
          <w:p>
            <w:pPr>
              <w:pStyle w:val="Compact"/>
              <w:jc w:val="left"/>
            </w:pPr>
            <w:r>
              <w:t xml:space="preserve">系统化问题重构求解</w:t>
            </w:r>
          </w:p>
        </w:tc>
        <w:tc>
          <w:tcPr/>
          <w:p>
            <w:pPr>
              <w:pStyle w:val="Compact"/>
              <w:jc w:val="left"/>
            </w:pPr>
            <w:r>
              <w:t xml:space="preserve">完整问题描述、资源清单</w:t>
            </w:r>
          </w:p>
        </w:tc>
        <w:tc>
          <w:tcPr/>
          <w:p>
            <w:pPr>
              <w:pStyle w:val="Compact"/>
              <w:jc w:val="left"/>
            </w:pPr>
            <w:r>
              <w:t xml:space="preserve">复杂多矛盾耦合问题</w:t>
            </w:r>
          </w:p>
        </w:tc>
        <w:tc>
          <w:tcPr/>
          <w:p>
            <w:pPr>
              <w:pStyle w:val="Compact"/>
              <w:jc w:val="left"/>
            </w:pPr>
            <w:r>
              <w:t xml:space="preserve">固定9步流程</w:t>
            </w:r>
          </w:p>
        </w:tc>
      </w:tr>
    </w:tbl>
    <w:p>
      <w:pPr>
        <w:pStyle w:val="BodyText"/>
      </w:pPr>
      <w:r>
        <w:t xml:space="preserve">上表对比了TRIZ方法论体系中的8项核心工具。矛盾矩阵和分离原理因O(1)复杂度适合高频调用；功能分析与CECA组合在质量根因分析中有将产量从0%提升至99%的实证</w:t>
      </w:r>
      <w:fldSimple w:instr="NOTEREF _Ref_Footnote_127 \h \f">
        <w:r>
          <w:rPr>
            <w:vertAlign w:val="superscript"/>
          </w:rPr>
          <w:t>127</w:t>
        </w:r>
      </w:fldSimple>
      <w:r>
        <w:t xml:space="preserve">；Trimming在设备架构简化中可实现83.3%元件削减</w:t>
      </w:r>
      <w:fldSimple w:instr="NOTEREF _Ref_Footnote_132 \h \f">
        <w:r>
          <w:rPr>
            <w:vertAlign w:val="superscript"/>
          </w:rPr>
          <w:t>132</w:t>
        </w:r>
      </w:fldSimple>
      <w:r>
        <w:t xml:space="preserve">；进化趋势分析适合低频战略任务；ARIZ算法仅在</w:t>
      </w:r>
      <w:r>
        <w:rPr>
          <w:rStyle w:val="VerbatimChar"/>
        </w:rPr>
        <w:t xml:space="preserve">full_triz_process</w:t>
      </w:r>
      <w:r>
        <w:t xml:space="preserve">任务和</w:t>
      </w:r>
      <w:r>
        <w:rPr>
          <w:rStyle w:val="VerbatimChar"/>
        </w:rPr>
        <w:t xml:space="preserve">advanced</w:t>
      </w:r>
      <w:r>
        <w:t xml:space="preserve">深度下激活。</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工艺环节</w:t>
            </w:r>
          </w:p>
        </w:tc>
        <w:tc>
          <w:tcPr/>
          <w:p>
            <w:pPr>
              <w:pStyle w:val="Compact"/>
              <w:jc w:val="left"/>
            </w:pPr>
            <w:r>
              <w:t xml:space="preserve">技术矛盾（改善 vs. 恶化）</w:t>
            </w:r>
          </w:p>
        </w:tc>
        <w:tc>
          <w:tcPr/>
          <w:p>
            <w:pPr>
              <w:pStyle w:val="Compact"/>
              <w:jc w:val="left"/>
            </w:pPr>
            <w:r>
              <w:t xml:space="preserve">适用发明原理</w:t>
            </w:r>
          </w:p>
        </w:tc>
        <w:tc>
          <w:tcPr/>
          <w:p>
            <w:pPr>
              <w:pStyle w:val="Compact"/>
              <w:jc w:val="left"/>
            </w:pPr>
            <w:r>
              <w:t xml:space="preserve">置信度</w:t>
            </w:r>
          </w:p>
        </w:tc>
      </w:tr>
      <w:tr>
        <w:tc>
          <w:tcPr/>
          <w:p>
            <w:pPr>
              <w:pStyle w:val="Compact"/>
              <w:jc w:val="left"/>
            </w:pPr>
            <w:r>
              <w:t xml:space="preserve">蚀刻速率优化</w:t>
            </w:r>
          </w:p>
        </w:tc>
        <w:tc>
          <w:tcPr/>
          <w:p>
            <w:pPr>
              <w:pStyle w:val="Compact"/>
              <w:jc w:val="left"/>
            </w:pPr>
            <w:r>
              <w:t xml:space="preserve">生产率（#39）vs. 制造精度（#29）</w:t>
            </w:r>
          </w:p>
        </w:tc>
        <w:tc>
          <w:tcPr/>
          <w:p>
            <w:pPr>
              <w:pStyle w:val="Compact"/>
              <w:jc w:val="left"/>
            </w:pPr>
            <w:r>
              <w:t xml:space="preserve">#3局部质量, #28机械替代</w:t>
            </w:r>
          </w:p>
        </w:tc>
        <w:tc>
          <w:tcPr/>
          <w:p>
            <w:pPr>
              <w:pStyle w:val="Compact"/>
              <w:jc w:val="left"/>
            </w:pPr>
            <w:r>
              <w:t xml:space="preserve">高</w:t>
            </w:r>
          </w:p>
        </w:tc>
      </w:tr>
      <w:tr>
        <w:tc>
          <w:tcPr/>
          <w:p>
            <w:pPr>
              <w:pStyle w:val="Compact"/>
              <w:jc w:val="left"/>
            </w:pPr>
            <w:r>
              <w:t xml:space="preserve">选择性蚀刻</w:t>
            </w:r>
          </w:p>
        </w:tc>
        <w:tc>
          <w:tcPr/>
          <w:p>
            <w:pPr>
              <w:pStyle w:val="Compact"/>
              <w:jc w:val="left"/>
            </w:pPr>
            <w:r>
              <w:t xml:space="preserve">材料选择性（#35）vs. 蚀刻速率（#39）</w:t>
            </w:r>
          </w:p>
        </w:tc>
        <w:tc>
          <w:tcPr/>
          <w:p>
            <w:pPr>
              <w:pStyle w:val="Compact"/>
              <w:jc w:val="left"/>
            </w:pPr>
            <w:r>
              <w:t xml:space="preserve">#1分割, #32颜色改变</w:t>
            </w:r>
          </w:p>
        </w:tc>
        <w:tc>
          <w:tcPr/>
          <w:p>
            <w:pPr>
              <w:pStyle w:val="Compact"/>
              <w:jc w:val="left"/>
            </w:pPr>
            <w:r>
              <w:t xml:space="preserve">高</w:t>
            </w:r>
          </w:p>
        </w:tc>
      </w:tr>
      <w:tr>
        <w:tc>
          <w:tcPr/>
          <w:p>
            <w:pPr>
              <w:pStyle w:val="Compact"/>
              <w:jc w:val="left"/>
            </w:pPr>
            <w:r>
              <w:t xml:space="preserve">高深宽比蚀刻</w:t>
            </w:r>
          </w:p>
        </w:tc>
        <w:tc>
          <w:tcPr/>
          <w:p>
            <w:pPr>
              <w:pStyle w:val="Compact"/>
              <w:jc w:val="left"/>
            </w:pPr>
            <w:r>
              <w:t xml:space="preserve">深度/精度（#29）vs. 轮廓控制（#28）</w:t>
            </w:r>
          </w:p>
        </w:tc>
        <w:tc>
          <w:tcPr/>
          <w:p>
            <w:pPr>
              <w:pStyle w:val="Compact"/>
              <w:jc w:val="left"/>
            </w:pPr>
            <w:r>
              <w:t xml:space="preserve">#15动态化, #17维数变化</w:t>
            </w:r>
          </w:p>
        </w:tc>
        <w:tc>
          <w:tcPr/>
          <w:p>
            <w:pPr>
              <w:pStyle w:val="Compact"/>
              <w:jc w:val="left"/>
            </w:pPr>
            <w:r>
              <w:t xml:space="preserve">高</w:t>
            </w:r>
          </w:p>
        </w:tc>
      </w:tr>
      <w:tr>
        <w:tc>
          <w:tcPr/>
          <w:p>
            <w:pPr>
              <w:pStyle w:val="Compact"/>
              <w:jc w:val="left"/>
            </w:pPr>
            <w:r>
              <w:t xml:space="preserve">等离子体均匀性</w:t>
            </w:r>
          </w:p>
        </w:tc>
        <w:tc>
          <w:tcPr/>
          <w:p>
            <w:pPr>
              <w:pStyle w:val="Compact"/>
              <w:jc w:val="left"/>
            </w:pPr>
            <w:r>
              <w:t xml:space="preserve">均匀性（#30）vs. 设备复杂性（#36）</w:t>
            </w:r>
          </w:p>
        </w:tc>
        <w:tc>
          <w:tcPr/>
          <w:p>
            <w:pPr>
              <w:pStyle w:val="Compact"/>
              <w:jc w:val="left"/>
            </w:pPr>
            <w:r>
              <w:t xml:space="preserve">#24中介物, #3局部质量</w:t>
            </w:r>
          </w:p>
        </w:tc>
        <w:tc>
          <w:tcPr/>
          <w:p>
            <w:pPr>
              <w:pStyle w:val="Compact"/>
              <w:jc w:val="left"/>
            </w:pPr>
            <w:r>
              <w:t xml:space="preserve">中</w:t>
            </w:r>
          </w:p>
        </w:tc>
      </w:tr>
      <w:tr>
        <w:tc>
          <w:tcPr/>
          <w:p>
            <w:pPr>
              <w:pStyle w:val="Compact"/>
              <w:jc w:val="left"/>
            </w:pPr>
            <w:r>
              <w:t xml:space="preserve">颗粒控制</w:t>
            </w:r>
          </w:p>
        </w:tc>
        <w:tc>
          <w:tcPr/>
          <w:p>
            <w:pPr>
              <w:pStyle w:val="Compact"/>
              <w:jc w:val="left"/>
            </w:pPr>
            <w:r>
              <w:t xml:space="preserve">清洁度（#26）vs. 产量（#39）</w:t>
            </w:r>
          </w:p>
        </w:tc>
        <w:tc>
          <w:tcPr/>
          <w:p>
            <w:pPr>
              <w:pStyle w:val="Compact"/>
              <w:jc w:val="left"/>
            </w:pPr>
            <w:r>
              <w:t xml:space="preserve">#2抽取, #10预先作用</w:t>
            </w:r>
          </w:p>
        </w:tc>
        <w:tc>
          <w:tcPr/>
          <w:p>
            <w:pPr>
              <w:pStyle w:val="Compact"/>
              <w:jc w:val="left"/>
            </w:pPr>
            <w:r>
              <w:t xml:space="preserve">中</w:t>
            </w:r>
          </w:p>
        </w:tc>
      </w:tr>
      <w:tr>
        <w:tc>
          <w:tcPr/>
          <w:p>
            <w:pPr>
              <w:pStyle w:val="Compact"/>
              <w:jc w:val="left"/>
            </w:pPr>
            <w:r>
              <w:t xml:space="preserve">热管理</w:t>
            </w:r>
          </w:p>
        </w:tc>
        <w:tc>
          <w:tcPr/>
          <w:p>
            <w:pPr>
              <w:pStyle w:val="Compact"/>
              <w:jc w:val="left"/>
            </w:pPr>
            <w:r>
              <w:t xml:space="preserve">温度控制（#17）vs. 结构完整性（#14）</w:t>
            </w:r>
          </w:p>
        </w:tc>
        <w:tc>
          <w:tcPr/>
          <w:p>
            <w:pPr>
              <w:pStyle w:val="Compact"/>
              <w:jc w:val="left"/>
            </w:pPr>
            <w:r>
              <w:t xml:space="preserve">#35参数变化, #40复合材料</w:t>
            </w:r>
          </w:p>
        </w:tc>
        <w:tc>
          <w:tcPr/>
          <w:p>
            <w:pPr>
              <w:pStyle w:val="Compact"/>
              <w:jc w:val="left"/>
            </w:pPr>
            <w:r>
              <w:t xml:space="preserve">高</w:t>
            </w:r>
          </w:p>
        </w:tc>
      </w:tr>
      <w:tr>
        <w:tc>
          <w:tcPr/>
          <w:p>
            <w:pPr>
              <w:pStyle w:val="Compact"/>
              <w:jc w:val="left"/>
            </w:pPr>
            <w:r>
              <w:t xml:space="preserve">蚀刻残留物</w:t>
            </w:r>
          </w:p>
        </w:tc>
        <w:tc>
          <w:tcPr/>
          <w:p>
            <w:pPr>
              <w:pStyle w:val="Compact"/>
              <w:jc w:val="left"/>
            </w:pPr>
            <w:r>
              <w:t xml:space="preserve">制造精度（#29）vs. 有害因素（#31）</w:t>
            </w:r>
          </w:p>
        </w:tc>
        <w:tc>
          <w:tcPr/>
          <w:p>
            <w:pPr>
              <w:pStyle w:val="Compact"/>
              <w:jc w:val="left"/>
            </w:pPr>
            <w:r>
              <w:t xml:space="preserve">#10预先作用, #3局部质量</w:t>
            </w:r>
          </w:p>
        </w:tc>
        <w:tc>
          <w:tcPr/>
          <w:p>
            <w:pPr>
              <w:pStyle w:val="Compact"/>
              <w:jc w:val="left"/>
            </w:pPr>
            <w:r>
              <w:t xml:space="preserve">高</w:t>
            </w:r>
          </w:p>
        </w:tc>
      </w:tr>
      <w:tr>
        <w:tc>
          <w:tcPr/>
          <w:p>
            <w:pPr>
              <w:pStyle w:val="Compact"/>
              <w:jc w:val="left"/>
            </w:pPr>
            <w:r>
              <w:t xml:space="preserve">气隙间隔层</w:t>
            </w:r>
          </w:p>
        </w:tc>
        <w:tc>
          <w:tcPr/>
          <w:p>
            <w:pPr>
              <w:pStyle w:val="Compact"/>
              <w:jc w:val="left"/>
            </w:pPr>
            <w:r>
              <w:t xml:space="preserve">电容降低（#22）vs. 结构复杂性（#36）</w:t>
            </w:r>
          </w:p>
        </w:tc>
        <w:tc>
          <w:tcPr/>
          <w:p>
            <w:pPr>
              <w:pStyle w:val="Compact"/>
              <w:jc w:val="left"/>
            </w:pPr>
            <w:r>
              <w:t xml:space="preserve">#31多孔材料, #2抽取</w:t>
            </w:r>
          </w:p>
        </w:tc>
        <w:tc>
          <w:tcPr/>
          <w:p>
            <w:pPr>
              <w:pStyle w:val="Compact"/>
              <w:jc w:val="left"/>
            </w:pPr>
            <w:r>
              <w:t xml:space="preserve">高</w:t>
            </w:r>
          </w:p>
        </w:tc>
      </w:tr>
      <w:tr>
        <w:tc>
          <w:tcPr/>
          <w:p>
            <w:pPr>
              <w:pStyle w:val="Compact"/>
              <w:jc w:val="left"/>
            </w:pPr>
            <w:r>
              <w:t xml:space="preserve">选择性图案形成</w:t>
            </w:r>
          </w:p>
        </w:tc>
        <w:tc>
          <w:tcPr/>
          <w:p>
            <w:pPr>
              <w:pStyle w:val="Compact"/>
              <w:jc w:val="left"/>
            </w:pPr>
            <w:r>
              <w:t xml:space="preserve">间距缩减（#4）vs. 制造精度（#29）</w:t>
            </w:r>
          </w:p>
        </w:tc>
        <w:tc>
          <w:tcPr/>
          <w:p>
            <w:pPr>
              <w:pStyle w:val="Compact"/>
              <w:jc w:val="left"/>
            </w:pPr>
            <w:r>
              <w:t xml:space="preserve">#28机械替代, #2抽取</w:t>
            </w:r>
          </w:p>
        </w:tc>
        <w:tc>
          <w:tcPr/>
          <w:p>
            <w:pPr>
              <w:pStyle w:val="Compact"/>
              <w:jc w:val="left"/>
            </w:pPr>
            <w:r>
              <w:t xml:space="preserve">高</w:t>
            </w:r>
          </w:p>
        </w:tc>
      </w:tr>
    </w:tbl>
    <w:p>
      <w:pPr>
        <w:pStyle w:val="BodyText"/>
      </w:pPr>
      <w:r>
        <w:t xml:space="preserve">上表汇总了蚀刻工艺中9个典型环节的技术矛盾映射。</w:t>
      </w:r>
      <w:r>
        <w:t xml:space="preserve">“</w:t>
      </w:r>
      <w:r>
        <w:t xml:space="preserve">高</w:t>
      </w:r>
      <w:r>
        <w:t xml:space="preserve">”</w:t>
      </w:r>
      <w:r>
        <w:t xml:space="preserve">置信度条目有≥2个独立案例支撑</w:t>
      </w:r>
      <w:fldSimple w:instr="NOTEREF _Ref_Footnote_122 \h \f">
        <w:r>
          <w:rPr>
            <w:vertAlign w:val="superscript"/>
          </w:rPr>
          <w:t>122</w:t>
        </w:r>
      </w:fldSimple>
      <w:r>
        <w:t xml:space="preserve"> </w:t>
      </w:r>
      <w:fldSimple w:instr="NOTEREF _Ref_Footnote_120 \h \f">
        <w:r>
          <w:rPr>
            <w:vertAlign w:val="superscript"/>
          </w:rPr>
          <w:t>120</w:t>
        </w:r>
      </w:fldSimple>
      <w:r>
        <w:t xml:space="preserve"> </w:t>
      </w:r>
      <w:r>
        <w:rPr>
          <w:vertAlign w:val="superscript"/>
        </w:rPr>
        <w:footnoteReference w:id="139"/>
      </w:r>
      <w:r>
        <w:t xml:space="preserve"> </w:t>
      </w:r>
      <w:r>
        <w:rPr>
          <w:vertAlign w:val="superscript"/>
        </w:rPr>
        <w:footnoteReference w:id="140"/>
      </w:r>
      <w:r>
        <w:t xml:space="preserve"> </w:t>
      </w:r>
      <w:fldSimple w:instr="NOTEREF _Ref_Footnote_121 \h \f">
        <w:r>
          <w:rPr>
            <w:vertAlign w:val="superscript"/>
          </w:rPr>
          <w:t>121</w:t>
        </w:r>
      </w:fldSimple>
      <w:r>
        <w:t xml:space="preserve">；</w:t>
      </w:r>
      <w:r>
        <w:t xml:space="preserve">“</w:t>
      </w:r>
      <w:r>
        <w:t xml:space="preserve">中</w:t>
      </w:r>
      <w:r>
        <w:t xml:space="preserve">”</w:t>
      </w:r>
      <w:r>
        <w:t xml:space="preserve">置信度条目基于单一行业报告。该映射表内嵌于TRIZ SubAgent知识库中作为矛盾识别初始模板，每项映射均关联Su-Field模型模板和跨领域类比案例索引。</w:t>
      </w:r>
    </w:p>
    <w:bookmarkEnd w:id="115"/>
    <w:bookmarkEnd w:id="116"/>
    <w:bookmarkEnd w:id="117"/>
    <w:bookmarkStart w:id="130" w:name="summary信息综合和总结subagent"/>
    <w:p>
      <w:pPr>
        <w:pStyle w:val="Heading2"/>
      </w:pPr>
      <w:r>
        <w:t xml:space="preserve">9. Summary（信息综合和总结）SubAgent</w:t>
      </w:r>
    </w:p>
    <w:bookmarkStart w:id="122" w:name="技术能力设计-7"/>
    <w:p>
      <w:pPr>
        <w:pStyle w:val="Heading3"/>
      </w:pPr>
      <w:r>
        <w:t xml:space="preserve">9.1 技术能力设计</w:t>
      </w:r>
    </w:p>
    <w:bookmarkStart w:id="118" w:name="多源信息融合三层分层融合架构"/>
    <w:p>
      <w:pPr>
        <w:pStyle w:val="Heading4"/>
      </w:pPr>
      <w:r>
        <w:t xml:space="preserve">9.1.1 多源信息融合：三层分层融合架构</w:t>
      </w:r>
    </w:p>
    <w:p>
      <w:pPr>
        <w:pStyle w:val="FirstParagraph"/>
      </w:pPr>
      <w:r>
        <w:t xml:space="preserve">Summary SubAgent在半导体蚀刻多智能体系统中承担Aggregator（聚合者）职能，其核心技术挑战在于如何有效融合来自7个专业SubAgent的异构信息。这些信息在置信度、粒度和表达形式上存在本质差异——从DOE实验Agent的结构化统计表格到TRIZ创新Agent的定性方案描述，从机理仿真Agent的高置信度物理数据到文献Agent的中等置信度技术摘要</w:t>
      </w:r>
      <w:r>
        <w:rPr>
          <w:vertAlign w:val="superscript"/>
        </w:rPr>
        <w:footnoteReference w:id="141"/>
      </w:r>
      <w:r>
        <w:t xml:space="preserve">。</w:t>
      </w:r>
    </w:p>
    <w:p>
      <w:pPr>
        <w:pStyle w:val="BodyText"/>
      </w:pPr>
      <w:r>
        <w:t xml:space="preserve">为此，Summary SubAgent采用</w:t>
      </w:r>
      <w:r>
        <w:rPr>
          <w:bCs/>
          <w:b/>
        </w:rPr>
        <w:t xml:space="preserve">三层分层融合架构（Data-Level → Feature-Level → Decision-Level Fusion）</w:t>
      </w:r>
      <w:r>
        <w:t xml:space="preserve">，该架构起源于Bar-Shalom提出的概率数据互联滤波器理论</w:t>
      </w:r>
      <w:fldSimple w:instr="NOTEREF _Ref_Footnote_141 \h \f">
        <w:r>
          <w:rPr>
            <w:vertAlign w:val="superscript"/>
          </w:rPr>
          <w:t>141</w:t>
        </w:r>
      </w:fldSimple>
      <w:r>
        <w:t xml:space="preserve">，经适配后用于多Agent信息融合场景。</w:t>
      </w:r>
    </w:p>
    <w:p>
      <w:pPr>
        <w:pStyle w:val="BodyText"/>
      </w:pPr>
      <w:r>
        <w:rPr>
          <w:bCs/>
          <w:b/>
        </w:rPr>
        <w:t xml:space="preserve">表1：信息融合层次架构</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融合层级</w:t>
            </w:r>
          </w:p>
        </w:tc>
        <w:tc>
          <w:tcPr/>
          <w:p>
            <w:pPr>
              <w:pStyle w:val="Compact"/>
              <w:jc w:val="left"/>
            </w:pPr>
            <w:r>
              <w:t xml:space="preserve">处理对象</w:t>
            </w:r>
          </w:p>
        </w:tc>
        <w:tc>
          <w:tcPr/>
          <w:p>
            <w:pPr>
              <w:pStyle w:val="Compact"/>
              <w:jc w:val="left"/>
            </w:pPr>
            <w:r>
              <w:t xml:space="preserve">核心技术</w:t>
            </w:r>
          </w:p>
        </w:tc>
        <w:tc>
          <w:tcPr/>
          <w:p>
            <w:pPr>
              <w:pStyle w:val="Compact"/>
              <w:jc w:val="left"/>
            </w:pPr>
            <w:r>
              <w:t xml:space="preserve">输入来源</w:t>
            </w:r>
          </w:p>
        </w:tc>
        <w:tc>
          <w:tcPr/>
          <w:p>
            <w:pPr>
              <w:pStyle w:val="Compact"/>
              <w:jc w:val="left"/>
            </w:pPr>
            <w:r>
              <w:t xml:space="preserve">输出形式</w:t>
            </w:r>
          </w:p>
        </w:tc>
        <w:tc>
          <w:tcPr/>
          <w:p>
            <w:pPr>
              <w:pStyle w:val="Compact"/>
              <w:jc w:val="left"/>
            </w:pPr>
            <w:r>
              <w:t xml:space="preserve">置信度处理</w:t>
            </w:r>
          </w:p>
        </w:tc>
      </w:tr>
      <w:tr>
        <w:tc>
          <w:tcPr/>
          <w:p>
            <w:pPr>
              <w:pStyle w:val="Compact"/>
              <w:jc w:val="left"/>
            </w:pPr>
            <w:r>
              <w:t xml:space="preserve">数据层融合</w:t>
            </w:r>
          </w:p>
        </w:tc>
        <w:tc>
          <w:tcPr/>
          <w:p>
            <w:pPr>
              <w:pStyle w:val="Compact"/>
              <w:jc w:val="left"/>
            </w:pPr>
            <w:r>
              <w:t xml:space="preserve">结构化数值数据（工艺参数、仿真结果、统计指标）</w:t>
            </w:r>
          </w:p>
        </w:tc>
        <w:tc>
          <w:tcPr/>
          <w:p>
            <w:pPr>
              <w:pStyle w:val="Compact"/>
              <w:jc w:val="left"/>
            </w:pPr>
            <w:r>
              <w:t xml:space="preserve">加权平均、卡尔曼滤波、自适应加权</w:t>
            </w:r>
          </w:p>
        </w:tc>
        <w:tc>
          <w:tcPr/>
          <w:p>
            <w:pPr>
              <w:pStyle w:val="Compact"/>
              <w:jc w:val="left"/>
            </w:pPr>
            <w:r>
              <w:t xml:space="preserve">DOE实验Agent、RCP参数Agent、机理仿真Agent</w:t>
            </w:r>
          </w:p>
        </w:tc>
        <w:tc>
          <w:tcPr/>
          <w:p>
            <w:pPr>
              <w:pStyle w:val="Compact"/>
              <w:jc w:val="left"/>
            </w:pPr>
            <w:r>
              <w:t xml:space="preserve">归一化数值向量</w:t>
            </w:r>
          </w:p>
        </w:tc>
        <w:tc>
          <w:tcPr/>
          <w:p>
            <w:pPr>
              <w:pStyle w:val="Compact"/>
              <w:jc w:val="left"/>
            </w:pPr>
            <w:r>
              <w:t xml:space="preserve">直接继承原始置信度标记</w:t>
            </w:r>
          </w:p>
        </w:tc>
      </w:tr>
      <w:tr>
        <w:tc>
          <w:tcPr/>
          <w:p>
            <w:pPr>
              <w:pStyle w:val="Compact"/>
              <w:jc w:val="left"/>
            </w:pPr>
            <w:r>
              <w:t xml:space="preserve">特征层融合</w:t>
            </w:r>
          </w:p>
        </w:tc>
        <w:tc>
          <w:tcPr/>
          <w:p>
            <w:pPr>
              <w:pStyle w:val="Compact"/>
              <w:jc w:val="left"/>
            </w:pPr>
            <w:r>
              <w:t xml:space="preserve">半结构化信息（文献摘要、技术洞察、趋势分析）</w:t>
            </w:r>
          </w:p>
        </w:tc>
        <w:tc>
          <w:tcPr/>
          <w:p>
            <w:pPr>
              <w:pStyle w:val="Compact"/>
              <w:jc w:val="left"/>
            </w:pPr>
            <w:r>
              <w:t xml:space="preserve">语义对齐、DPP（Determinantal Point Processes）内容选择</w:t>
            </w:r>
            <w:r>
              <w:rPr>
                <w:vertAlign w:val="superscript"/>
              </w:rPr>
              <w:footnoteReference w:id="142"/>
            </w:r>
            <w:r>
              <w:t xml:space="preserve">、向量嵌入</w:t>
            </w:r>
          </w:p>
        </w:tc>
        <w:tc>
          <w:tcPr/>
          <w:p>
            <w:pPr>
              <w:pStyle w:val="Compact"/>
              <w:jc w:val="left"/>
            </w:pPr>
            <w:r>
              <w:t xml:space="preserve">文献Agent、数据预测Agent、领域知识Agent</w:t>
            </w:r>
          </w:p>
        </w:tc>
        <w:tc>
          <w:tcPr/>
          <w:p>
            <w:pPr>
              <w:pStyle w:val="Compact"/>
              <w:jc w:val="left"/>
            </w:pPr>
            <w:r>
              <w:t xml:space="preserve">特征向量+重要性排序</w:t>
            </w:r>
          </w:p>
        </w:tc>
        <w:tc>
          <w:tcPr/>
          <w:p>
            <w:pPr>
              <w:pStyle w:val="Compact"/>
              <w:jc w:val="left"/>
            </w:pPr>
            <w:r>
              <w:t xml:space="preserve">基于引用支撑度重新评估</w:t>
            </w:r>
          </w:p>
        </w:tc>
      </w:tr>
      <w:tr>
        <w:tc>
          <w:tcPr/>
          <w:p>
            <w:pPr>
              <w:pStyle w:val="Compact"/>
              <w:jc w:val="left"/>
            </w:pPr>
            <w:r>
              <w:t xml:space="preserve">决策层融合</w:t>
            </w:r>
          </w:p>
        </w:tc>
        <w:tc>
          <w:tcPr/>
          <w:p>
            <w:pPr>
              <w:pStyle w:val="Compact"/>
              <w:jc w:val="left"/>
            </w:pPr>
            <w:r>
              <w:t xml:space="preserve">定性判断（创新方案、批判评估、综合建议）</w:t>
            </w:r>
          </w:p>
        </w:tc>
        <w:tc>
          <w:tcPr/>
          <w:p>
            <w:pPr>
              <w:pStyle w:val="Compact"/>
              <w:jc w:val="left"/>
            </w:pPr>
            <w:r>
              <w:t xml:space="preserve">D-S证据理论、MetaCrit五步综合法</w:t>
            </w:r>
            <w:r>
              <w:rPr>
                <w:vertAlign w:val="superscript"/>
              </w:rPr>
              <w:footnoteReference w:id="143"/>
            </w:r>
            <w:r>
              <w:t xml:space="preserve">、共识构建</w:t>
            </w:r>
          </w:p>
        </w:tc>
        <w:tc>
          <w:tcPr/>
          <w:p>
            <w:pPr>
              <w:pStyle w:val="Compact"/>
              <w:jc w:val="left"/>
            </w:pPr>
            <w:r>
              <w:t xml:space="preserve">TRIZ创新Agent、蓝军Agent、所有Agent的结论项</w:t>
            </w:r>
          </w:p>
        </w:tc>
        <w:tc>
          <w:tcPr/>
          <w:p>
            <w:pPr>
              <w:pStyle w:val="Compact"/>
              <w:jc w:val="left"/>
            </w:pPr>
            <w:r>
              <w:t xml:space="preserve">结构化决策报告</w:t>
            </w:r>
          </w:p>
        </w:tc>
        <w:tc>
          <w:tcPr/>
          <w:p>
            <w:pPr>
              <w:pStyle w:val="Compact"/>
              <w:jc w:val="left"/>
            </w:pPr>
            <w:r>
              <w:t xml:space="preserve">蓝军审查评级加权调整</w:t>
            </w:r>
          </w:p>
        </w:tc>
      </w:tr>
    </w:tbl>
    <w:p>
      <w:pPr>
        <w:pStyle w:val="BodyText"/>
      </w:pPr>
      <w:r>
        <w:t xml:space="preserve">数据层融合面向具有明确物理量纲的工艺参数，如蚀刻速率（etch rate）、选择比（selectivity）和均匀性（uniformity）等数值指标。该层采用联邦滤波（Federal Filtering, FF）策略</w:t>
      </w:r>
      <w:fldSimple w:instr="NOTEREF _Ref_Footnote_141 \h \f">
        <w:r>
          <w:rPr>
            <w:vertAlign w:val="superscript"/>
          </w:rPr>
          <w:t>141</w:t>
        </w:r>
      </w:fldSimple>
      <w:r>
        <w:t xml:space="preserve">，当某一Agent输出异常时可自动隔离故障源，避免污染整体融合结果。特征层融合处理文献摘要和技术洞察等半结构化文本，采用内容选择策略将文档集合缩减为原子关键点，再利用DPP算法实现多样化内容选取</w:t>
      </w:r>
      <w:fldSimple w:instr="NOTEREF _Ref_Footnote_142 \h \f">
        <w:r>
          <w:rPr>
            <w:vertAlign w:val="superscript"/>
          </w:rPr>
          <w:t>142</w:t>
        </w:r>
      </w:fldSimple>
      <w:r>
        <w:t xml:space="preserve">。决策层融合处于架构顶层，负责调和定性判断间的冲突，其技术核心为MetaCrit五步综合法：共识识别（Collect Consensus）→冲突调和（Reconcile Conflicts）→独特信息提取（Gather Unique Facts）→综合集成（Merge）→终稿生成（Produce Final Answer）</w:t>
      </w:r>
      <w:fldSimple w:instr="NOTEREF _Ref_Footnote_143 \h \f">
        <w:r>
          <w:rPr>
            <w:vertAlign w:val="superscript"/>
          </w:rPr>
          <w:t>143</w:t>
        </w:r>
      </w:fldSimple>
      <w:r>
        <w:t xml:space="preserve">。</w:t>
      </w:r>
    </w:p>
    <w:p>
      <w:pPr>
        <w:pStyle w:val="BodyText"/>
      </w:pPr>
      <w:r>
        <w:t xml:space="preserve">三层架构的执行顺序遵循自下而上的原则，但并非严格串行：数据层和特征层的处理可在各Agent输出到达时异步启动，决策层则须等待前两层完成且所有上游Agent输出就绪后方可触发。这种设计平衡了实时性与融合质量——低层融合提供快速响应能力，高层融合保障综合判断的完备性。</w:t>
      </w:r>
    </w:p>
    <w:bookmarkEnd w:id="118"/>
    <w:bookmarkStart w:id="119" w:name="可信度加权报告生成"/>
    <w:p>
      <w:pPr>
        <w:pStyle w:val="Heading4"/>
      </w:pPr>
      <w:r>
        <w:t xml:space="preserve">9.1.2 可信度加权报告生成</w:t>
      </w:r>
    </w:p>
    <w:p>
      <w:pPr>
        <w:pStyle w:val="FirstParagraph"/>
      </w:pPr>
      <w:r>
        <w:t xml:space="preserve">Summary SubAgent的报告生成机制区别于简单的文本拼接，其采用</w:t>
      </w:r>
      <w:r>
        <w:rPr>
          <w:bCs/>
          <w:b/>
        </w:rPr>
        <w:t xml:space="preserve">可信度加权综合策略</w:t>
      </w:r>
      <w:r>
        <w:t xml:space="preserve">，该策略源于洞察5提出的”证据强度”标注理念，融合三个维度的可信度信号</w:t>
      </w:r>
      <w:r>
        <w:rPr>
          <w:vertAlign w:val="superscript"/>
        </w:rPr>
        <w:footnoteReference w:id="144"/>
      </w:r>
      <w:r>
        <w:t xml:space="preserve">。</w:t>
      </w:r>
    </w:p>
    <w:p>
      <w:pPr>
        <w:pStyle w:val="BodyText"/>
      </w:pPr>
      <w:r>
        <w:rPr>
          <w:bCs/>
          <w:b/>
        </w:rPr>
        <w:t xml:space="preserve">第一维度为预测置信区间加权。</w:t>
      </w:r>
      <w:r>
        <w:t xml:space="preserve">数据预测Agent输出的每个预测值均附带有置信区间（Confidence Interval），Summary SubAgent将该区间的宽度转换为权重因子：区间越窄表明模型确定性越高，对应权重越大。设预测值</w:t>
      </w:r>
      <m:oMath>
        <m:sSub>
          <m:e>
            <m:r>
              <m:t>p</m:t>
            </m:r>
          </m:e>
          <m:sub>
            <m:r>
              <m:t>i</m:t>
            </m:r>
          </m:sub>
        </m:sSub>
      </m:oMath>
      <w:r>
        <w:t xml:space="preserve">的95%置信区间为</w:t>
      </w:r>
      <m:oMath>
        <m:d>
          <m:dPr>
            <m:begChr m:val="["/>
            <m:endChr m:val="]"/>
            <m:sepChr m:val=""/>
            <m:grow/>
          </m:dPr>
          <m:e>
            <m:sSub>
              <m:e>
                <m:r>
                  <m:t>L</m:t>
                </m:r>
              </m:e>
              <m:sub>
                <m:r>
                  <m:t>i</m:t>
                </m:r>
              </m:sub>
            </m:sSub>
            <m:r>
              <m:rPr>
                <m:sty m:val="p"/>
              </m:rPr>
              <m:t>,</m:t>
            </m:r>
            <m:sSub>
              <m:e>
                <m:r>
                  <m:t>U</m:t>
                </m:r>
              </m:e>
              <m:sub>
                <m:r>
                  <m:t>i</m:t>
                </m:r>
              </m:sub>
            </m:sSub>
          </m:e>
        </m:d>
      </m:oMath>
      <w:r>
        <w:t xml:space="preserve">，则其权重系数</w:t>
      </w:r>
      <m:oMath>
        <m:sSubSup>
          <m:e>
            <m:r>
              <m:t>w</m:t>
            </m:r>
          </m:e>
          <m:sub>
            <m:r>
              <m:t>i</m:t>
            </m:r>
          </m:sub>
          <m:sup>
            <m:r>
              <m:t>p</m:t>
            </m:r>
            <m:r>
              <m:t>r</m:t>
            </m:r>
            <m:r>
              <m:t>e</m:t>
            </m:r>
            <m:r>
              <m:t>d</m:t>
            </m:r>
          </m:sup>
        </m:sSubSup>
      </m:oMath>
      <w:r>
        <w:t xml:space="preserve">定义为：</w:t>
      </w:r>
    </w:p>
    <w:p>
      <w:pPr>
        <w:pStyle w:val="BodyText"/>
      </w:pPr>
      <m:oMathPara>
        <m:oMathParaPr>
          <m:jc m:val="center"/>
        </m:oMathParaPr>
        <m:oMath>
          <m:sSubSup>
            <m:e>
              <m:r>
                <m:t>w</m:t>
              </m:r>
            </m:e>
            <m:sub>
              <m:r>
                <m:t>i</m:t>
              </m:r>
            </m:sub>
            <m:sup>
              <m:r>
                <m:t>p</m:t>
              </m:r>
              <m:r>
                <m:t>r</m:t>
              </m:r>
              <m:r>
                <m:t>e</m:t>
              </m:r>
              <m:r>
                <m:t>d</m:t>
              </m:r>
            </m:sup>
          </m:sSubSup>
          <m:r>
            <m:rPr>
              <m:sty m:val="p"/>
            </m:rPr>
            <m:t>=</m:t>
          </m:r>
          <m:f>
            <m:fPr>
              <m:type m:val="bar"/>
            </m:fPr>
            <m:num>
              <m:r>
                <m:t>1</m:t>
              </m:r>
            </m:num>
            <m:den>
              <m:r>
                <m:t>1</m:t>
              </m:r>
              <m:r>
                <m:rPr>
                  <m:sty m:val="p"/>
                </m:rPr>
                <m:t>+</m:t>
              </m:r>
              <m:r>
                <m:rPr>
                  <m:sty m:val="p"/>
                </m:rPr>
                <m:t>ln</m:t>
              </m:r>
              <m:d>
                <m:dPr>
                  <m:begChr m:val="("/>
                  <m:endChr m:val=")"/>
                  <m:sepChr m:val=""/>
                  <m:grow/>
                </m:dPr>
                <m:e>
                  <m:r>
                    <m:t>1</m:t>
                  </m:r>
                  <m:r>
                    <m:rPr>
                      <m:sty m:val="p"/>
                    </m:rPr>
                    <m:t>+</m:t>
                  </m:r>
                  <m:f>
                    <m:fPr>
                      <m:type m:val="bar"/>
                    </m:fPr>
                    <m:num>
                      <m:sSub>
                        <m:e>
                          <m:r>
                            <m:t>U</m:t>
                          </m:r>
                        </m:e>
                        <m:sub>
                          <m:r>
                            <m:t>i</m:t>
                          </m:r>
                        </m:sub>
                      </m:sSub>
                      <m:r>
                        <m:rPr>
                          <m:sty m:val="p"/>
                        </m:rPr>
                        <m:t>−</m:t>
                      </m:r>
                      <m:sSub>
                        <m:e>
                          <m:r>
                            <m:t>L</m:t>
                          </m:r>
                        </m:e>
                        <m:sub>
                          <m:r>
                            <m:t>i</m:t>
                          </m:r>
                        </m:sub>
                      </m:sSub>
                    </m:num>
                    <m:den>
                      <m:d>
                        <m:dPr>
                          <m:begChr m:val="|"/>
                          <m:endChr m:val="|"/>
                          <m:sepChr m:val=""/>
                          <m:grow/>
                        </m:dPr>
                        <m:e>
                          <m:sSub>
                            <m:e>
                              <m:r>
                                <m:t>p</m:t>
                              </m:r>
                            </m:e>
                            <m:sub>
                              <m:r>
                                <m:t>i</m:t>
                              </m:r>
                            </m:sub>
                          </m:sSub>
                        </m:e>
                      </m:d>
                    </m:den>
                  </m:f>
                </m:e>
              </m:d>
            </m:den>
          </m:f>
        </m:oMath>
      </m:oMathPara>
    </w:p>
    <w:p>
      <w:pPr>
        <w:pStyle w:val="FirstParagraph"/>
      </w:pPr>
      <w:r>
        <w:t xml:space="preserve">该公式确保相对误差较小的预测获得更高权重，同时通过</w:t>
      </w:r>
      <m:oMath>
        <m:r>
          <m:rPr>
            <m:sty m:val="p"/>
          </m:rPr>
          <m:t>ln</m:t>
        </m:r>
      </m:oMath>
      <w:r>
        <w:t xml:space="preserve">函数抑制极端值的影响。</w:t>
      </w:r>
    </w:p>
    <w:p>
      <w:pPr>
        <w:pStyle w:val="BodyText"/>
      </w:pPr>
      <w:r>
        <w:rPr>
          <w:bCs/>
          <w:b/>
        </w:rPr>
        <w:t xml:space="preserve">第二维度为蓝军审查评级融合。</w:t>
      </w:r>
      <w:r>
        <w:t xml:space="preserve">蓝军Agent对各项建议和结论进行独立审查，输出”通过/有条件通过/不通过”三级评级。该评级映射为权重修正因子</w:t>
      </w:r>
      <m:oMath>
        <m:sSubSup>
          <m:e>
            <m:r>
              <m:t>α</m:t>
            </m:r>
          </m:e>
          <m:sub>
            <m:r>
              <m:t>i</m:t>
            </m:r>
          </m:sub>
          <m:sup>
            <m:r>
              <m:t>b</m:t>
            </m:r>
            <m:r>
              <m:t>l</m:t>
            </m:r>
            <m:r>
              <m:t>u</m:t>
            </m:r>
            <m:r>
              <m:t>e</m:t>
            </m:r>
          </m:sup>
        </m:sSubSup>
        <m:r>
          <m:rPr>
            <m:sty m:val="p"/>
          </m:rPr>
          <m:t>∈</m:t>
        </m:r>
        <m:r>
          <m:rPr>
            <m:sty m:val="p"/>
          </m:rPr>
          <m:t>{</m:t>
        </m:r>
        <m:r>
          <m:t>1.0</m:t>
        </m:r>
        <m:r>
          <m:rPr>
            <m:sty m:val="p"/>
          </m:rPr>
          <m:t>,</m:t>
        </m:r>
        <m:r>
          <m:t>0.6</m:t>
        </m:r>
        <m:r>
          <m:rPr>
            <m:sty m:val="p"/>
          </m:rPr>
          <m:t>,</m:t>
        </m:r>
        <m:r>
          <m:t>0.2</m:t>
        </m:r>
        <m:r>
          <m:rPr>
            <m:sty m:val="p"/>
          </m:rPr>
          <m:t>}</m:t>
        </m:r>
      </m:oMath>
      <w:r>
        <w:t xml:space="preserve">，直接乘以对应信息项的基础权重</w:t>
      </w:r>
      <w:r>
        <w:rPr>
          <w:vertAlign w:val="superscript"/>
        </w:rPr>
        <w:footnoteReference w:id="145"/>
      </w:r>
      <w:r>
        <w:t xml:space="preserve">。这一设计体现了洞察3所述的蓝军”质量门禁”定位——蓝军的审查结果不仅影响单项建议的可信度，还通过级联效应影响整体报告的可靠性评级。</w:t>
      </w:r>
    </w:p>
    <w:p>
      <w:pPr>
        <w:pStyle w:val="BodyText"/>
      </w:pPr>
      <w:r>
        <w:rPr>
          <w:bCs/>
          <w:b/>
        </w:rPr>
        <w:t xml:space="preserve">第三维度为引用支撑度评估。</w:t>
      </w:r>
      <w:r>
        <w:t xml:space="preserve">文献Agent提供的每条引用均标注来源类型（学术论文/技术报告/行业博客）和发表年份。Summary SubAgent基于来源权威性（T1源权重0.3、T2源权重0.15）和时效性（近2年权重1.0、2-5年权重0.7、5年以上权重0.4）计算引用支撑度得分</w:t>
      </w:r>
      <m:oMath>
        <m:sSubSup>
          <m:e>
            <m:r>
              <m:t>w</m:t>
            </m:r>
          </m:e>
          <m:sub>
            <m:r>
              <m:t>i</m:t>
            </m:r>
          </m:sub>
          <m:sup>
            <m:r>
              <m:t>c</m:t>
            </m:r>
            <m:r>
              <m:t>i</m:t>
            </m:r>
            <m:r>
              <m:t>t</m:t>
            </m:r>
            <m:r>
              <m:t>e</m:t>
            </m:r>
          </m:sup>
        </m:sSubSup>
      </m:oMath>
      <w:r>
        <w:t xml:space="preserve">，该得分作为对应结论的附加可信度信号。</w:t>
      </w:r>
    </w:p>
    <w:p>
      <w:pPr>
        <w:pStyle w:val="BodyText"/>
      </w:pPr>
      <w:r>
        <w:t xml:space="preserve">三项信号经归一化后合成为综合可信度评分</w:t>
      </w:r>
      <m:oMath>
        <m:sSub>
          <m:e>
            <m:r>
              <m:t>W</m:t>
            </m:r>
          </m:e>
          <m:sub>
            <m:r>
              <m:t>i</m:t>
            </m:r>
          </m:sub>
        </m:sSub>
        <m:r>
          <m:rPr>
            <m:sty m:val="p"/>
          </m:rPr>
          <m:t>=</m:t>
        </m:r>
        <m:r>
          <m:rPr>
            <m:nor/>
            <m:sty m:val="p"/>
          </m:rPr>
          <m:t>normalize</m:t>
        </m:r>
        <m:d>
          <m:dPr>
            <m:begChr m:val="("/>
            <m:endChr m:val=")"/>
            <m:sepChr m:val=""/>
            <m:grow/>
          </m:dPr>
          <m:e>
            <m:sSubSup>
              <m:e>
                <m:r>
                  <m:t>w</m:t>
                </m:r>
              </m:e>
              <m:sub>
                <m:r>
                  <m:t>i</m:t>
                </m:r>
              </m:sub>
              <m:sup>
                <m:r>
                  <m:t>p</m:t>
                </m:r>
                <m:r>
                  <m:t>r</m:t>
                </m:r>
                <m:r>
                  <m:t>e</m:t>
                </m:r>
                <m:r>
                  <m:t>d</m:t>
                </m:r>
              </m:sup>
            </m:sSubSup>
            <m:r>
              <m:rPr>
                <m:sty m:val="p"/>
              </m:rPr>
              <m:t>⋅</m:t>
            </m:r>
            <m:sSubSup>
              <m:e>
                <m:r>
                  <m:t>α</m:t>
                </m:r>
              </m:e>
              <m:sub>
                <m:r>
                  <m:t>i</m:t>
                </m:r>
              </m:sub>
              <m:sup>
                <m:r>
                  <m:t>b</m:t>
                </m:r>
                <m:r>
                  <m:t>l</m:t>
                </m:r>
                <m:r>
                  <m:t>u</m:t>
                </m:r>
                <m:r>
                  <m:t>e</m:t>
                </m:r>
              </m:sup>
            </m:sSubSup>
            <m:r>
              <m:rPr>
                <m:sty m:val="p"/>
              </m:rPr>
              <m:t>⋅</m:t>
            </m:r>
            <m:sSubSup>
              <m:e>
                <m:r>
                  <m:t>w</m:t>
                </m:r>
              </m:e>
              <m:sub>
                <m:r>
                  <m:t>i</m:t>
                </m:r>
              </m:sub>
              <m:sup>
                <m:r>
                  <m:t>c</m:t>
                </m:r>
                <m:r>
                  <m:t>i</m:t>
                </m:r>
                <m:r>
                  <m:t>t</m:t>
                </m:r>
                <m:r>
                  <m:t>e</m:t>
                </m:r>
              </m:sup>
            </m:sSubSup>
          </m:e>
        </m:d>
      </m:oMath>
      <w:r>
        <w:t xml:space="preserve">，最终报告中每条关键发现均标注该评分的离散化等级——高（</w:t>
      </w:r>
      <m:oMath>
        <m:sSub>
          <m:e>
            <m:r>
              <m:t>W</m:t>
            </m:r>
          </m:e>
          <m:sub>
            <m:r>
              <m:t>i</m:t>
            </m:r>
          </m:sub>
        </m:sSub>
        <m:r>
          <m:rPr>
            <m:sty m:val="p"/>
          </m:rPr>
          <m:t>≥</m:t>
        </m:r>
        <m:r>
          <m:t>0.7</m:t>
        </m:r>
      </m:oMath>
      <w:r>
        <w:t xml:space="preserve">）、中（</w:t>
      </w:r>
      <m:oMath>
        <m:r>
          <m:t>0.3</m:t>
        </m:r>
        <m:r>
          <m:rPr>
            <m:sty m:val="p"/>
          </m:rPr>
          <m:t>≤</m:t>
        </m:r>
        <m:sSub>
          <m:e>
            <m:r>
              <m:t>W</m:t>
            </m:r>
          </m:e>
          <m:sub>
            <m:r>
              <m:t>i</m:t>
            </m:r>
          </m:sub>
        </m:sSub>
        <m:r>
          <m:rPr>
            <m:sty m:val="p"/>
          </m:rPr>
          <m:t>&lt;</m:t>
        </m:r>
        <m:r>
          <m:t>0.7</m:t>
        </m:r>
      </m:oMath>
      <w:r>
        <w:t xml:space="preserve">）、低（</w:t>
      </w:r>
      <m:oMath>
        <m:sSub>
          <m:e>
            <m:r>
              <m:t>W</m:t>
            </m:r>
          </m:e>
          <m:sub>
            <m:r>
              <m:t>i</m:t>
            </m:r>
          </m:sub>
        </m:sSub>
        <m:r>
          <m:rPr>
            <m:sty m:val="p"/>
          </m:rPr>
          <m:t>&lt;</m:t>
        </m:r>
        <m:r>
          <m:t>0.3</m:t>
        </m:r>
      </m:oMath>
      <w:r>
        <w:t xml:space="preserve">）。</w:t>
      </w:r>
    </w:p>
    <w:bookmarkEnd w:id="119"/>
    <w:bookmarkStart w:id="120" w:name="冲突解决与决策支持"/>
    <w:p>
      <w:pPr>
        <w:pStyle w:val="Heading4"/>
      </w:pPr>
      <w:r>
        <w:t xml:space="preserve">9.1.3 冲突解决与决策支持</w:t>
      </w:r>
    </w:p>
    <w:p>
      <w:pPr>
        <w:pStyle w:val="FirstParagraph"/>
      </w:pPr>
      <w:r>
        <w:t xml:space="preserve">多Agent系统在信息丰富的同时必然伴随观点冲突。Summary SubAgent的冲突处理机制参考Madam-RAG框架</w:t>
      </w:r>
      <w:r>
        <w:rPr>
          <w:vertAlign w:val="superscript"/>
        </w:rPr>
        <w:footnoteReference w:id="146"/>
      </w:r>
      <w:r>
        <w:t xml:space="preserve">，采用”辩论-综合”模式：当检测到两个及以上Agent的结论存在矛盾时，系统不立即进行裁决，而是将冲突观点并列呈现，并标注各方所持证据的强度等级。</w:t>
      </w:r>
    </w:p>
    <w:p>
      <w:pPr>
        <w:pStyle w:val="BodyText"/>
      </w:pPr>
      <w:r>
        <w:t xml:space="preserve">冲突检测的触发条件包括：（1）数值型结论的偏差超过预设阈值（如参数建议值差异&gt;10%）；（2）定性判断的语义对立（如”应增加功率”与”应降低功率”）；（3）蓝军Agent主动报告的系统性矛盾</w:t>
      </w:r>
      <w:fldSimple w:instr="NOTEREF _Ref_Footnote_146 \h \f">
        <w:r>
          <w:rPr>
            <w:vertAlign w:val="superscript"/>
          </w:rPr>
          <w:t>146</w:t>
        </w:r>
      </w:fldSimple>
      <w:r>
        <w:t xml:space="preserve">。</w:t>
      </w:r>
    </w:p>
    <w:p>
      <w:pPr>
        <w:pStyle w:val="BodyText"/>
      </w:pPr>
      <w:r>
        <w:t xml:space="preserve">对于可调和冲突，Summary SubAgent启动MetaCrit框架的第二步”冲突调和”流程，尝试通过补充上下文信息或引入第三方Agent（如领域知识Agent）的约束条件达成折中方案。对于不可调和冲突，系统采用</w:t>
      </w:r>
      <w:r>
        <w:rPr>
          <w:bCs/>
          <w:b/>
        </w:rPr>
        <w:t xml:space="preserve">多方呈现（Multi-perspective Presentation）</w:t>
      </w:r>
      <w:r>
        <w:t xml:space="preserve">策略：在报告中同时列出各方观点，标注各自的证据强度和适用边界条件，并设置”需人工裁决”标记</w:t>
      </w:r>
      <w:fldSimple w:instr="NOTEREF _Ref_Footnote_143 \h \f">
        <w:r>
          <w:rPr>
            <w:vertAlign w:val="superscript"/>
          </w:rPr>
          <w:t>143</w:t>
        </w:r>
      </w:fldSimple>
      <w:r>
        <w:t xml:space="preserve">。</w:t>
      </w:r>
    </w:p>
    <w:p>
      <w:pPr>
        <w:pStyle w:val="BodyText"/>
      </w:pPr>
      <w:r>
        <w:t xml:space="preserve">报告输出采用</w:t>
      </w:r>
      <w:r>
        <w:rPr>
          <w:bCs/>
          <w:b/>
        </w:rPr>
        <w:t xml:space="preserve">双格式架构</w:t>
      </w:r>
      <w:r>
        <w:t xml:space="preserve">：Executive Summary（执行摘要，200-300字）面向工艺管理层，聚焦核心结论、关键建议和风险提示；Detailed Analysis（详细分析，1000-1500字）面向工艺工程师，提供完整的多维度分析、交叉验证过程和技术附录</w:t>
      </w:r>
      <w:r>
        <w:rPr>
          <w:vertAlign w:val="superscript"/>
        </w:rPr>
        <w:footnoteReference w:id="147"/>
      </w:r>
      <w:r>
        <w:t xml:space="preserve">。两格式独立生成以避免单请求超时——先调用LLM生成Executive Summary，再基于该摘要的语义框架展开Detailed Analysis，这种分阶段生成策略参考了NVIDIA报告生成Agent的实现模式</w:t>
      </w:r>
      <w:r>
        <w:rPr>
          <w:vertAlign w:val="superscript"/>
        </w:rPr>
        <w:footnoteReference w:id="148"/>
      </w:r>
      <w:r>
        <w:t xml:space="preserve">。</w:t>
      </w:r>
    </w:p>
    <w:bookmarkEnd w:id="120"/>
    <w:bookmarkStart w:id="121" w:name="知识沉淀与持续学习"/>
    <w:p>
      <w:pPr>
        <w:pStyle w:val="Heading4"/>
      </w:pPr>
      <w:r>
        <w:t xml:space="preserve">9.1.4 知识沉淀与持续学习</w:t>
      </w:r>
    </w:p>
    <w:p>
      <w:pPr>
        <w:pStyle w:val="FirstParagraph"/>
      </w:pPr>
      <w:r>
        <w:t xml:space="preserve">Summary SubAgent的每次综合过程均产生可复用的工艺知识。系统通过</w:t>
      </w:r>
      <w:r>
        <w:rPr>
          <w:bCs/>
          <w:b/>
        </w:rPr>
        <w:t xml:space="preserve">成功案例自动归档</w:t>
      </w:r>
      <w:r>
        <w:t xml:space="preserve">机制，将经蓝军审查通过且在实际工艺中验证有效的参数组合、问题解决方案和决策路径存入工艺知识库。归档内容包含原始查询、各Agent贡献摘要、最终综合结论以及验证结果（如蚀刻均匀性改善百分比），形成完整的决策追溯链。</w:t>
      </w:r>
    </w:p>
    <w:p>
      <w:pPr>
        <w:pStyle w:val="BodyText"/>
      </w:pPr>
      <w:r>
        <w:t xml:space="preserve">知识沉淀功能与文献Agent协作实现闭环：Summary SubAgent识别出的新知识（如”某参数组合在3nm节点取得&gt;95%均匀性”）经格式化后推送至文献Agent，由其更新知识图谱和语义索引</w:t>
      </w:r>
      <w:r>
        <w:rPr>
          <w:vertAlign w:val="superscript"/>
        </w:rPr>
        <w:footnoteReference w:id="149"/>
      </w:r>
      <w:r>
        <w:t xml:space="preserve">。同时，系统维护</w:t>
      </w:r>
      <w:r>
        <w:rPr>
          <w:bCs/>
          <w:b/>
        </w:rPr>
        <w:t xml:space="preserve">历史决策追溯</w:t>
      </w:r>
      <w:r>
        <w:t xml:space="preserve">索引，支持按工艺节点（node）、材料类型、问题类别等维度检索过往决策案例，为相似问题的快速响应提供参考。</w:t>
      </w:r>
    </w:p>
    <w:bookmarkEnd w:id="121"/>
    <w:bookmarkEnd w:id="122"/>
    <w:bookmarkStart w:id="125" w:name="输入输出规范-7"/>
    <w:p>
      <w:pPr>
        <w:pStyle w:val="Heading3"/>
      </w:pPr>
      <w:r>
        <w:t xml:space="preserve">9.2 输入输出规范</w:t>
      </w:r>
    </w:p>
    <w:bookmarkStart w:id="123" w:name="输入json-schema-7"/>
    <w:p>
      <w:pPr>
        <w:pStyle w:val="Heading4"/>
      </w:pPr>
      <w:r>
        <w:t xml:space="preserve">9.2.1 输入JSON Schema</w:t>
      </w:r>
    </w:p>
    <w:p>
      <w:pPr>
        <w:pStyle w:val="FirstParagraph"/>
      </w:pPr>
      <w:r>
        <w:t xml:space="preserve">Summary SubAgent的输入为所有上游SubAgent完成各自任务后的结构化输出，外加用户原始查询和系统运行上下文。输入Schema采用统一信封格式：</w:t>
      </w:r>
    </w:p>
    <w:p>
      <w:pPr>
        <w:pStyle w:val="SourceCode"/>
      </w:pP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"会话唯一标识"</w:t>
      </w:r>
      <w:r>
        <w:rPr>
          <w:rStyle w:val="FunctionTok"/>
        </w:rPr>
        <w:t xml:space="preserve">,</w:t>
      </w:r>
      <w:r>
        <w:br/>
      </w:r>
      <w:r>
        <w:rPr>
          <w:rStyle w:val="NormalTok"/>
        </w:rPr>
        <w:t xml:space="preserve">  </w:t>
      </w:r>
      <w:r>
        <w:rPr>
          <w:rStyle w:val="DataTypeTok"/>
        </w:rPr>
        <w:t xml:space="preserve">"user_query"</w:t>
      </w:r>
      <w:r>
        <w:rPr>
          <w:rStyle w:val="FunctionTok"/>
        </w:rPr>
        <w:t xml:space="preserve">:</w:t>
      </w:r>
      <w:r>
        <w:rPr>
          <w:rStyle w:val="NormalTok"/>
        </w:rPr>
        <w:t xml:space="preserve"> </w:t>
      </w:r>
      <w:r>
        <w:rPr>
          <w:rStyle w:val="StringTok"/>
        </w:rPr>
        <w:t xml:space="preserve">"用户原始查询文本"</w:t>
      </w:r>
      <w:r>
        <w:rPr>
          <w:rStyle w:val="FunctionTok"/>
        </w:rPr>
        <w:t xml:space="preserve">,</w:t>
      </w:r>
      <w:r>
        <w:br/>
      </w:r>
      <w:r>
        <w:rPr>
          <w:rStyle w:val="NormalTok"/>
        </w:rPr>
        <w:t xml:space="preserve">  </w:t>
      </w:r>
      <w:r>
        <w:rPr>
          <w:rStyle w:val="DataTypeTok"/>
        </w:rPr>
        <w:t xml:space="preserve">"system_context"</w:t>
      </w:r>
      <w:r>
        <w:rPr>
          <w:rStyle w:val="FunctionTok"/>
        </w:rPr>
        <w:t xml:space="preserve">:</w:t>
      </w:r>
      <w:r>
        <w:rPr>
          <w:rStyle w:val="NormalTok"/>
        </w:rPr>
        <w:t xml:space="preserve"> </w:t>
      </w:r>
      <w:r>
        <w:rPr>
          <w:rStyle w:val="FunctionTok"/>
        </w:rPr>
        <w:t xml:space="preserve">{</w:t>
      </w:r>
      <w:r>
        <w:rPr>
          <w:rStyle w:val="DataTypeTok"/>
        </w:rPr>
        <w:t xml:space="preserve">"node"</w:t>
      </w:r>
      <w:r>
        <w:rPr>
          <w:rStyle w:val="FunctionTok"/>
        </w:rPr>
        <w:t xml:space="preserve">:</w:t>
      </w:r>
      <w:r>
        <w:rPr>
          <w:rStyle w:val="NormalTok"/>
        </w:rPr>
        <w:t xml:space="preserve"> </w:t>
      </w:r>
      <w:r>
        <w:rPr>
          <w:rStyle w:val="StringTok"/>
        </w:rPr>
        <w:t xml:space="preserve">"工艺节点"</w:t>
      </w:r>
      <w:r>
        <w:rPr>
          <w:rStyle w:val="FunctionTok"/>
        </w:rPr>
        <w:t xml:space="preserve">,</w:t>
      </w:r>
      <w:r>
        <w:rPr>
          <w:rStyle w:val="NormalTok"/>
        </w:rPr>
        <w:t xml:space="preserve"> </w:t>
      </w:r>
      <w:r>
        <w:rPr>
          <w:rStyle w:val="DataTypeTok"/>
        </w:rPr>
        <w:t xml:space="preserve">"material"</w:t>
      </w:r>
      <w:r>
        <w:rPr>
          <w:rStyle w:val="FunctionTok"/>
        </w:rPr>
        <w:t xml:space="preserve">:</w:t>
      </w:r>
      <w:r>
        <w:rPr>
          <w:rStyle w:val="NormalTok"/>
        </w:rPr>
        <w:t xml:space="preserve"> </w:t>
      </w:r>
      <w:r>
        <w:rPr>
          <w:rStyle w:val="StringTok"/>
        </w:rPr>
        <w:t xml:space="preserve">"材料类型"</w:t>
      </w:r>
      <w:r>
        <w:rPr>
          <w:rStyle w:val="FunctionTok"/>
        </w:rPr>
        <w:t xml:space="preserve">,</w:t>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"优先级"</w:t>
      </w:r>
      <w:r>
        <w:rPr>
          <w:rStyle w:val="FunctionTok"/>
        </w:rPr>
        <w:t xml:space="preserve">},</w:t>
      </w:r>
      <w:r>
        <w:br/>
      </w:r>
      <w:r>
        <w:rPr>
          <w:rStyle w:val="NormalTok"/>
        </w:rPr>
        <w:t xml:space="preserve">  </w:t>
      </w:r>
      <w:r>
        <w:rPr>
          <w:rStyle w:val="DataTypeTok"/>
        </w:rPr>
        <w:t xml:space="preserve">"agent_outputs"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"agent唯一标识符"</w:t>
      </w:r>
      <w:r>
        <w:rPr>
          <w:rStyle w:val="FunctionTok"/>
        </w:rPr>
        <w:t xml:space="preserve">,</w:t>
      </w:r>
      <w:r>
        <w:br/>
      </w:r>
      <w:r>
        <w:rPr>
          <w:rStyle w:val="NormalTok"/>
        </w:rPr>
        <w:t xml:space="preserve">      </w:t>
      </w:r>
      <w:r>
        <w:rPr>
          <w:rStyle w:val="DataTypeTok"/>
        </w:rPr>
        <w:t xml:space="preserve">"agent_name"</w:t>
      </w:r>
      <w:r>
        <w:rPr>
          <w:rStyle w:val="FunctionTok"/>
        </w:rPr>
        <w:t xml:space="preserve">:</w:t>
      </w:r>
      <w:r>
        <w:rPr>
          <w:rStyle w:val="NormalTok"/>
        </w:rPr>
        <w:t xml:space="preserve"> </w:t>
      </w:r>
      <w:r>
        <w:rPr>
          <w:rStyle w:val="StringTok"/>
        </w:rPr>
        <w:t xml:space="preserve">"Agent名称"</w:t>
      </w:r>
      <w:r>
        <w:rPr>
          <w:rStyle w:val="FunctionTok"/>
        </w:rPr>
        <w:t xml:space="preserve">,</w:t>
      </w:r>
      <w:r>
        <w:br/>
      </w:r>
      <w:r>
        <w:rPr>
          <w:rStyle w:val="NormalTok"/>
        </w:rPr>
        <w:t xml:space="preserve">      </w:t>
      </w:r>
      <w:r>
        <w:rPr>
          <w:rStyle w:val="DataTypeTok"/>
        </w:rPr>
        <w:t xml:space="preserve">"task_type"</w:t>
      </w:r>
      <w:r>
        <w:rPr>
          <w:rStyle w:val="FunctionTok"/>
        </w:rPr>
        <w:t xml:space="preserve">:</w:t>
      </w:r>
      <w:r>
        <w:rPr>
          <w:rStyle w:val="NormalTok"/>
        </w:rPr>
        <w:t xml:space="preserve"> </w:t>
      </w:r>
      <w:r>
        <w:rPr>
          <w:rStyle w:val="StringTok"/>
        </w:rPr>
        <w:t xml:space="preserve">"任务类型"</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"ISO格式时间戳"</w:t>
      </w:r>
      <w:r>
        <w:rPr>
          <w:rStyle w:val="FunctionTok"/>
        </w:rPr>
        <w:t xml:space="preserve">,</w:t>
      </w:r>
      <w:r>
        <w:br/>
      </w:r>
      <w:r>
        <w:rPr>
          <w:rStyle w:val="NormalTok"/>
        </w:rPr>
        <w:t xml:space="preserve">      </w:t>
      </w:r>
      <w:r>
        <w:rPr>
          <w:rStyle w:val="DataTypeTok"/>
        </w:rPr>
        <w:t xml:space="preserve">"confidence_level"</w:t>
      </w:r>
      <w:r>
        <w:rPr>
          <w:rStyle w:val="FunctionTok"/>
        </w:rPr>
        <w:t xml:space="preserve">:</w:t>
      </w:r>
      <w:r>
        <w:rPr>
          <w:rStyle w:val="NormalTok"/>
        </w:rPr>
        <w:t xml:space="preserve"> </w:t>
      </w:r>
      <w:r>
        <w:rPr>
          <w:rStyle w:val="StringTok"/>
        </w:rPr>
        <w:t xml:space="preserve">"high|medium|low"</w:t>
      </w:r>
      <w:r>
        <w:rPr>
          <w:rStyle w:val="FunctionTok"/>
        </w:rPr>
        <w:t xml:space="preserve">,</w:t>
      </w:r>
      <w:r>
        <w:br/>
      </w:r>
      <w:r>
        <w:rPr>
          <w:rStyle w:val="NormalTok"/>
        </w:rPr>
        <w:t xml:space="preserve">      </w:t>
      </w:r>
      <w:r>
        <w:rPr>
          <w:rStyle w:val="DataTypeTok"/>
        </w:rPr>
        <w:t xml:space="preserve">"output_summary"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"key_findings"</w:t>
      </w:r>
      <w:r>
        <w:rPr>
          <w:rStyle w:val="FunctionTok"/>
        </w:rPr>
        <w:t xml:space="preserve">:</w:t>
      </w:r>
      <w:r>
        <w:rPr>
          <w:rStyle w:val="NormalTok"/>
        </w:rPr>
        <w:t xml:space="preserve"> </w:t>
      </w:r>
      <w:r>
        <w:rPr>
          <w:rStyle w:val="OtherTok"/>
        </w:rPr>
        <w:t xml:space="preserve">[</w:t>
      </w:r>
      <w:r>
        <w:rPr>
          <w:rStyle w:val="StringTok"/>
        </w:rPr>
        <w:t xml:space="preserve">"核心发现列表"</w:t>
      </w:r>
      <w:r>
        <w:rPr>
          <w:rStyle w:val="OtherTok"/>
        </w:rPr>
        <w:t xml:space="preserve">]</w:t>
      </w:r>
      <w:r>
        <w:rPr>
          <w:rStyle w:val="FunctionTok"/>
        </w:rPr>
        <w:t xml:space="preserve">,</w:t>
      </w:r>
      <w:r>
        <w:br/>
      </w:r>
      <w:r>
        <w:rPr>
          <w:rStyle w:val="NormalTok"/>
        </w:rPr>
        <w:t xml:space="preserve">        </w:t>
      </w:r>
      <w:r>
        <w:rPr>
          <w:rStyle w:val="DataTypeTok"/>
        </w:rPr>
        <w:t xml:space="preserve">"conclusions"</w:t>
      </w:r>
      <w:r>
        <w:rPr>
          <w:rStyle w:val="FunctionTok"/>
        </w:rPr>
        <w:t xml:space="preserve">:</w:t>
      </w:r>
      <w:r>
        <w:rPr>
          <w:rStyle w:val="NormalTok"/>
        </w:rPr>
        <w:t xml:space="preserve"> </w:t>
      </w:r>
      <w:r>
        <w:rPr>
          <w:rStyle w:val="StringTok"/>
        </w:rPr>
        <w:t xml:space="preserve">"主要结论文本"</w:t>
      </w:r>
      <w:r>
        <w:rPr>
          <w:rStyle w:val="FunctionTok"/>
        </w:rPr>
        <w:t xml:space="preserve">,</w:t>
      </w:r>
      <w:r>
        <w:br/>
      </w:r>
      <w:r>
        <w:rPr>
          <w:rStyle w:val="NormalTok"/>
        </w:rPr>
        <w:t xml:space="preserve">        </w:t>
      </w:r>
      <w:r>
        <w:rPr>
          <w:rStyle w:val="DataTypeTok"/>
        </w:rPr>
        <w:t xml:space="preserve">"recommendations"</w:t>
      </w:r>
      <w:r>
        <w:rPr>
          <w:rStyle w:val="FunctionTok"/>
        </w:rPr>
        <w:t xml:space="preserve">:</w:t>
      </w:r>
      <w:r>
        <w:rPr>
          <w:rStyle w:val="NormalTok"/>
        </w:rPr>
        <w:t xml:space="preserve"> </w:t>
      </w:r>
      <w:r>
        <w:rPr>
          <w:rStyle w:val="OtherTok"/>
        </w:rPr>
        <w:t xml:space="preserve">[</w:t>
      </w:r>
      <w:r>
        <w:rPr>
          <w:rStyle w:val="StringTok"/>
        </w:rPr>
        <w:t xml:space="preserve">"建议列表"</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"detailed_output"</w:t>
      </w:r>
      <w:r>
        <w:rPr>
          <w:rStyle w:val="FunctionTok"/>
        </w:rPr>
        <w:t xml:space="preserve">:</w:t>
      </w:r>
      <w:r>
        <w:rPr>
          <w:rStyle w:val="NormalTok"/>
        </w:rPr>
        <w:t xml:space="preserve"> </w:t>
      </w:r>
      <w:r>
        <w:rPr>
          <w:rStyle w:val="StringTok"/>
        </w:rPr>
        <w:t xml:space="preserve">"详细输出（支持Markdown）"</w:t>
      </w:r>
      <w:r>
        <w:rPr>
          <w:rStyle w:val="FunctionTok"/>
        </w:rPr>
        <w:t xml:space="preserve">,</w:t>
      </w:r>
      <w:r>
        <w:br/>
      </w:r>
      <w:r>
        <w:rPr>
          <w:rStyle w:val="NormalTok"/>
        </w:rPr>
        <w:t xml:space="preserve">      </w:t>
      </w:r>
      <w:r>
        <w:rPr>
          <w:rStyle w:val="DataTypeTok"/>
        </w:rPr>
        <w:t xml:space="preserve">"supporting_data"</w:t>
      </w:r>
      <w:r>
        <w:rPr>
          <w:rStyle w:val="FunctionTok"/>
        </w:rPr>
        <w:t xml:space="preserve">:</w:t>
      </w:r>
      <w:r>
        <w:rPr>
          <w:rStyle w:val="NormalTok"/>
        </w:rPr>
        <w:t xml:space="preserve"> </w:t>
      </w:r>
      <w:r>
        <w:rPr>
          <w:rStyle w:val="FunctionTok"/>
        </w:rPr>
        <w:t xml:space="preserve">{</w:t>
      </w:r>
      <w:r>
        <w:rPr>
          <w:rStyle w:val="DataTypeTok"/>
        </w:rPr>
        <w:t xml:space="preserve">"tables"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"figures"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"uncertainties"</w:t>
      </w:r>
      <w:r>
        <w:rPr>
          <w:rStyle w:val="FunctionTok"/>
        </w:rPr>
        <w:t xml:space="preserve">:</w:t>
      </w:r>
      <w:r>
        <w:rPr>
          <w:rStyle w:val="NormalTok"/>
        </w:rPr>
        <w:t xml:space="preserve"> </w:t>
      </w:r>
      <w:r>
        <w:rPr>
          <w:rStyle w:val="OtherTok"/>
        </w:rPr>
        <w:t xml:space="preserve">[</w:t>
      </w:r>
      <w:r>
        <w:rPr>
          <w:rStyle w:val="StringTok"/>
        </w:rPr>
        <w:t xml:space="preserve">"不确定性声明列表"</w:t>
      </w:r>
      <w:r>
        <w:rPr>
          <w:rStyle w:val="OtherTok"/>
        </w:rPr>
        <w:t xml:space="preserve">]</w:t>
      </w:r>
      <w:r>
        <w:rPr>
          <w:rStyle w:val="FunctionTok"/>
        </w:rPr>
        <w:t xml:space="preserve">,</w:t>
      </w:r>
      <w:r>
        <w:br/>
      </w:r>
      <w:r>
        <w:rPr>
          <w:rStyle w:val="NormalTok"/>
        </w:rPr>
        <w:t xml:space="preserve">      </w:t>
      </w:r>
      <w:r>
        <w:rPr>
          <w:rStyle w:val="DataTypeTok"/>
        </w:rPr>
        <w:t xml:space="preserve">"references"</w:t>
      </w:r>
      <w:r>
        <w:rPr>
          <w:rStyle w:val="FunctionTok"/>
        </w:rPr>
        <w:t xml:space="preserve">:</w:t>
      </w:r>
      <w:r>
        <w:rPr>
          <w:rStyle w:val="NormalTok"/>
        </w:rPr>
        <w:t xml:space="preserve"> </w:t>
      </w:r>
      <w:r>
        <w:rPr>
          <w:rStyle w:val="OtherTok"/>
        </w:rPr>
        <w:t xml:space="preserve">[</w:t>
      </w:r>
      <w:r>
        <w:rPr>
          <w:rStyle w:val="StringTok"/>
        </w:rPr>
        <w:t xml:space="preserve">"引用文献列表"</w:t>
      </w:r>
      <w:r>
        <w:rPr>
          <w:rStyle w:val="OtherTok"/>
        </w:rPr>
        <w:t xml:space="preserve">]</w:t>
      </w:r>
      <w:r>
        <w:rPr>
          <w:rStyle w:val="FunctionTok"/>
        </w:rPr>
        <w:t xml:space="preserve">,</w:t>
      </w:r>
      <w:r>
        <w:br/>
      </w:r>
      <w:r>
        <w:rPr>
          <w:rStyle w:val="NormalTok"/>
        </w:rPr>
        <w:t xml:space="preserve">      </w:t>
      </w:r>
      <w:r>
        <w:rPr>
          <w:rStyle w:val="DataTypeTok"/>
        </w:rPr>
        <w:t xml:space="preserve">"conflicts_with"</w:t>
      </w:r>
      <w:r>
        <w:rPr>
          <w:rStyle w:val="FunctionTok"/>
        </w:rPr>
        <w:t xml:space="preserve">:</w:t>
      </w:r>
      <w:r>
        <w:rPr>
          <w:rStyle w:val="NormalTok"/>
        </w:rPr>
        <w:t xml:space="preserve"> </w:t>
      </w:r>
      <w:r>
        <w:rPr>
          <w:rStyle w:val="FunctionTok"/>
        </w:rPr>
        <w:t xml:space="preserve">{</w:t>
      </w:r>
      <w:r>
        <w:rPr>
          <w:rStyle w:val="DataTypeTok"/>
        </w:rPr>
        <w:t xml:space="preserve">"agent_id"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"conflict_description"</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"resolution_suggestion"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"trigger_type"</w:t>
      </w:r>
      <w:r>
        <w:rPr>
          <w:rStyle w:val="FunctionTok"/>
        </w:rPr>
        <w:t xml:space="preserve">:</w:t>
      </w:r>
      <w:r>
        <w:rPr>
          <w:rStyle w:val="NormalTok"/>
        </w:rPr>
        <w:t xml:space="preserve"> </w:t>
      </w:r>
      <w:r>
        <w:rPr>
          <w:rStyle w:val="StringTok"/>
        </w:rPr>
        <w:t xml:space="preserve">"auto_complete|timeout|manual|revision"</w:t>
      </w:r>
      <w:r>
        <w:br/>
      </w:r>
      <w:r>
        <w:rPr>
          <w:rStyle w:val="FunctionTok"/>
        </w:rPr>
        <w:t xml:space="preserve">}</w:t>
      </w:r>
    </w:p>
    <w:p>
      <w:pPr>
        <w:pStyle w:val="FirstParagraph"/>
      </w:pPr>
      <w:r>
        <w:t xml:space="preserve">上游7个SubAgent的输出分别通过</w:t>
      </w:r>
      <w:r>
        <w:rPr>
          <w:rStyle w:val="VerbatimChar"/>
        </w:rPr>
        <w:t xml:space="preserve">agent_id</w:t>
      </w:r>
      <w:r>
        <w:t xml:space="preserve">字段标识：机理仿真（</w:t>
      </w:r>
      <w:r>
        <w:rPr>
          <w:rStyle w:val="VerbatimChar"/>
        </w:rPr>
        <w:t xml:space="preserve">sim_mech</w:t>
      </w:r>
      <w:r>
        <w:t xml:space="preserve">）、RCP参数（</w:t>
      </w:r>
      <w:r>
        <w:rPr>
          <w:rStyle w:val="VerbatimChar"/>
        </w:rPr>
        <w:t xml:space="preserve">rcp_param</w:t>
      </w:r>
      <w:r>
        <w:t xml:space="preserve">）、文献检索（</w:t>
      </w:r>
      <w:r>
        <w:rPr>
          <w:rStyle w:val="VerbatimChar"/>
        </w:rPr>
        <w:t xml:space="preserve">lit_search</w:t>
      </w:r>
      <w:r>
        <w:t xml:space="preserve">）、数据预测（</w:t>
      </w:r>
      <w:r>
        <w:rPr>
          <w:rStyle w:val="VerbatimChar"/>
        </w:rPr>
        <w:t xml:space="preserve">data_pred</w:t>
      </w:r>
      <w:r>
        <w:t xml:space="preserve">）、DOE实验（</w:t>
      </w:r>
      <w:r>
        <w:rPr>
          <w:rStyle w:val="VerbatimChar"/>
        </w:rPr>
        <w:t xml:space="preserve">doe_exp</w:t>
      </w:r>
      <w:r>
        <w:t xml:space="preserve">）、蓝军审查（</w:t>
      </w:r>
      <w:r>
        <w:rPr>
          <w:rStyle w:val="VerbatimChar"/>
        </w:rPr>
        <w:t xml:space="preserve">blue_team</w:t>
      </w:r>
      <w:r>
        <w:t xml:space="preserve">）、TRIZ创新（</w:t>
      </w:r>
      <w:r>
        <w:rPr>
          <w:rStyle w:val="VerbatimChar"/>
        </w:rPr>
        <w:t xml:space="preserve">triz_inno</w:t>
      </w:r>
      <w:r>
        <w:t xml:space="preserve">）。每个Agent的</w:t>
      </w:r>
      <w:r>
        <w:rPr>
          <w:rStyle w:val="VerbatimChar"/>
        </w:rPr>
        <w:t xml:space="preserve">confidence_level</w:t>
      </w:r>
      <w:r>
        <w:t xml:space="preserve">字段直接影响9.1.2节所述的可信度加权计算。</w:t>
      </w:r>
    </w:p>
    <w:bookmarkEnd w:id="123"/>
    <w:bookmarkStart w:id="124" w:name="输出json-schema-7"/>
    <w:p>
      <w:pPr>
        <w:pStyle w:val="Heading4"/>
      </w:pPr>
      <w:r>
        <w:t xml:space="preserve">9.2.2 输出JSON Schema</w:t>
      </w:r>
    </w:p>
    <w:p>
      <w:pPr>
        <w:pStyle w:val="SourceCode"/>
      </w:pPr>
      <w:r>
        <w:rPr>
          <w:rStyle w:val="FunctionTok"/>
        </w:rPr>
        <w:t xml:space="preserve">{</w:t>
      </w:r>
      <w:r>
        <w:br/>
      </w:r>
      <w:r>
        <w:rPr>
          <w:rStyle w:val="NormalTok"/>
        </w:rPr>
        <w:t xml:space="preserve">  </w:t>
      </w:r>
      <w:r>
        <w:rPr>
          <w:rStyle w:val="DataTypeTok"/>
        </w:rPr>
        <w:t xml:space="preserve">"report_id"</w:t>
      </w:r>
      <w:r>
        <w:rPr>
          <w:rStyle w:val="FunctionTok"/>
        </w:rPr>
        <w:t xml:space="preserve">:</w:t>
      </w:r>
      <w:r>
        <w:rPr>
          <w:rStyle w:val="NormalTok"/>
        </w:rPr>
        <w:t xml:space="preserve"> </w:t>
      </w:r>
      <w:r>
        <w:rPr>
          <w:rStyle w:val="StringTok"/>
        </w:rPr>
        <w:t xml:space="preserve">"报告唯一标识"</w:t>
      </w:r>
      <w:r>
        <w:rPr>
          <w:rStyle w:val="FunctionTok"/>
        </w:rPr>
        <w:t xml:space="preserve">,</w:t>
      </w:r>
      <w:r>
        <w:br/>
      </w:r>
      <w:r>
        <w:rPr>
          <w:rStyle w:val="NormalTok"/>
        </w:rPr>
        <w:t xml:space="preserve">  </w:t>
      </w:r>
      <w:r>
        <w:rPr>
          <w:rStyle w:val="DataTypeTok"/>
        </w:rPr>
        <w:t xml:space="preserve">"generated_at"</w:t>
      </w:r>
      <w:r>
        <w:rPr>
          <w:rStyle w:val="FunctionTok"/>
        </w:rPr>
        <w:t xml:space="preserve">:</w:t>
      </w:r>
      <w:r>
        <w:rPr>
          <w:rStyle w:val="NormalTok"/>
        </w:rPr>
        <w:t xml:space="preserve"> </w:t>
      </w:r>
      <w:r>
        <w:rPr>
          <w:rStyle w:val="StringTok"/>
        </w:rPr>
        <w:t xml:space="preserve">"ISO格式时间戳"</w:t>
      </w:r>
      <w:r>
        <w:rPr>
          <w:rStyle w:val="FunctionTok"/>
        </w:rPr>
        <w:t xml:space="preserve">,</w:t>
      </w:r>
      <w:r>
        <w:br/>
      </w:r>
      <w:r>
        <w:rPr>
          <w:rStyle w:val="NormalTok"/>
        </w:rPr>
        <w:t xml:space="preserve">  </w:t>
      </w:r>
      <w:r>
        <w:rPr>
          <w:rStyle w:val="DataTypeTok"/>
        </w:rPr>
        <w:t xml:space="preserve">"report"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"executive_summary"</w:t>
      </w:r>
      <w:r>
        <w:rPr>
          <w:rStyle w:val="FunctionTok"/>
        </w:rPr>
        <w:t xml:space="preserve">:</w:t>
      </w:r>
      <w:r>
        <w:rPr>
          <w:rStyle w:val="NormalTok"/>
        </w:rPr>
        <w:t xml:space="preserve"> </w:t>
      </w:r>
      <w:r>
        <w:rPr>
          <w:rStyle w:val="FunctionTok"/>
        </w:rPr>
        <w:t xml:space="preserve">{</w:t>
      </w:r>
      <w:r>
        <w:rPr>
          <w:rStyle w:val="DataTypeTok"/>
        </w:rPr>
        <w:t xml:space="preserve">"key_findings"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"prioritized_recommendations"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"risk_warnings"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"detailed_analysis"</w:t>
      </w:r>
      <w:r>
        <w:rPr>
          <w:rStyle w:val="FunctionTok"/>
        </w:rPr>
        <w:t xml:space="preserve">:</w:t>
      </w:r>
      <w:r>
        <w:rPr>
          <w:rStyle w:val="NormalTok"/>
        </w:rPr>
        <w:t xml:space="preserve"> </w:t>
      </w:r>
      <w:r>
        <w:rPr>
          <w:rStyle w:val="FunctionTok"/>
        </w:rPr>
        <w:t xml:space="preserve">{</w:t>
      </w:r>
      <w:r>
        <w:rPr>
          <w:rStyle w:val="DataTypeTok"/>
        </w:rPr>
        <w:t xml:space="preserve">"per_agent_sections"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"cross_validation"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"conflicts"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"decision_recommendations"</w:t>
      </w:r>
      <w:r>
        <w:rPr>
          <w:rStyle w:val="FunctionTok"/>
        </w:rPr>
        <w:t xml:space="preserve">:</w:t>
      </w:r>
      <w:r>
        <w:rPr>
          <w:rStyle w:val="NormalTok"/>
        </w:rPr>
        <w:t xml:space="preserve"> </w:t>
      </w:r>
      <w:r>
        <w:rPr>
          <w:rStyle w:val="FunctionTok"/>
        </w:rPr>
        <w:t xml:space="preserve">{</w:t>
      </w:r>
      <w:r>
        <w:rPr>
          <w:rStyle w:val="DataTypeTok"/>
        </w:rPr>
        <w:t xml:space="preserve">"parameters"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"next_experiments"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"risk_mitigation"</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"credibility_annotation"</w:t>
      </w:r>
      <w:r>
        <w:rPr>
          <w:rStyle w:val="FunctionTok"/>
        </w:rPr>
        <w:t xml:space="preserve">:</w:t>
      </w:r>
      <w:r>
        <w:rPr>
          <w:rStyle w:val="NormalTok"/>
        </w:rPr>
        <w:t xml:space="preserve"> </w:t>
      </w:r>
      <w:r>
        <w:rPr>
          <w:rStyle w:val="FunctionTok"/>
        </w:rPr>
        <w:t xml:space="preserve">{</w:t>
      </w:r>
      <w:r>
        <w:rPr>
          <w:rStyle w:val="DataTypeTok"/>
        </w:rPr>
        <w:t xml:space="preserve">"overall_score"</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"per_finding_scores"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"action_items"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"item"</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"owner"</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"due"</w:t>
      </w:r>
      <w:r>
        <w:rPr>
          <w:rStyle w:val="FunctionTok"/>
        </w:rPr>
        <w:t xml:space="preserve">:</w:t>
      </w:r>
      <w:r>
        <w:rPr>
          <w:rStyle w:val="NormalTok"/>
        </w:rPr>
        <w:t xml:space="preserve"> </w:t>
      </w:r>
      <w:r>
        <w:rPr>
          <w:rStyle w:val="StringTok"/>
        </w:rPr>
        <w:t xml:space="preserve">""</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"knowledge_deposit"</w:t>
      </w:r>
      <w:r>
        <w:rPr>
          <w:rStyle w:val="FunctionTok"/>
        </w:rPr>
        <w:t xml:space="preserve">:</w:t>
      </w:r>
      <w:r>
        <w:rPr>
          <w:rStyle w:val="NormalTok"/>
        </w:rPr>
        <w:t xml:space="preserve"> </w:t>
      </w:r>
      <w:r>
        <w:rPr>
          <w:rStyle w:val="FunctionTok"/>
        </w:rPr>
        <w:t xml:space="preserve">{</w:t>
      </w:r>
      <w:r>
        <w:rPr>
          <w:rStyle w:val="DataTypeTok"/>
        </w:rPr>
        <w:t xml:space="preserve">"new_findings"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"suggested_kg_updates"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"meta_info"</w:t>
      </w:r>
      <w:r>
        <w:rPr>
          <w:rStyle w:val="FunctionTok"/>
        </w:rPr>
        <w:t xml:space="preserve">:</w:t>
      </w:r>
      <w:r>
        <w:rPr>
          <w:rStyle w:val="NormalTok"/>
        </w:rPr>
        <w:t xml:space="preserve"> </w:t>
      </w:r>
      <w:r>
        <w:rPr>
          <w:rStyle w:val="FunctionTok"/>
        </w:rPr>
        <w:t xml:space="preserve">{</w:t>
      </w:r>
      <w:r>
        <w:rPr>
          <w:rStyle w:val="DataTypeTok"/>
        </w:rPr>
        <w:t xml:space="preserve">"agent_contributions"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"conflict_log"</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"unresolved_issues"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FunctionTok"/>
        </w:rPr>
        <w:t xml:space="preserve">}</w:t>
      </w:r>
    </w:p>
    <w:p>
      <w:pPr>
        <w:pStyle w:val="FirstParagraph"/>
      </w:pPr>
      <w:r>
        <w:rPr>
          <w:bCs/>
          <w:b/>
        </w:rPr>
        <w:t xml:space="preserve">表2：输出格式模板</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字段</w:t>
            </w:r>
          </w:p>
        </w:tc>
        <w:tc>
          <w:tcPr/>
          <w:p>
            <w:pPr>
              <w:pStyle w:val="Compact"/>
              <w:jc w:val="left"/>
            </w:pPr>
            <w:r>
              <w:t xml:space="preserve">类型</w:t>
            </w:r>
          </w:p>
        </w:tc>
        <w:tc>
          <w:tcPr/>
          <w:p>
            <w:pPr>
              <w:pStyle w:val="Compact"/>
              <w:jc w:val="left"/>
            </w:pPr>
            <w:r>
              <w:t xml:space="preserve">说明</w:t>
            </w:r>
          </w:p>
        </w:tc>
        <w:tc>
          <w:tcPr/>
          <w:p>
            <w:pPr>
              <w:pStyle w:val="Compact"/>
              <w:jc w:val="left"/>
            </w:pPr>
            <w:r>
              <w:t xml:space="preserve">生成方式</w:t>
            </w:r>
          </w:p>
        </w:tc>
        <w:tc>
          <w:tcPr/>
          <w:p>
            <w:pPr>
              <w:pStyle w:val="Compact"/>
              <w:jc w:val="left"/>
            </w:pPr>
            <w:r>
              <w:t xml:space="preserve">必填</w:t>
            </w:r>
          </w:p>
        </w:tc>
      </w:tr>
      <w:tr>
        <w:tc>
          <w:tcPr/>
          <w:p>
            <w:pPr>
              <w:pStyle w:val="Compact"/>
              <w:jc w:val="left"/>
            </w:pPr>
            <w:r>
              <w:rPr>
                <w:rStyle w:val="VerbatimChar"/>
              </w:rPr>
              <w:t xml:space="preserve">report.executive_summary</w:t>
            </w:r>
          </w:p>
        </w:tc>
        <w:tc>
          <w:tcPr/>
          <w:p>
            <w:pPr>
              <w:pStyle w:val="Compact"/>
              <w:jc w:val="left"/>
            </w:pPr>
            <w:r>
              <w:t xml:space="preserve">Object</w:t>
            </w:r>
          </w:p>
        </w:tc>
        <w:tc>
          <w:tcPr/>
          <w:p>
            <w:pPr>
              <w:pStyle w:val="Compact"/>
              <w:jc w:val="left"/>
            </w:pPr>
            <w:r>
              <w:t xml:space="preserve">执行摘要（200-300字），含核心发现、优先建议、风险提示</w:t>
            </w:r>
          </w:p>
        </w:tc>
        <w:tc>
          <w:tcPr/>
          <w:p>
            <w:pPr>
              <w:pStyle w:val="Compact"/>
              <w:jc w:val="left"/>
            </w:pPr>
            <w:r>
              <w:t xml:space="preserve">独立LLM调用，温度参数0.3</w:t>
            </w:r>
          </w:p>
        </w:tc>
        <w:tc>
          <w:tcPr/>
          <w:p>
            <w:pPr>
              <w:pStyle w:val="Compact"/>
              <w:jc w:val="left"/>
            </w:pPr>
            <w:r>
              <w:t xml:space="preserve">是</w:t>
            </w:r>
          </w:p>
        </w:tc>
      </w:tr>
      <w:tr>
        <w:tc>
          <w:tcPr/>
          <w:p>
            <w:pPr>
              <w:pStyle w:val="Compact"/>
              <w:jc w:val="left"/>
            </w:pPr>
            <w:r>
              <w:rPr>
                <w:rStyle w:val="VerbatimChar"/>
              </w:rPr>
              <w:t xml:space="preserve">report.detailed_analysis.per_agent_sections</w:t>
            </w:r>
          </w:p>
        </w:tc>
        <w:tc>
          <w:tcPr/>
          <w:p>
            <w:pPr>
              <w:pStyle w:val="Compact"/>
              <w:jc w:val="left"/>
            </w:pPr>
            <w:r>
              <w:t xml:space="preserve">Object</w:t>
            </w:r>
          </w:p>
        </w:tc>
        <w:tc>
          <w:tcPr/>
          <w:p>
            <w:pPr>
              <w:pStyle w:val="Compact"/>
              <w:jc w:val="left"/>
            </w:pPr>
            <w:r>
              <w:t xml:space="preserve">各Agent贡献综述（7个子节）</w:t>
            </w:r>
          </w:p>
        </w:tc>
        <w:tc>
          <w:tcPr/>
          <w:p>
            <w:pPr>
              <w:pStyle w:val="Compact"/>
              <w:jc w:val="left"/>
            </w:pPr>
            <w:r>
              <w:t xml:space="preserve">Map-Reduce管线分节生成</w:t>
            </w:r>
            <w:r>
              <w:rPr>
                <w:vertAlign w:val="superscript"/>
              </w:rPr>
              <w:footnoteReference w:id="150"/>
            </w:r>
          </w:p>
        </w:tc>
        <w:tc>
          <w:tcPr/>
          <w:p>
            <w:pPr>
              <w:pStyle w:val="Compact"/>
              <w:jc w:val="left"/>
            </w:pPr>
            <w:r>
              <w:t xml:space="preserve">是</w:t>
            </w:r>
          </w:p>
        </w:tc>
      </w:tr>
      <w:tr>
        <w:tc>
          <w:tcPr/>
          <w:p>
            <w:pPr>
              <w:pStyle w:val="Compact"/>
              <w:jc w:val="left"/>
            </w:pPr>
            <w:r>
              <w:rPr>
                <w:rStyle w:val="VerbatimChar"/>
              </w:rPr>
              <w:t xml:space="preserve">report.detailed_analysis.cross_validation</w:t>
            </w:r>
          </w:p>
        </w:tc>
        <w:tc>
          <w:tcPr/>
          <w:p>
            <w:pPr>
              <w:pStyle w:val="Compact"/>
              <w:jc w:val="left"/>
            </w:pPr>
            <w:r>
              <w:t xml:space="preserve">Object</w:t>
            </w:r>
          </w:p>
        </w:tc>
        <w:tc>
          <w:tcPr/>
          <w:p>
            <w:pPr>
              <w:pStyle w:val="Compact"/>
              <w:jc w:val="left"/>
            </w:pPr>
            <w:r>
              <w:t xml:space="preserve">共识发现、冲突识别、不确定性声明</w:t>
            </w:r>
          </w:p>
        </w:tc>
        <w:tc>
          <w:tcPr/>
          <w:p>
            <w:pPr>
              <w:pStyle w:val="Compact"/>
              <w:jc w:val="left"/>
            </w:pPr>
            <w:r>
              <w:t xml:space="preserve">三层融合架构自动产出</w:t>
            </w:r>
          </w:p>
        </w:tc>
        <w:tc>
          <w:tcPr/>
          <w:p>
            <w:pPr>
              <w:pStyle w:val="Compact"/>
              <w:jc w:val="left"/>
            </w:pPr>
            <w:r>
              <w:t xml:space="preserve">是</w:t>
            </w:r>
          </w:p>
        </w:tc>
      </w:tr>
      <w:tr>
        <w:tc>
          <w:tcPr/>
          <w:p>
            <w:pPr>
              <w:pStyle w:val="Compact"/>
              <w:jc w:val="left"/>
            </w:pPr>
            <w:r>
              <w:rPr>
                <w:rStyle w:val="VerbatimChar"/>
              </w:rPr>
              <w:t xml:space="preserve">report.decision_recommendations</w:t>
            </w:r>
          </w:p>
        </w:tc>
        <w:tc>
          <w:tcPr/>
          <w:p>
            <w:pPr>
              <w:pStyle w:val="Compact"/>
              <w:jc w:val="left"/>
            </w:pPr>
            <w:r>
              <w:t xml:space="preserve">Object</w:t>
            </w:r>
          </w:p>
        </w:tc>
        <w:tc>
          <w:tcPr/>
          <w:p>
            <w:pPr>
              <w:pStyle w:val="Compact"/>
              <w:jc w:val="left"/>
            </w:pPr>
            <w:r>
              <w:t xml:space="preserve">参数建议、后续实验方向、风险缓解措施</w:t>
            </w:r>
          </w:p>
        </w:tc>
        <w:tc>
          <w:tcPr/>
          <w:p>
            <w:pPr>
              <w:pStyle w:val="Compact"/>
              <w:jc w:val="left"/>
            </w:pPr>
            <w:r>
              <w:t xml:space="preserve">基于加权可信度排序</w:t>
            </w:r>
          </w:p>
        </w:tc>
        <w:tc>
          <w:tcPr/>
          <w:p>
            <w:pPr>
              <w:pStyle w:val="Compact"/>
              <w:jc w:val="left"/>
            </w:pPr>
            <w:r>
              <w:t xml:space="preserve">是</w:t>
            </w:r>
          </w:p>
        </w:tc>
      </w:tr>
      <w:tr>
        <w:tc>
          <w:tcPr/>
          <w:p>
            <w:pPr>
              <w:pStyle w:val="Compact"/>
              <w:jc w:val="left"/>
            </w:pPr>
            <w:r>
              <w:rPr>
                <w:rStyle w:val="VerbatimChar"/>
              </w:rPr>
              <w:t xml:space="preserve">credibility_annotation</w:t>
            </w:r>
          </w:p>
        </w:tc>
        <w:tc>
          <w:tcPr/>
          <w:p>
            <w:pPr>
              <w:pStyle w:val="Compact"/>
              <w:jc w:val="left"/>
            </w:pPr>
            <w:r>
              <w:t xml:space="preserve">Object</w:t>
            </w:r>
          </w:p>
        </w:tc>
        <w:tc>
          <w:tcPr/>
          <w:p>
            <w:pPr>
              <w:pStyle w:val="Compact"/>
              <w:jc w:val="left"/>
            </w:pPr>
            <w:r>
              <w:t xml:space="preserve">整体可信度评分（0-1）及各发现评分</w:t>
            </w:r>
          </w:p>
        </w:tc>
        <w:tc>
          <w:tcPr/>
          <w:p>
            <w:pPr>
              <w:pStyle w:val="Compact"/>
              <w:jc w:val="left"/>
            </w:pPr>
            <w:r>
              <w:t xml:space="preserve">三维度加权公式计算</w:t>
            </w:r>
          </w:p>
        </w:tc>
        <w:tc>
          <w:tcPr/>
          <w:p>
            <w:pPr>
              <w:pStyle w:val="Compact"/>
              <w:jc w:val="left"/>
            </w:pPr>
            <w:r>
              <w:t xml:space="preserve">是</w:t>
            </w:r>
          </w:p>
        </w:tc>
      </w:tr>
      <w:tr>
        <w:tc>
          <w:tcPr/>
          <w:p>
            <w:pPr>
              <w:pStyle w:val="Compact"/>
              <w:jc w:val="left"/>
            </w:pPr>
            <w:r>
              <w:rPr>
                <w:rStyle w:val="VerbatimChar"/>
              </w:rPr>
              <w:t xml:space="preserve">action_items</w:t>
            </w:r>
          </w:p>
        </w:tc>
        <w:tc>
          <w:tcPr/>
          <w:p>
            <w:pPr>
              <w:pStyle w:val="Compact"/>
              <w:jc w:val="left"/>
            </w:pPr>
            <w:r>
              <w:t xml:space="preserve">Array</w:t>
            </w:r>
          </w:p>
        </w:tc>
        <w:tc>
          <w:tcPr/>
          <w:p>
            <w:pPr>
              <w:pStyle w:val="Compact"/>
              <w:jc w:val="left"/>
            </w:pPr>
            <w:r>
              <w:t xml:space="preserve">行动项清单（含优先级、负责人、截止时间）</w:t>
            </w:r>
          </w:p>
        </w:tc>
        <w:tc>
          <w:tcPr/>
          <w:p>
            <w:pPr>
              <w:pStyle w:val="Compact"/>
              <w:jc w:val="left"/>
            </w:pPr>
            <w:r>
              <w:t xml:space="preserve">从recommendations自动提取</w:t>
            </w:r>
          </w:p>
        </w:tc>
        <w:tc>
          <w:tcPr/>
          <w:p>
            <w:pPr>
              <w:pStyle w:val="Compact"/>
              <w:jc w:val="left"/>
            </w:pPr>
            <w:r>
              <w:t xml:space="preserve">否</w:t>
            </w:r>
          </w:p>
        </w:tc>
      </w:tr>
      <w:tr>
        <w:tc>
          <w:tcPr/>
          <w:p>
            <w:pPr>
              <w:pStyle w:val="Compact"/>
              <w:jc w:val="left"/>
            </w:pPr>
            <w:r>
              <w:rPr>
                <w:rStyle w:val="VerbatimChar"/>
              </w:rPr>
              <w:t xml:space="preserve">knowledge_deposit</w:t>
            </w:r>
          </w:p>
        </w:tc>
        <w:tc>
          <w:tcPr/>
          <w:p>
            <w:pPr>
              <w:pStyle w:val="Compact"/>
              <w:jc w:val="left"/>
            </w:pPr>
            <w:r>
              <w:t xml:space="preserve">Object</w:t>
            </w:r>
          </w:p>
        </w:tc>
        <w:tc>
          <w:tcPr/>
          <w:p>
            <w:pPr>
              <w:pStyle w:val="Compact"/>
              <w:jc w:val="left"/>
            </w:pPr>
            <w:r>
              <w:t xml:space="preserve">新知识发现及知识图谱更新建议</w:t>
            </w:r>
          </w:p>
        </w:tc>
        <w:tc>
          <w:tcPr/>
          <w:p>
            <w:pPr>
              <w:pStyle w:val="Compact"/>
              <w:jc w:val="left"/>
            </w:pPr>
            <w:r>
              <w:t xml:space="preserve">与文献Agent协作生成</w:t>
            </w:r>
          </w:p>
        </w:tc>
        <w:tc>
          <w:tcPr/>
          <w:p>
            <w:pPr>
              <w:pStyle w:val="Compact"/>
              <w:jc w:val="left"/>
            </w:pPr>
            <w:r>
              <w:t xml:space="preserve">否</w:t>
            </w:r>
          </w:p>
        </w:tc>
      </w:tr>
      <w:tr>
        <w:tc>
          <w:tcPr/>
          <w:p>
            <w:pPr>
              <w:pStyle w:val="Compact"/>
              <w:jc w:val="left"/>
            </w:pPr>
            <w:r>
              <w:rPr>
                <w:rStyle w:val="VerbatimChar"/>
              </w:rPr>
              <w:t xml:space="preserve">meta_info.agent_contributions</w:t>
            </w:r>
          </w:p>
        </w:tc>
        <w:tc>
          <w:tcPr/>
          <w:p>
            <w:pPr>
              <w:pStyle w:val="Compact"/>
              <w:jc w:val="left"/>
            </w:pPr>
            <w:r>
              <w:t xml:space="preserve">Object</w:t>
            </w:r>
          </w:p>
        </w:tc>
        <w:tc>
          <w:tcPr/>
          <w:p>
            <w:pPr>
              <w:pStyle w:val="Compact"/>
              <w:jc w:val="left"/>
            </w:pPr>
            <w:r>
              <w:t xml:space="preserve">各Agent贡献度统计</w:t>
            </w:r>
          </w:p>
        </w:tc>
        <w:tc>
          <w:tcPr/>
          <w:p>
            <w:pPr>
              <w:pStyle w:val="Compact"/>
              <w:jc w:val="left"/>
            </w:pPr>
            <w:r>
              <w:t xml:space="preserve">基于引用频次和权重计算</w:t>
            </w:r>
          </w:p>
        </w:tc>
        <w:tc>
          <w:tcPr/>
          <w:p>
            <w:pPr>
              <w:pStyle w:val="Compact"/>
              <w:jc w:val="left"/>
            </w:pPr>
            <w:r>
              <w:t xml:space="preserve">是</w:t>
            </w:r>
          </w:p>
        </w:tc>
      </w:tr>
      <w:tr>
        <w:tc>
          <w:tcPr/>
          <w:p>
            <w:pPr>
              <w:pStyle w:val="Compact"/>
              <w:jc w:val="left"/>
            </w:pPr>
            <w:r>
              <w:rPr>
                <w:rStyle w:val="VerbatimChar"/>
              </w:rPr>
              <w:t xml:space="preserve">meta_info.conflict_log</w:t>
            </w:r>
          </w:p>
        </w:tc>
        <w:tc>
          <w:tcPr/>
          <w:p>
            <w:pPr>
              <w:pStyle w:val="Compact"/>
              <w:jc w:val="left"/>
            </w:pPr>
            <w:r>
              <w:t xml:space="preserve">Array</w:t>
            </w:r>
          </w:p>
        </w:tc>
        <w:tc>
          <w:tcPr/>
          <w:p>
            <w:pPr>
              <w:pStyle w:val="Compact"/>
              <w:jc w:val="left"/>
            </w:pPr>
            <w:r>
              <w:t xml:space="preserve">冲突日志（含解决状态）</w:t>
            </w:r>
          </w:p>
        </w:tc>
        <w:tc>
          <w:tcPr/>
          <w:p>
            <w:pPr>
              <w:pStyle w:val="Compact"/>
              <w:jc w:val="left"/>
            </w:pPr>
            <w:r>
              <w:t xml:space="preserve">冲突检测模块自动记录</w:t>
            </w:r>
          </w:p>
        </w:tc>
        <w:tc>
          <w:tcPr/>
          <w:p>
            <w:pPr>
              <w:pStyle w:val="Compact"/>
              <w:jc w:val="left"/>
            </w:pPr>
            <w:r>
              <w:t xml:space="preserve">是</w:t>
            </w:r>
          </w:p>
        </w:tc>
      </w:tr>
      <w:tr>
        <w:tc>
          <w:tcPr/>
          <w:p>
            <w:pPr>
              <w:pStyle w:val="Compact"/>
              <w:jc w:val="left"/>
            </w:pPr>
            <w:r>
              <w:rPr>
                <w:rStyle w:val="VerbatimChar"/>
              </w:rPr>
              <w:t xml:space="preserve">meta_info.unresolved_issues</w:t>
            </w:r>
          </w:p>
        </w:tc>
        <w:tc>
          <w:tcPr/>
          <w:p>
            <w:pPr>
              <w:pStyle w:val="Compact"/>
              <w:jc w:val="left"/>
            </w:pPr>
            <w:r>
              <w:t xml:space="preserve">Array</w:t>
            </w:r>
          </w:p>
        </w:tc>
        <w:tc>
          <w:tcPr/>
          <w:p>
            <w:pPr>
              <w:pStyle w:val="Compact"/>
              <w:jc w:val="left"/>
            </w:pPr>
            <w:r>
              <w:t xml:space="preserve">未解决问题列表（需人工裁决）</w:t>
            </w:r>
          </w:p>
        </w:tc>
        <w:tc>
          <w:tcPr/>
          <w:p>
            <w:pPr>
              <w:pStyle w:val="Compact"/>
              <w:jc w:val="left"/>
            </w:pPr>
            <w:r>
              <w:t xml:space="preserve">不可调和冲突项收集</w:t>
            </w:r>
          </w:p>
        </w:tc>
        <w:tc>
          <w:tcPr/>
          <w:p>
            <w:pPr>
              <w:pStyle w:val="Compact"/>
              <w:jc w:val="left"/>
            </w:pPr>
            <w:r>
              <w:t xml:space="preserve">是</w:t>
            </w:r>
          </w:p>
        </w:tc>
      </w:tr>
    </w:tbl>
    <w:p>
      <w:pPr>
        <w:pStyle w:val="BodyText"/>
      </w:pPr>
      <w:r>
        <w:t xml:space="preserve">输出模板的设计遵循决策支持系统的信息呈现原则：数据须转化为可操作的洞察（actionable information），采用KPI指标衡量整体性能，并提供从概览到细节的钻取能力</w:t>
      </w:r>
      <w:r>
        <w:rPr>
          <w:vertAlign w:val="superscript"/>
        </w:rPr>
        <w:footnoteReference w:id="151"/>
      </w:r>
      <w:r>
        <w:t xml:space="preserve">。</w:t>
      </w:r>
      <w:r>
        <w:rPr>
          <w:rStyle w:val="VerbatimChar"/>
        </w:rPr>
        <w:t xml:space="preserve">action_items</w:t>
      </w:r>
      <w:r>
        <w:t xml:space="preserve">字段将分析结论直接转化为可执行任务，缩短从报告到行动的决策链路。</w:t>
      </w:r>
      <w:r>
        <w:rPr>
          <w:rStyle w:val="VerbatimChar"/>
        </w:rPr>
        <w:t xml:space="preserve">credibility_annotation</w:t>
      </w:r>
      <w:r>
        <w:t xml:space="preserve">字段则体现可信度加权报告生成的核心理念——每条建议不再仅是观点陈述，而是附带量化可靠性评级的证据驱动结论</w:t>
      </w:r>
      <w:fldSimple w:instr="NOTEREF _Ref_Footnote_144 \h \f">
        <w:r>
          <w:rPr>
            <w:vertAlign w:val="superscript"/>
          </w:rPr>
          <w:t>144</w:t>
        </w:r>
      </w:fldSimple>
      <w:r>
        <w:t xml:space="preserve">。</w:t>
      </w:r>
      <w:r>
        <w:rPr>
          <w:rStyle w:val="VerbatimChar"/>
        </w:rPr>
        <w:t xml:space="preserve">knowledge_deposit</w:t>
      </w:r>
      <w:r>
        <w:t xml:space="preserve">字段虽未标记为必填，但在周期性知识沉淀触发时自动生成，支撑系统的持续学习能力。</w:t>
      </w:r>
    </w:p>
    <w:bookmarkEnd w:id="124"/>
    <w:bookmarkEnd w:id="125"/>
    <w:bookmarkStart w:id="129" w:name="触发条件与协作关系-7"/>
    <w:p>
      <w:pPr>
        <w:pStyle w:val="Heading3"/>
      </w:pPr>
      <w:r>
        <w:t xml:space="preserve">9.3 触发条件与协作关系</w:t>
      </w:r>
    </w:p>
    <w:bookmarkStart w:id="126" w:name="触发条件-7"/>
    <w:p>
      <w:pPr>
        <w:pStyle w:val="Heading4"/>
      </w:pPr>
      <w:r>
        <w:t xml:space="preserve">9.3.1 触发条件</w:t>
      </w:r>
    </w:p>
    <w:p>
      <w:pPr>
        <w:pStyle w:val="FirstParagraph"/>
      </w:pPr>
      <w:r>
        <w:t xml:space="preserve">Summary SubAgent的触发条件分为三类。</w:t>
      </w:r>
      <w:r>
        <w:rPr>
          <w:bCs/>
          <w:b/>
        </w:rPr>
        <w:t xml:space="preserve">第一类为自动触发</w:t>
      </w:r>
      <w:r>
        <w:t xml:space="preserve">：当所有7个上游SubAgent均返回输出后，主Agent向Summary SubAgent发送</w:t>
      </w:r>
      <w:r>
        <w:rPr>
          <w:rStyle w:val="VerbatimChar"/>
        </w:rPr>
        <w:t xml:space="preserve">auto_complete</w:t>
      </w:r>
      <w:r>
        <w:t xml:space="preserve">触发信号。该模式为最常规的工作流程，对应Google多Agent设计模式中的Parallel Fan-out/Gather模式</w:t>
      </w:r>
      <w:fldSimple w:instr="NOTEREF _Ref_Footnote_8 \h \f">
        <w:r>
          <w:rPr>
            <w:vertAlign w:val="superscript"/>
          </w:rPr>
          <w:t>8</w:t>
        </w:r>
      </w:fldSimple>
      <w:r>
        <w:t xml:space="preserve">。</w:t>
      </w:r>
      <w:r>
        <w:rPr>
          <w:bCs/>
          <w:b/>
        </w:rPr>
        <w:t xml:space="preserve">第二类为超时触发</w:t>
      </w:r>
      <w:r>
        <w:t xml:space="preserve">：若预设等待时间（默认10分钟）内仍有Agent未返回，Summary SubAgent基于已收集的输出启动”降级综合”——缺失Agent的信息被标注为”数据缺失”，其余Agent输出按正常流程融合</w:t>
      </w:r>
      <w:fldSimple w:instr="NOTEREF _Ref_Footnote_141 \h \f">
        <w:r>
          <w:rPr>
            <w:vertAlign w:val="superscript"/>
          </w:rPr>
          <w:t>141</w:t>
        </w:r>
      </w:fldSimple>
      <w:r>
        <w:t xml:space="preserve">。</w:t>
      </w:r>
      <w:r>
        <w:rPr>
          <w:bCs/>
          <w:b/>
        </w:rPr>
        <w:t xml:space="preserve">第三类为手动触发</w:t>
      </w:r>
      <w:r>
        <w:t xml:space="preserve">，包括用户直接请求最终报告、主Agent要求修订报告，以及蓝军Agent识别重大冲突时的紧急报告生成</w:t>
      </w:r>
      <w:fldSimple w:instr="NOTEREF _Ref_Footnote_143 \h \f">
        <w:r>
          <w:rPr>
            <w:vertAlign w:val="superscript"/>
          </w:rPr>
          <w:t>143</w:t>
        </w:r>
      </w:fldSimple>
      <w:r>
        <w:t xml:space="preserve">。</w:t>
      </w:r>
    </w:p>
    <w:p>
      <w:pPr>
        <w:pStyle w:val="BodyText"/>
      </w:pPr>
      <w:r>
        <w:t xml:space="preserve">此外，系统设置</w:t>
      </w:r>
      <w:r>
        <w:rPr>
          <w:bCs/>
          <w:b/>
        </w:rPr>
        <w:t xml:space="preserve">周期性知识沉淀触发</w:t>
      </w:r>
      <w:r>
        <w:t xml:space="preserve">（每完成10次综合报告或每自然周），自动触发</w:t>
      </w:r>
      <w:r>
        <w:rPr>
          <w:rStyle w:val="VerbatimChar"/>
        </w:rPr>
        <w:t xml:space="preserve">knowledge_deposit</w:t>
      </w:r>
      <w:r>
        <w:t xml:space="preserve">生成流程，将近期成功案例归档至工艺知识库。</w:t>
      </w:r>
    </w:p>
    <w:bookmarkEnd w:id="126"/>
    <w:bookmarkStart w:id="127" w:name="上游依赖-6"/>
    <w:p>
      <w:pPr>
        <w:pStyle w:val="Heading4"/>
      </w:pPr>
      <w:r>
        <w:t xml:space="preserve">9.3.2 上游依赖</w:t>
      </w:r>
    </w:p>
    <w:p>
      <w:pPr>
        <w:pStyle w:val="FirstParagraph"/>
      </w:pPr>
      <w:r>
        <w:t xml:space="preserve">Summary SubAgent是所有专业SubAgent的信息汇聚点，其上游依赖关系如下：</w:t>
      </w:r>
    </w:p>
    <w:p>
      <w:pPr>
        <w:pStyle w:val="SourceCode"/>
      </w:pPr>
      <w:r>
        <w:rPr>
          <w:rStyle w:val="VerbatimChar"/>
        </w:rPr>
        <w:t xml:space="preserve">flowchart TD</w:t>
      </w:r>
      <w:r>
        <w:br/>
      </w:r>
      <w:r>
        <w:rPr>
          <w:rStyle w:val="VerbatimChar"/>
        </w:rPr>
        <w:t xml:space="preserve">    subgraph Upstream["上游专业SubAgent"]</w:t>
      </w:r>
      <w:r>
        <w:br/>
      </w:r>
      <w:r>
        <w:rPr>
          <w:rStyle w:val="VerbatimChar"/>
        </w:rPr>
        <w:t xml:space="preserve">        A1["机理仿真Agent&lt;br/&gt;(sim_mech)"]</w:t>
      </w:r>
      <w:r>
        <w:br/>
      </w:r>
      <w:r>
        <w:rPr>
          <w:rStyle w:val="VerbatimChar"/>
        </w:rPr>
        <w:t xml:space="preserve">        A2["RCP参数Agent&lt;br/&gt;(rcp_param)"]</w:t>
      </w:r>
      <w:r>
        <w:br/>
      </w:r>
      <w:r>
        <w:rPr>
          <w:rStyle w:val="VerbatimChar"/>
        </w:rPr>
        <w:t xml:space="preserve">        A3["文献检索Agent&lt;br/&gt;(lit_search)"]</w:t>
      </w:r>
      <w:r>
        <w:br/>
      </w:r>
      <w:r>
        <w:rPr>
          <w:rStyle w:val="VerbatimChar"/>
        </w:rPr>
        <w:t xml:space="preserve">        A4["数据预测Agent&lt;br/&gt;(data_pred)"]</w:t>
      </w:r>
      <w:r>
        <w:br/>
      </w:r>
      <w:r>
        <w:rPr>
          <w:rStyle w:val="VerbatimChar"/>
        </w:rPr>
        <w:t xml:space="preserve">        A5["DOE实验Agent&lt;br/&gt;(doe_exp)"]</w:t>
      </w:r>
      <w:r>
        <w:br/>
      </w:r>
      <w:r>
        <w:rPr>
          <w:rStyle w:val="VerbatimChar"/>
        </w:rPr>
        <w:t xml:space="preserve">        A6["蓝军审查Agent&lt;br/&gt;(blue_team)"]</w:t>
      </w:r>
      <w:r>
        <w:br/>
      </w:r>
      <w:r>
        <w:rPr>
          <w:rStyle w:val="VerbatimChar"/>
        </w:rPr>
        <w:t xml:space="preserve">        A7["TRIZ创新Agent&lt;br/&gt;(triz_inno)"]</w:t>
      </w:r>
      <w:r>
        <w:br/>
      </w:r>
      <w:r>
        <w:rPr>
          <w:rStyle w:val="VerbatimChar"/>
        </w:rPr>
        <w:t xml:space="preserve">    end</w:t>
      </w:r>
      <w:r>
        <w:br/>
      </w:r>
      <w:r>
        <w:br/>
      </w:r>
      <w:r>
        <w:rPr>
          <w:rStyle w:val="VerbatimChar"/>
        </w:rPr>
        <w:t xml:space="preserve">    S["Summary Agent&lt;br/&gt;(Aggregator)"]</w:t>
      </w:r>
      <w:r>
        <w:br/>
      </w:r>
      <w:r>
        <w:br/>
      </w:r>
      <w:r>
        <w:rPr>
          <w:rStyle w:val="VerbatimChar"/>
        </w:rPr>
        <w:t xml:space="preserve">    subgraph Downstream["下游输出"]</w:t>
      </w:r>
      <w:r>
        <w:br/>
      </w:r>
      <w:r>
        <w:rPr>
          <w:rStyle w:val="VerbatimChar"/>
        </w:rPr>
        <w:t xml:space="preserve">        D1["用户报告交付"]</w:t>
      </w:r>
      <w:r>
        <w:br/>
      </w:r>
      <w:r>
        <w:rPr>
          <w:rStyle w:val="VerbatimChar"/>
        </w:rPr>
        <w:t xml:space="preserve">        D2["主Agent状态反馈"]</w:t>
      </w:r>
      <w:r>
        <w:br/>
      </w:r>
      <w:r>
        <w:rPr>
          <w:rStyle w:val="VerbatimChar"/>
        </w:rPr>
        <w:t xml:space="preserve">        D3["文献Agent知识推送"]</w:t>
      </w:r>
      <w:r>
        <w:br/>
      </w:r>
      <w:r>
        <w:rPr>
          <w:rStyle w:val="VerbatimChar"/>
        </w:rPr>
        <w:t xml:space="preserve">    end</w:t>
      </w:r>
      <w:r>
        <w:br/>
      </w:r>
      <w:r>
        <w:br/>
      </w:r>
      <w:r>
        <w:rPr>
          <w:rStyle w:val="VerbatimChar"/>
        </w:rPr>
        <w:t xml:space="preserve">    A1 --&gt;|物理数据+high置信度| S</w:t>
      </w:r>
      <w:r>
        <w:br/>
      </w:r>
      <w:r>
        <w:rPr>
          <w:rStyle w:val="VerbatimChar"/>
        </w:rPr>
        <w:t xml:space="preserve">    A2 --&gt;|工艺参数+high置信度| S</w:t>
      </w:r>
      <w:r>
        <w:br/>
      </w:r>
      <w:r>
        <w:rPr>
          <w:rStyle w:val="VerbatimChar"/>
        </w:rPr>
        <w:t xml:space="preserve">    A3 --&gt;|文献摘要+medium置信度| S</w:t>
      </w:r>
      <w:r>
        <w:br/>
      </w:r>
      <w:r>
        <w:rPr>
          <w:rStyle w:val="VerbatimChar"/>
        </w:rPr>
        <w:t xml:space="preserve">    A4 --&gt;|预测结果+medium置信度| S</w:t>
      </w:r>
      <w:r>
        <w:br/>
      </w:r>
      <w:r>
        <w:rPr>
          <w:rStyle w:val="VerbatimChar"/>
        </w:rPr>
        <w:t xml:space="preserve">    A5 --&gt;|统计表格+high置信度| S</w:t>
      </w:r>
      <w:r>
        <w:br/>
      </w:r>
      <w:r>
        <w:rPr>
          <w:rStyle w:val="VerbatimChar"/>
        </w:rPr>
        <w:t xml:space="preserve">    A6 --&gt;|审查评级+medium置信度| S</w:t>
      </w:r>
      <w:r>
        <w:br/>
      </w:r>
      <w:r>
        <w:rPr>
          <w:rStyle w:val="VerbatimChar"/>
        </w:rPr>
        <w:t xml:space="preserve">    A7 --&gt;|创新方案+medium置信度| S</w:t>
      </w:r>
      <w:r>
        <w:br/>
      </w:r>
      <w:r>
        <w:br/>
      </w:r>
      <w:r>
        <w:rPr>
          <w:rStyle w:val="VerbatimChar"/>
        </w:rPr>
        <w:t xml:space="preserve">    S --&gt; D1</w:t>
      </w:r>
      <w:r>
        <w:br/>
      </w:r>
      <w:r>
        <w:rPr>
          <w:rStyle w:val="VerbatimChar"/>
        </w:rPr>
        <w:t xml:space="preserve">    S --&gt; D2</w:t>
      </w:r>
      <w:r>
        <w:br/>
      </w:r>
      <w:r>
        <w:rPr>
          <w:rStyle w:val="VerbatimChar"/>
        </w:rPr>
        <w:t xml:space="preserve">    S --&gt; D3</w:t>
      </w:r>
      <w:r>
        <w:br/>
      </w:r>
      <w:r>
        <w:br/>
      </w:r>
      <w:r>
        <w:rPr>
          <w:rStyle w:val="VerbatimChar"/>
        </w:rPr>
        <w:t xml:space="preserve">    style S fill:#f0f0f0,stroke:#333,stroke-width:2px</w:t>
      </w:r>
    </w:p>
    <w:p>
      <w:pPr>
        <w:pStyle w:val="FirstParagraph"/>
      </w:pPr>
      <w:r>
        <w:t xml:space="preserve">该信息流图体现了Mixture-of-Agents（MoA）架构的核心思想：多个Proposer Agent（上游7个专业Agent）并行生成多样化候选输出，Aggregator LLM（Summary SubAgent）综合所有输出为单一高质量响应</w:t>
      </w:r>
      <w:r>
        <w:rPr>
          <w:vertAlign w:val="superscript"/>
        </w:rPr>
        <w:footnoteReference w:id="152"/>
      </w:r>
      <w:r>
        <w:t xml:space="preserve">。图中标注的置信度等级并非固定值，而是各Agent在典型场景下的默认输出等级——实际运行时可根据任务特征动态调整。权重分配遵循表1所列的融合层级原则：高置信度数据源（DOE实验、机理仿真、RCP参数）在数据层融合中占主导地位，中置信度信息源（文献、蓝军、TRIZ）主要参与特征层和决策层的融合过程。</w:t>
      </w:r>
    </w:p>
    <w:p>
      <w:pPr>
        <w:pStyle w:val="BodyText"/>
      </w:pPr>
      <w:r>
        <w:t xml:space="preserve">上游Agent按必要性分为两组：</w:t>
      </w:r>
      <w:r>
        <w:rPr>
          <w:bCs/>
          <w:b/>
        </w:rPr>
        <w:t xml:space="preserve">必要Agent</w:t>
      </w:r>
      <w:r>
        <w:t xml:space="preserve">（机理仿真、RCP参数、DOE实验）缺失时将显著降低报告可靠性，系统会显式标注”缺少实验验证”或”缺少物理模型支撑”等警告；</w:t>
      </w:r>
      <w:r>
        <w:rPr>
          <w:bCs/>
          <w:b/>
        </w:rPr>
        <w:t xml:space="preserve">可选Agent</w:t>
      </w:r>
      <w:r>
        <w:t xml:space="preserve">（文献、数据预测、蓝军、TRIZ）缺失时报告仍可生成，但对应维度（如前瞻性分析、风险识别、创新建议）的覆盖度下降。</w:t>
      </w:r>
    </w:p>
    <w:bookmarkEnd w:id="127"/>
    <w:bookmarkStart w:id="128" w:name="下游贡献-6"/>
    <w:p>
      <w:pPr>
        <w:pStyle w:val="Heading4"/>
      </w:pPr>
      <w:r>
        <w:t xml:space="preserve">9.3.3 下游贡献</w:t>
      </w:r>
    </w:p>
    <w:p>
      <w:pPr>
        <w:pStyle w:val="FirstParagraph"/>
      </w:pPr>
      <w:r>
        <w:t xml:space="preserve">Summary SubAgent的下游输出服务于三个对象。</w:t>
      </w:r>
      <w:r>
        <w:rPr>
          <w:bCs/>
          <w:b/>
        </w:rPr>
        <w:t xml:space="preserve">面向最终用户（蚀刻工艺工程师）</w:t>
      </w:r>
      <w:r>
        <w:t xml:space="preserve">，提供可直接用于生产决策的工艺参数建议、风险识别和行动项清单。报告的可信度标注使用户能够区分高置信度建议（可直接采纳）和低置信度建议（需进一步验证）。</w:t>
      </w:r>
      <w:r>
        <w:rPr>
          <w:bCs/>
          <w:b/>
        </w:rPr>
        <w:t xml:space="preserve">面向主Agent</w:t>
      </w:r>
      <w:r>
        <w:t xml:space="preserve">，Summary SubAgent反馈各SubAgent的工作质量指标（贡献度、置信度一致性、冲突频率等），这些数据用于主Agent的动态优先级调度决策——如某Agent持续输出低置信度结果，主Agent可在后续任务中降低其优先级或触发参数重配置</w:t>
      </w:r>
      <w:r>
        <w:rPr>
          <w:vertAlign w:val="superscript"/>
        </w:rPr>
        <w:footnoteReference w:id="153"/>
      </w:r>
      <w:r>
        <w:t xml:space="preserve">。</w:t>
      </w:r>
      <w:r>
        <w:rPr>
          <w:bCs/>
          <w:b/>
        </w:rPr>
        <w:t xml:space="preserve">面向文献Agent</w:t>
      </w:r>
      <w:r>
        <w:t xml:space="preserve">，Summary SubAgent推送经综合验证的新工艺知识和成功案例，支持知识图谱的增量更新</w:t>
      </w:r>
      <w:fldSimple w:instr="NOTEREF _Ref_Footnote_149 \h \f">
        <w:r>
          <w:rPr>
            <w:vertAlign w:val="superscript"/>
          </w:rPr>
          <w:t>149</w:t>
        </w:r>
      </w:fldSimple>
      <w:r>
        <w:t xml:space="preserve">。</w:t>
      </w:r>
    </w:p>
    <w:p>
      <w:pPr>
        <w:pStyle w:val="BodyText"/>
      </w:pPr>
      <w:r>
        <w:t xml:space="preserve">Summary SubAgent在多智能体协作网络中处于信息流的终末节点，但其功能不仅是被动汇总——通过可信度加权、冲突检测和知识沉淀三项机制，Summary SubAgent将离散的专业分析转化为可执行的工艺决策建议，同时将每次综合过程的隐性知识显式归档，为系统的持续演进提供数据基础。</w:t>
      </w:r>
    </w:p>
    <w:bookmarkEnd w:id="128"/>
    <w:bookmarkEnd w:id="129"/>
    <w:bookmarkEnd w:id="130"/>
    <w:bookmarkStart w:id="143" w:name="agent协作机制与主agent调度策略"/>
    <w:p>
      <w:pPr>
        <w:pStyle w:val="Heading2"/>
      </w:pPr>
      <w:r>
        <w:t xml:space="preserve">10. Agent协作机制与主Agent调度策略</w:t>
      </w:r>
    </w:p>
    <w:p>
      <w:pPr>
        <w:pStyle w:val="FirstParagraph"/>
      </w:pPr>
      <w:r>
        <w:t xml:space="preserve">前九章分别完成了蚀刻多智能体系统（Etching MAS）中8个专业SubAgent的能力设计。本章构建系统级集成方案，设计跨Agent信息流转架构与主Agent动态调度策略。</w:t>
      </w:r>
    </w:p>
    <w:bookmarkStart w:id="134" w:name="信息流转架构"/>
    <w:p>
      <w:pPr>
        <w:pStyle w:val="Heading3"/>
      </w:pPr>
      <w:r>
        <w:t xml:space="preserve">10.1 信息流转架构</w:t>
      </w:r>
    </w:p>
    <w:bookmarkStart w:id="131" w:name="协作拓扑星型与局部直连的混合架构"/>
    <w:p>
      <w:pPr>
        <w:pStyle w:val="Heading4"/>
      </w:pPr>
      <w:r>
        <w:t xml:space="preserve">10.1.1 协作拓扑：星型与局部直连的混合架构</w:t>
      </w:r>
    </w:p>
    <w:p>
      <w:pPr>
        <w:pStyle w:val="FirstParagraph"/>
      </w:pPr>
      <w:r>
        <w:t xml:space="preserve">蚀刻MAS采用星型拓扑（Star Topology）与局部直连（Peer-to-Peer）相结合的混合架构：主Agent作为中央调度节点负责任务分发与结果聚合，同时允许强耦合SubAgent间建立双向直连通道以降低延迟。星型拓扑的优势在于调度逻辑集中化，主Agent掌握全局任务状态，可基于问题特征动态调整调用顺序，这与Coordinator-Dispatcher模式</w:t>
      </w:r>
      <w:fldSimple w:instr="NOTEREF _Ref_Footnote_8 \h \f">
        <w:r>
          <w:rPr>
            <w:vertAlign w:val="superscript"/>
          </w:rPr>
          <w:t>8</w:t>
        </w:r>
      </w:fldSimple>
      <w:r>
        <w:t xml:space="preserve">一致</w:t>
      </w:r>
      <w:r>
        <w:rPr>
          <w:vertAlign w:val="superscript"/>
        </w:rPr>
        <w:footnoteReference w:id="154"/>
      </w:r>
      <w:r>
        <w:t xml:space="preserve">。但纯星型拓扑在高频交互场景下产生不必要的转发开销，因此系统为三对高耦合Agent建立局部直连。</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拓扑类型</w:t>
            </w:r>
          </w:p>
        </w:tc>
        <w:tc>
          <w:tcPr/>
          <w:p>
            <w:pPr>
              <w:pStyle w:val="Compact"/>
              <w:jc w:val="left"/>
            </w:pPr>
            <w:r>
              <w:t xml:space="preserve">适用协作关系</w:t>
            </w:r>
          </w:p>
        </w:tc>
        <w:tc>
          <w:tcPr/>
          <w:p>
            <w:pPr>
              <w:pStyle w:val="Compact"/>
              <w:jc w:val="center"/>
            </w:pPr>
            <w:r>
              <w:t xml:space="preserve">延迟</w:t>
            </w:r>
          </w:p>
        </w:tc>
        <w:tc>
          <w:tcPr/>
          <w:p>
            <w:pPr>
              <w:pStyle w:val="Compact"/>
              <w:jc w:val="center"/>
            </w:pPr>
            <w:r>
              <w:t xml:space="preserve">可扩展性</w:t>
            </w:r>
          </w:p>
        </w:tc>
        <w:tc>
          <w:tcPr/>
          <w:p>
            <w:pPr>
              <w:pStyle w:val="Compact"/>
              <w:jc w:val="center"/>
            </w:pPr>
            <w:r>
              <w:t xml:space="preserve">调度复杂度</w:t>
            </w:r>
          </w:p>
        </w:tc>
      </w:tr>
      <w:tr>
        <w:tc>
          <w:tcPr/>
          <w:p>
            <w:pPr>
              <w:pStyle w:val="Compact"/>
              <w:jc w:val="center"/>
            </w:pPr>
            <w:r>
              <w:t xml:space="preserve">星型（主Agent中转）</w:t>
            </w:r>
          </w:p>
        </w:tc>
        <w:tc>
          <w:tcPr/>
          <w:p>
            <w:pPr>
              <w:pStyle w:val="Compact"/>
              <w:jc w:val="left"/>
            </w:pPr>
            <w:r>
              <w:t xml:space="preserve">主Agent ↔ 各SubAgent</w:t>
            </w:r>
          </w:p>
        </w:tc>
        <w:tc>
          <w:tcPr/>
          <w:p>
            <w:pPr>
              <w:pStyle w:val="Compact"/>
              <w:jc w:val="center"/>
            </w:pPr>
            <m:oMath>
              <m:r>
                <m:t>O</m:t>
              </m:r>
              <m:d>
                <m:dPr>
                  <m:begChr m:val="("/>
                  <m:endChr m:val=")"/>
                  <m:sepChr m:val=""/>
                  <m:grow/>
                </m:dPr>
                <m:e>
                  <m:r>
                    <m:t>2</m:t>
                  </m:r>
                </m:e>
              </m:d>
            </m:oMath>
            <w:r>
              <w:t xml:space="preserve"> </w:t>
            </w:r>
            <w:r>
              <w:t xml:space="preserve">跳</w:t>
            </w:r>
          </w:p>
        </w:tc>
        <w:tc>
          <w:tcPr/>
          <w:p>
            <w:pPr>
              <w:pStyle w:val="Compact"/>
              <w:jc w:val="center"/>
            </w:pPr>
            <w:r>
              <w:t xml:space="preserve">高</w:t>
            </w:r>
          </w:p>
        </w:tc>
        <w:tc>
          <w:tcPr/>
          <w:p>
            <w:pPr>
              <w:pStyle w:val="Compact"/>
              <w:jc w:val="center"/>
            </w:pPr>
            <w:r>
              <w:t xml:space="preserve">低</w:t>
            </w:r>
          </w:p>
        </w:tc>
      </w:tr>
      <w:tr>
        <w:tc>
          <w:tcPr/>
          <w:p>
            <w:pPr>
              <w:pStyle w:val="Compact"/>
              <w:jc w:val="center"/>
            </w:pPr>
            <w:r>
              <w:t xml:space="preserve">局部直连</w:t>
            </w:r>
          </w:p>
        </w:tc>
        <w:tc>
          <w:tcPr/>
          <w:p>
            <w:pPr>
              <w:pStyle w:val="Compact"/>
              <w:jc w:val="left"/>
            </w:pPr>
            <w:r>
              <w:t xml:space="preserve">仿真 ↔ 数据（双层预测闭环）</w:t>
            </w:r>
          </w:p>
        </w:tc>
        <w:tc>
          <w:tcPr/>
          <w:p>
            <w:pPr>
              <w:pStyle w:val="Compact"/>
              <w:jc w:val="center"/>
            </w:pPr>
            <m:oMath>
              <m:r>
                <m:t>O</m:t>
              </m:r>
              <m:d>
                <m:dPr>
                  <m:begChr m:val="("/>
                  <m:endChr m:val=")"/>
                  <m:sepChr m:val=""/>
                  <m:grow/>
                </m:dPr>
                <m:e>
                  <m:r>
                    <m:t>1</m:t>
                  </m:r>
                </m:e>
              </m:d>
            </m:oMath>
            <w:r>
              <w:t xml:space="preserve"> </w:t>
            </w:r>
            <w:r>
              <w:t xml:space="preserve">跳</w:t>
            </w:r>
          </w:p>
        </w:tc>
        <w:tc>
          <w:tcPr/>
          <w:p>
            <w:pPr>
              <w:pStyle w:val="Compact"/>
              <w:jc w:val="center"/>
            </w:pPr>
            <w:r>
              <w:t xml:space="preserve">低</w:t>
            </w:r>
          </w:p>
        </w:tc>
        <w:tc>
          <w:tcPr/>
          <w:p>
            <w:pPr>
              <w:pStyle w:val="Compact"/>
              <w:jc w:val="center"/>
            </w:pPr>
            <w:r>
              <w:t xml:space="preserve">中</w:t>
            </w:r>
          </w:p>
        </w:tc>
      </w:tr>
      <w:tr>
        <w:tc>
          <w:tcPr/>
          <w:p>
            <w:pPr>
              <w:pStyle w:val="Compact"/>
              <w:jc w:val="center"/>
            </w:pPr>
            <w:r>
              <w:t xml:space="preserve">局部直连</w:t>
            </w:r>
          </w:p>
        </w:tc>
        <w:tc>
          <w:tcPr/>
          <w:p>
            <w:pPr>
              <w:pStyle w:val="Compact"/>
              <w:jc w:val="left"/>
            </w:pPr>
            <w:r>
              <w:t xml:space="preserve">DOE ↔ 数据（实验评估反馈）</w:t>
            </w:r>
          </w:p>
        </w:tc>
        <w:tc>
          <w:tcPr/>
          <w:p>
            <w:pPr>
              <w:pStyle w:val="Compact"/>
              <w:jc w:val="center"/>
            </w:pPr>
            <m:oMath>
              <m:r>
                <m:t>O</m:t>
              </m:r>
              <m:d>
                <m:dPr>
                  <m:begChr m:val="("/>
                  <m:endChr m:val=")"/>
                  <m:sepChr m:val=""/>
                  <m:grow/>
                </m:dPr>
                <m:e>
                  <m:r>
                    <m:t>1</m:t>
                  </m:r>
                </m:e>
              </m:d>
            </m:oMath>
            <w:r>
              <w:t xml:space="preserve"> </w:t>
            </w:r>
            <w:r>
              <w:t xml:space="preserve">跳</w:t>
            </w:r>
          </w:p>
        </w:tc>
        <w:tc>
          <w:tcPr/>
          <w:p>
            <w:pPr>
              <w:pStyle w:val="Compact"/>
              <w:jc w:val="center"/>
            </w:pPr>
            <w:r>
              <w:t xml:space="preserve">低</w:t>
            </w:r>
          </w:p>
        </w:tc>
        <w:tc>
          <w:tcPr/>
          <w:p>
            <w:pPr>
              <w:pStyle w:val="Compact"/>
              <w:jc w:val="center"/>
            </w:pPr>
            <w:r>
              <w:t xml:space="preserve">中</w:t>
            </w:r>
          </w:p>
        </w:tc>
      </w:tr>
      <w:tr>
        <w:tc>
          <w:tcPr/>
          <w:p>
            <w:pPr>
              <w:pStyle w:val="Compact"/>
              <w:jc w:val="center"/>
            </w:pPr>
            <w:r>
              <w:t xml:space="preserve">广播直连</w:t>
            </w:r>
          </w:p>
        </w:tc>
        <w:tc>
          <w:tcPr/>
          <w:p>
            <w:pPr>
              <w:pStyle w:val="Compact"/>
              <w:jc w:val="left"/>
            </w:pPr>
            <w:r>
              <w:t xml:space="preserve">蓝军 → 所有Agent（质量门禁）</w:t>
            </w:r>
          </w:p>
        </w:tc>
        <w:tc>
          <w:tcPr/>
          <w:p>
            <w:pPr>
              <w:pStyle w:val="Compact"/>
              <w:jc w:val="center"/>
            </w:pPr>
            <m:oMath>
              <m:r>
                <m:t>O</m:t>
              </m:r>
              <m:d>
                <m:dPr>
                  <m:begChr m:val="("/>
                  <m:endChr m:val=")"/>
                  <m:sepChr m:val=""/>
                  <m:grow/>
                </m:dPr>
                <m:e>
                  <m:r>
                    <m:t>1</m:t>
                  </m:r>
                </m:e>
              </m:d>
            </m:oMath>
            <w:r>
              <w:t xml:space="preserve"> </w:t>
            </w:r>
            <w:r>
              <w:t xml:space="preserve">跳</w:t>
            </w:r>
          </w:p>
        </w:tc>
        <w:tc>
          <w:tcPr/>
          <w:p>
            <w:pPr>
              <w:pStyle w:val="Compact"/>
              <w:jc w:val="center"/>
            </w:pPr>
            <w:r>
              <w:t xml:space="preserve">中</w:t>
            </w:r>
          </w:p>
        </w:tc>
        <w:tc>
          <w:tcPr/>
          <w:p>
            <w:pPr>
              <w:pStyle w:val="Compact"/>
              <w:jc w:val="center"/>
            </w:pPr>
            <w:r>
              <w:t xml:space="preserve">高</w:t>
            </w:r>
          </w:p>
        </w:tc>
      </w:tr>
    </w:tbl>
    <w:p>
      <w:pPr>
        <w:pStyle w:val="BodyText"/>
      </w:pPr>
      <w:r>
        <w:t xml:space="preserve">仿真Agent与数据Agent的直连实现”双层预测闭环”：仿真输出作为数据Agent的贝叶斯先验，数据Agent的预测偏差反馈至仿真Agent校准模型</w:t>
      </w:r>
      <w:fldSimple w:instr="NOTEREF _Ref_Footnote_77 \h \f">
        <w:r>
          <w:rPr>
            <w:vertAlign w:val="superscript"/>
          </w:rPr>
          <w:t>77</w:t>
        </w:r>
      </w:fldSimple>
      <w:r>
        <w:t xml:space="preserve"> </w:t>
      </w:r>
      <w:fldSimple w:instr="NOTEREF _Ref_Footnote_72 \h \f">
        <w:r>
          <w:rPr>
            <w:vertAlign w:val="superscript"/>
          </w:rPr>
          <w:t>72</w:t>
        </w:r>
      </w:fldSimple>
      <w:r>
        <w:t xml:space="preserve">。DOE Agent与数据Agent的直连支持虚拟实验快速评估</w:t>
      </w:r>
      <w:fldSimple w:instr="NOTEREF _Ref_Footnote_6 \h \f">
        <w:r>
          <w:rPr>
            <w:vertAlign w:val="superscript"/>
          </w:rPr>
          <w:t>6</w:t>
        </w:r>
      </w:fldSimple>
      <w:r>
        <w:t xml:space="preserve">。蓝军Agent以广播形式向所有Agent分发审查信号，实现过程节点触发的质量门禁</w:t>
      </w:r>
      <w:fldSimple w:instr="NOTEREF _Ref_Footnote_9 \h \f">
        <w:r>
          <w:rPr>
            <w:vertAlign w:val="superscript"/>
          </w:rPr>
          <w:t>9</w:t>
        </w:r>
      </w:fldSimple>
      <w:r>
        <w:t xml:space="preserve">。混合架构在高频交互路径上减少50%转发跳数，同时保留集中式调度的全局可见性。</w:t>
      </w:r>
    </w:p>
    <w:bookmarkEnd w:id="131"/>
    <w:bookmarkStart w:id="132" w:name="上下文传递机制"/>
    <w:p>
      <w:pPr>
        <w:pStyle w:val="Heading4"/>
      </w:pPr>
      <w:r>
        <w:t xml:space="preserve">10.1.2 上下文传递机制</w:t>
      </w:r>
    </w:p>
    <w:p>
      <w:pPr>
        <w:pStyle w:val="FirstParagraph"/>
      </w:pPr>
      <w:r>
        <w:t xml:space="preserve">跨Agent信息交换采用三层标准化机制。输入标准化层将异构输出（VTK场分布、GP数值对、结构化审查报告）转换为统一JSON中间表示，包含</w:t>
      </w:r>
      <w:r>
        <w:rPr>
          <w:rStyle w:val="VerbatimChar"/>
        </w:rPr>
        <w:t xml:space="preserve">content</w:t>
      </w:r>
      <w:r>
        <w:t xml:space="preserve">、</w:t>
      </w:r>
      <w:r>
        <w:rPr>
          <w:rStyle w:val="VerbatimChar"/>
        </w:rPr>
        <w:t xml:space="preserve">source_agent</w:t>
      </w:r>
      <w:r>
        <w:t xml:space="preserve">、</w:t>
      </w:r>
      <w:r>
        <w:rPr>
          <w:rStyle w:val="VerbatimChar"/>
        </w:rPr>
        <w:t xml:space="preserve">confidence</w:t>
      </w:r>
      <w:r>
        <w:t xml:space="preserve">、</w:t>
      </w:r>
      <w:r>
        <w:rPr>
          <w:rStyle w:val="VerbatimChar"/>
        </w:rPr>
        <w:t xml:space="preserve">timestamp</w:t>
      </w:r>
      <w:r>
        <w:t xml:space="preserve">四个必填字段及类型特定扩展字段（如数值型的</w:t>
      </w:r>
      <w:r>
        <w:rPr>
          <w:rStyle w:val="VerbatimChar"/>
        </w:rPr>
        <w:t xml:space="preserve">uncertainty</w:t>
      </w:r>
      <w:r>
        <w:t xml:space="preserve">、审查型的</w:t>
      </w:r>
      <w:r>
        <w:rPr>
          <w:rStyle w:val="VerbatimChar"/>
        </w:rPr>
        <w:t xml:space="preserve">severity</w:t>
      </w:r>
      <w:r>
        <w:t xml:space="preserve">），参考多源信息融合的数据层融合方法</w:t>
      </w:r>
      <w:fldSimple w:instr="NOTEREF _Ref_Footnote_141 \h \f">
        <w:r>
          <w:rPr>
            <w:vertAlign w:val="superscript"/>
          </w:rPr>
          <w:t>141</w:t>
        </w:r>
      </w:fldSimple>
      <w:r>
        <w:t xml:space="preserve">。结果压缩层通过Map-Reduce摘要管线</w:t>
      </w:r>
      <w:fldSimple w:instr="NOTEREF _Ref_Footnote_150 \h \f">
        <w:r>
          <w:rPr>
            <w:vertAlign w:val="superscript"/>
          </w:rPr>
          <w:t>150</w:t>
        </w:r>
      </w:fldSimple>
      <w:r>
        <w:t xml:space="preserve"> </w:t>
      </w:r>
      <w:fldSimple w:instr="NOTEREF _Ref_Footnote_138 \h \f">
        <w:r>
          <w:rPr>
            <w:vertAlign w:val="superscript"/>
          </w:rPr>
          <w:t>138</w:t>
        </w:r>
      </w:fldSimple>
      <w:r>
        <w:t xml:space="preserve">将原始输出压缩至预设token预算，仿真Agent保留关键物理量范围与约束边界，数据Agent保留预测均值与置信区间，典型压缩比30%-60%。关键信息保留层确保三类信息不被丢弃：设备参数物理边界的硬约束、预测结果的不确定性标记</w:t>
      </w:r>
      <w:fldSimple w:instr="NOTEREF _Ref_Footnote_75 \h \f">
        <w:r>
          <w:rPr>
            <w:vertAlign w:val="superscript"/>
          </w:rPr>
          <w:t>75</w:t>
        </w:r>
      </w:fldSimple>
      <w:r>
        <w:t xml:space="preserve">以及Agent结论冲突时的矛盾标识</w:t>
      </w:r>
      <w:fldSimple w:instr="NOTEREF _Ref_Footnote_143 \h \f">
        <w:r>
          <w:rPr>
            <w:vertAlign w:val="superscript"/>
          </w:rPr>
          <w:t>143</w:t>
        </w:r>
      </w:fldSimple>
      <w:r>
        <w:t xml:space="preserve">。</w:t>
      </w:r>
    </w:p>
    <w:bookmarkEnd w:id="132"/>
    <w:bookmarkStart w:id="133" w:name="并行与串行策略"/>
    <w:p>
      <w:pPr>
        <w:pStyle w:val="Heading4"/>
      </w:pPr>
      <w:r>
        <w:t xml:space="preserve">10.1.3 并行与串行策略</w:t>
      </w:r>
    </w:p>
    <w:p>
      <w:pPr>
        <w:pStyle w:val="FirstParagraph"/>
      </w:pPr>
      <w:r>
        <w:t xml:space="preserve">独立Agent并行执行适用于输入互不依赖的场景：故障诊断时RCP Agent与数据Agent并行——前者基于规则库检索历史故障配方，后者同步分析传感器时序异常；新工艺开发初期文献Agent、仿真Agent与RCP Agent可并行启动。有依赖关系时串行执行：DOE方案须经蓝军审查方可执行，TRIZ创新须基于蓝军发现的系统性矛盾触发。蓝军Agent设计为”过程节点触发”而非”任务完成触发”</w:t>
      </w:r>
      <w:fldSimple w:instr="NOTEREF _Ref_Footnote_100 \h \f">
        <w:r>
          <w:rPr>
            <w:vertAlign w:val="superscript"/>
          </w:rPr>
          <w:t>100</w:t>
        </w:r>
      </w:fldSimple>
      <w:r>
        <w:t xml:space="preserve">，在DOE执行前、仿真结果发布后、RCP推荐生效前三个节点介入，设置快速检查（~2K tokens）、标准审查（~10K tokens）、深度审查（~30K tokens）三级深度</w:t>
      </w:r>
      <w:fldSimple w:instr="NOTEREF _Ref_Footnote_102 \h \f">
        <w:r>
          <w:rPr>
            <w:vertAlign w:val="superscript"/>
          </w:rPr>
          <w:t>102</w:t>
        </w:r>
      </w:fldSimple>
      <w:r>
        <w:t xml:space="preserve">。未通过门禁的方案退回修正后需重新审查。</w:t>
      </w:r>
    </w:p>
    <w:p>
      <w:pPr>
        <w:pStyle w:val="SourceCode"/>
      </w:pPr>
      <w:r>
        <w:rPr>
          <w:rStyle w:val="VerbatimChar"/>
        </w:rPr>
        <w:t xml:space="preserve">graph TD</w:t>
      </w:r>
      <w:r>
        <w:br/>
      </w:r>
      <w:r>
        <w:rPr>
          <w:rStyle w:val="VerbatimChar"/>
        </w:rPr>
        <w:t xml:space="preserve">    User[人类工程师] --&gt;|问题输入| MA[主Agent]</w:t>
      </w:r>
      <w:r>
        <w:br/>
      </w:r>
      <w:r>
        <w:rPr>
          <w:rStyle w:val="VerbatimChar"/>
        </w:rPr>
        <w:t xml:space="preserve">    MA --&gt;|任务分发| RCP[RCP Agent]</w:t>
      </w:r>
      <w:r>
        <w:br/>
      </w:r>
      <w:r>
        <w:rPr>
          <w:rStyle w:val="VerbatimChar"/>
        </w:rPr>
        <w:t xml:space="preserve">    MA --&gt;|任务分发| Lit[文献Agent]</w:t>
      </w:r>
      <w:r>
        <w:br/>
      </w:r>
      <w:r>
        <w:rPr>
          <w:rStyle w:val="VerbatimChar"/>
        </w:rPr>
        <w:t xml:space="preserve">    MA --&gt;|任务分发| DOE[DOE Agent]</w:t>
      </w:r>
      <w:r>
        <w:br/>
      </w:r>
      <w:r>
        <w:rPr>
          <w:rStyle w:val="VerbatimChar"/>
        </w:rPr>
        <w:t xml:space="preserve">    MA --&gt;|任务分发| Data[数据Agent]</w:t>
      </w:r>
      <w:r>
        <w:br/>
      </w:r>
      <w:r>
        <w:rPr>
          <w:rStyle w:val="VerbatimChar"/>
        </w:rPr>
        <w:t xml:space="preserve">    MA --&gt;|任务分发| Sim[仿真Agent]</w:t>
      </w:r>
      <w:r>
        <w:br/>
      </w:r>
      <w:r>
        <w:rPr>
          <w:rStyle w:val="VerbatimChar"/>
        </w:rPr>
        <w:t xml:space="preserve">    MA --&gt;|任务分发| TRIZ[TRIZ Agent]</w:t>
      </w:r>
      <w:r>
        <w:br/>
      </w:r>
      <w:r>
        <w:rPr>
          <w:rStyle w:val="VerbatimChar"/>
        </w:rPr>
        <w:t xml:space="preserve">    MA --&gt;|质量门禁| Blue[蓝军Agent]</w:t>
      </w:r>
      <w:r>
        <w:br/>
      </w:r>
      <w:r>
        <w:rPr>
          <w:rStyle w:val="VerbatimChar"/>
        </w:rPr>
        <w:t xml:space="preserve">    MA --&gt;|综合汇总| Sum[Summary Agent]</w:t>
      </w:r>
      <w:r>
        <w:br/>
      </w:r>
      <w:r>
        <w:rPr>
          <w:rStyle w:val="VerbatimChar"/>
        </w:rPr>
        <w:t xml:space="preserve">    Sim &lt;--&gt;|双层预测闭环| Data</w:t>
      </w:r>
      <w:r>
        <w:br/>
      </w:r>
      <w:r>
        <w:rPr>
          <w:rStyle w:val="VerbatimChar"/>
        </w:rPr>
        <w:t xml:space="preserve">    DOE &lt;--&gt;|实验评估反馈| Data</w:t>
      </w:r>
      <w:r>
        <w:br/>
      </w:r>
      <w:r>
        <w:rPr>
          <w:rStyle w:val="VerbatimChar"/>
        </w:rPr>
        <w:t xml:space="preserve">    Blue --&gt;|审查意见| RCP</w:t>
      </w:r>
      <w:r>
        <w:br/>
      </w:r>
      <w:r>
        <w:rPr>
          <w:rStyle w:val="VerbatimChar"/>
        </w:rPr>
        <w:t xml:space="preserve">    Blue --&gt;|审查意见| DOE</w:t>
      </w:r>
      <w:r>
        <w:br/>
      </w:r>
      <w:r>
        <w:rPr>
          <w:rStyle w:val="VerbatimChar"/>
        </w:rPr>
        <w:t xml:space="preserve">    Blue --&gt;|审查意见| Sim</w:t>
      </w:r>
      <w:r>
        <w:br/>
      </w:r>
      <w:r>
        <w:rPr>
          <w:rStyle w:val="VerbatimChar"/>
        </w:rPr>
        <w:t xml:space="preserve">    Blue --&gt;|审查意见| Data</w:t>
      </w:r>
      <w:r>
        <w:br/>
      </w:r>
      <w:r>
        <w:rPr>
          <w:rStyle w:val="VerbatimChar"/>
        </w:rPr>
        <w:t xml:space="preserve">    Blue --&gt;|系统性矛盾触发| TRIZ</w:t>
      </w:r>
      <w:r>
        <w:br/>
      </w:r>
      <w:r>
        <w:rPr>
          <w:rStyle w:val="VerbatimChar"/>
        </w:rPr>
        <w:t xml:space="preserve">    Lit --&gt;|跨领域案例| TRIZ</w:t>
      </w:r>
      <w:r>
        <w:br/>
      </w:r>
      <w:r>
        <w:rPr>
          <w:rStyle w:val="VerbatimChar"/>
        </w:rPr>
        <w:t xml:space="preserve">    Data --&gt;|参数推荐| RCP</w:t>
      </w:r>
      <w:r>
        <w:br/>
      </w:r>
      <w:r>
        <w:rPr>
          <w:rStyle w:val="VerbatimChar"/>
        </w:rPr>
        <w:t xml:space="preserve">    DOE --&gt;|实验数据| Data</w:t>
      </w:r>
      <w:r>
        <w:br/>
      </w:r>
      <w:r>
        <w:rPr>
          <w:rStyle w:val="VerbatimChar"/>
        </w:rPr>
        <w:t xml:space="preserve">    RCP --&gt;|初始参数| DOE</w:t>
      </w:r>
      <w:r>
        <w:br/>
      </w:r>
      <w:r>
        <w:rPr>
          <w:rStyle w:val="VerbatimChar"/>
        </w:rPr>
        <w:t xml:space="preserve">    RCP &amp; Lit &amp; DOE &amp; Data &amp; Sim &amp; TRIZ &amp; Blue --&gt;|输出| MA</w:t>
      </w:r>
      <w:r>
        <w:br/>
      </w:r>
      <w:r>
        <w:rPr>
          <w:rStyle w:val="VerbatimChar"/>
        </w:rPr>
        <w:t xml:space="preserve">    Sum --&gt;|最终报告| User</w:t>
      </w:r>
      <w:r>
        <w:br/>
      </w:r>
      <w:r>
        <w:rPr>
          <w:rStyle w:val="VerbatimChar"/>
        </w:rPr>
        <w:t xml:space="preserve">    style MA fill:#e8e8e8,stroke:#333</w:t>
      </w:r>
      <w:r>
        <w:br/>
      </w:r>
      <w:r>
        <w:rPr>
          <w:rStyle w:val="VerbatimChar"/>
        </w:rPr>
        <w:t xml:space="preserve">    style Blue fill:#f5f5f5,stroke:#666,stroke-dasharray: 5 5</w:t>
      </w:r>
    </w:p>
    <w:bookmarkEnd w:id="133"/>
    <w:bookmarkEnd w:id="134"/>
    <w:bookmarkStart w:id="138" w:name="主agent动态调度"/>
    <w:p>
      <w:pPr>
        <w:pStyle w:val="Heading3"/>
      </w:pPr>
      <w:r>
        <w:t xml:space="preserve">10.2 主Agent动态调度</w:t>
      </w:r>
    </w:p>
    <w:bookmarkStart w:id="135" w:name="问题-agent匹配矩阵"/>
    <w:p>
      <w:pPr>
        <w:pStyle w:val="Heading4"/>
      </w:pPr>
      <w:r>
        <w:t xml:space="preserve">10.2.1 问题-Agent匹配矩阵</w:t>
      </w:r>
    </w:p>
    <w:p>
      <w:pPr>
        <w:pStyle w:val="FirstParagraph"/>
      </w:pPr>
      <w:r>
        <w:t xml:space="preserve">主Agent将输入问题映射至合适的SubAgent组合，匹配矩阵以问题类型为行、Agent优先级为列，定义不同场景的激活策略。</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true"/>
        </w:trPr>
        <w:tc>
          <w:tcPr/>
          <w:p>
            <w:pPr>
              <w:pStyle w:val="Compact"/>
              <w:jc w:val="left"/>
            </w:pPr>
            <w:r>
              <w:t xml:space="preserve">问题类型</w:t>
            </w:r>
          </w:p>
        </w:tc>
        <w:tc>
          <w:tcPr/>
          <w:p>
            <w:pPr>
              <w:pStyle w:val="Compact"/>
              <w:jc w:val="center"/>
            </w:pPr>
            <w:r>
              <w:t xml:space="preserve">RCP</w:t>
            </w:r>
          </w:p>
        </w:tc>
        <w:tc>
          <w:tcPr/>
          <w:p>
            <w:pPr>
              <w:pStyle w:val="Compact"/>
              <w:jc w:val="center"/>
            </w:pPr>
            <w:r>
              <w:t xml:space="preserve">数据</w:t>
            </w:r>
          </w:p>
        </w:tc>
        <w:tc>
          <w:tcPr/>
          <w:p>
            <w:pPr>
              <w:pStyle w:val="Compact"/>
              <w:jc w:val="center"/>
            </w:pPr>
            <w:r>
              <w:t xml:space="preserve">DOE</w:t>
            </w:r>
          </w:p>
        </w:tc>
        <w:tc>
          <w:tcPr/>
          <w:p>
            <w:pPr>
              <w:pStyle w:val="Compact"/>
              <w:jc w:val="center"/>
            </w:pPr>
            <w:r>
              <w:t xml:space="preserve">仿真</w:t>
            </w:r>
          </w:p>
        </w:tc>
        <w:tc>
          <w:tcPr/>
          <w:p>
            <w:pPr>
              <w:pStyle w:val="Compact"/>
              <w:jc w:val="center"/>
            </w:pPr>
            <w:r>
              <w:t xml:space="preserve">文献</w:t>
            </w:r>
          </w:p>
        </w:tc>
        <w:tc>
          <w:tcPr/>
          <w:p>
            <w:pPr>
              <w:pStyle w:val="Compact"/>
              <w:jc w:val="center"/>
            </w:pPr>
            <w:r>
              <w:t xml:space="preserve">TRIZ</w:t>
            </w:r>
          </w:p>
        </w:tc>
        <w:tc>
          <w:tcPr/>
          <w:p>
            <w:pPr>
              <w:pStyle w:val="Compact"/>
              <w:jc w:val="center"/>
            </w:pPr>
            <w:r>
              <w:t xml:space="preserve">蓝军</w:t>
            </w:r>
          </w:p>
        </w:tc>
        <w:tc>
          <w:tcPr/>
          <w:p>
            <w:pPr>
              <w:pStyle w:val="Compact"/>
              <w:jc w:val="center"/>
            </w:pPr>
            <w:r>
              <w:t xml:space="preserve">Summary</w:t>
            </w:r>
          </w:p>
        </w:tc>
      </w:tr>
      <w:tr>
        <w:tc>
          <w:tcPr/>
          <w:p>
            <w:pPr>
              <w:pStyle w:val="Compact"/>
              <w:jc w:val="left"/>
            </w:pPr>
            <w:r>
              <w:t xml:space="preserve">紧急故障诊断</w:t>
            </w:r>
          </w:p>
        </w:tc>
        <w:tc>
          <w:tcPr/>
          <w:p>
            <w:pPr>
              <w:pStyle w:val="Compact"/>
              <w:jc w:val="center"/>
            </w:pPr>
            <w:r>
              <w:rPr>
                <w:bCs/>
                <w:b/>
              </w:rPr>
              <w:t xml:space="preserve">P0</w:t>
            </w:r>
          </w:p>
        </w:tc>
        <w:tc>
          <w:tcPr/>
          <w:p>
            <w:pPr>
              <w:pStyle w:val="Compact"/>
              <w:jc w:val="center"/>
            </w:pPr>
            <w:r>
              <w:rPr>
                <w:bCs/>
                <w:b/>
              </w:rPr>
              <w:t xml:space="preserve">P0</w:t>
            </w:r>
          </w:p>
        </w:tc>
        <w:tc>
          <w:tcPr/>
          <w:p>
            <w:pPr>
              <w:pStyle w:val="Compact"/>
              <w:jc w:val="center"/>
            </w:pPr>
            <w:r>
              <w:t xml:space="preserve">P2</w:t>
            </w:r>
          </w:p>
        </w:tc>
        <w:tc>
          <w:tcPr/>
          <w:p>
            <w:pPr>
              <w:pStyle w:val="Compact"/>
              <w:jc w:val="center"/>
            </w:pPr>
            <w:r>
              <w:t xml:space="preserve">P2</w:t>
            </w:r>
          </w:p>
        </w:tc>
        <w:tc>
          <w:tcPr/>
          <w:p>
            <w:pPr>
              <w:pStyle w:val="Compact"/>
              <w:jc w:val="center"/>
            </w:pPr>
            <w:r>
              <w:t xml:space="preserve">P3</w:t>
            </w:r>
          </w:p>
        </w:tc>
        <w:tc>
          <w:tcPr/>
          <w:p>
            <w:pPr>
              <w:pStyle w:val="Compact"/>
              <w:jc w:val="center"/>
            </w:pPr>
            <w:r>
              <w:t xml:space="preserve">—</w:t>
            </w:r>
          </w:p>
        </w:tc>
        <w:tc>
          <w:tcPr/>
          <w:p>
            <w:pPr>
              <w:pStyle w:val="Compact"/>
              <w:jc w:val="center"/>
            </w:pPr>
            <w:r>
              <w:rPr>
                <w:bCs/>
                <w:b/>
              </w:rPr>
              <w:t xml:space="preserve">P1</w:t>
            </w:r>
          </w:p>
        </w:tc>
        <w:tc>
          <w:tcPr/>
          <w:p>
            <w:pPr>
              <w:pStyle w:val="Compact"/>
              <w:jc w:val="center"/>
            </w:pPr>
            <w:r>
              <w:t xml:space="preserve">P1</w:t>
            </w:r>
          </w:p>
        </w:tc>
      </w:tr>
      <w:tr>
        <w:tc>
          <w:tcPr/>
          <w:p>
            <w:pPr>
              <w:pStyle w:val="Compact"/>
              <w:jc w:val="left"/>
            </w:pPr>
            <w:r>
              <w:t xml:space="preserve">新工艺开发</w:t>
            </w:r>
          </w:p>
        </w:tc>
        <w:tc>
          <w:tcPr/>
          <w:p>
            <w:pPr>
              <w:pStyle w:val="Compact"/>
              <w:jc w:val="center"/>
            </w:pPr>
            <w:r>
              <w:t xml:space="preserve">P1</w:t>
            </w:r>
          </w:p>
        </w:tc>
        <w:tc>
          <w:tcPr/>
          <w:p>
            <w:pPr>
              <w:pStyle w:val="Compact"/>
              <w:jc w:val="center"/>
            </w:pPr>
            <w:r>
              <w:t xml:space="preserve">P1</w:t>
            </w:r>
          </w:p>
        </w:tc>
        <w:tc>
          <w:tcPr/>
          <w:p>
            <w:pPr>
              <w:pStyle w:val="Compact"/>
              <w:jc w:val="center"/>
            </w:pPr>
            <w:r>
              <w:rPr>
                <w:bCs/>
                <w:b/>
              </w:rPr>
              <w:t xml:space="preserve">P0</w:t>
            </w:r>
          </w:p>
        </w:tc>
        <w:tc>
          <w:tcPr/>
          <w:p>
            <w:pPr>
              <w:pStyle w:val="Compact"/>
              <w:jc w:val="center"/>
            </w:pPr>
            <w:r>
              <w:rPr>
                <w:bCs/>
                <w:b/>
              </w:rPr>
              <w:t xml:space="preserve">P0</w:t>
            </w:r>
          </w:p>
        </w:tc>
        <w:tc>
          <w:tcPr/>
          <w:p>
            <w:pPr>
              <w:pStyle w:val="Compact"/>
              <w:jc w:val="center"/>
            </w:pPr>
            <w:r>
              <w:rPr>
                <w:bCs/>
                <w:b/>
              </w:rPr>
              <w:t xml:space="preserve">P0</w:t>
            </w:r>
          </w:p>
        </w:tc>
        <w:tc>
          <w:tcPr/>
          <w:p>
            <w:pPr>
              <w:pStyle w:val="Compact"/>
              <w:jc w:val="center"/>
            </w:pPr>
            <w:r>
              <w:t xml:space="preserve">P2</w:t>
            </w:r>
          </w:p>
        </w:tc>
        <w:tc>
          <w:tcPr/>
          <w:p>
            <w:pPr>
              <w:pStyle w:val="Compact"/>
              <w:jc w:val="center"/>
            </w:pPr>
            <w:r>
              <w:rPr>
                <w:bCs/>
                <w:b/>
              </w:rPr>
              <w:t xml:space="preserve">P1</w:t>
            </w:r>
          </w:p>
        </w:tc>
        <w:tc>
          <w:tcPr/>
          <w:p>
            <w:pPr>
              <w:pStyle w:val="Compact"/>
              <w:jc w:val="center"/>
            </w:pPr>
            <w:r>
              <w:t xml:space="preserve">P1</w:t>
            </w:r>
          </w:p>
        </w:tc>
      </w:tr>
      <w:tr>
        <w:tc>
          <w:tcPr/>
          <w:p>
            <w:pPr>
              <w:pStyle w:val="Compact"/>
              <w:jc w:val="left"/>
            </w:pPr>
            <w:r>
              <w:t xml:space="preserve">性能渐进优化</w:t>
            </w:r>
          </w:p>
        </w:tc>
        <w:tc>
          <w:tcPr/>
          <w:p>
            <w:pPr>
              <w:pStyle w:val="Compact"/>
              <w:jc w:val="center"/>
            </w:pPr>
            <w:r>
              <w:t xml:space="preserve">P1</w:t>
            </w:r>
          </w:p>
        </w:tc>
        <w:tc>
          <w:tcPr/>
          <w:p>
            <w:pPr>
              <w:pStyle w:val="Compact"/>
              <w:jc w:val="center"/>
            </w:pPr>
            <w:r>
              <w:rPr>
                <w:bCs/>
                <w:b/>
              </w:rPr>
              <w:t xml:space="preserve">P0</w:t>
            </w:r>
          </w:p>
        </w:tc>
        <w:tc>
          <w:tcPr/>
          <w:p>
            <w:pPr>
              <w:pStyle w:val="Compact"/>
              <w:jc w:val="center"/>
            </w:pPr>
            <w:r>
              <w:t xml:space="preserve">P1</w:t>
            </w:r>
          </w:p>
        </w:tc>
        <w:tc>
          <w:tcPr/>
          <w:p>
            <w:pPr>
              <w:pStyle w:val="Compact"/>
              <w:jc w:val="center"/>
            </w:pPr>
            <w:r>
              <w:t xml:space="preserve">P2</w:t>
            </w:r>
          </w:p>
        </w:tc>
        <w:tc>
          <w:tcPr/>
          <w:p>
            <w:pPr>
              <w:pStyle w:val="Compact"/>
              <w:jc w:val="center"/>
            </w:pPr>
            <w:r>
              <w:t xml:space="preserve">P2</w:t>
            </w:r>
          </w:p>
        </w:tc>
        <w:tc>
          <w:tcPr/>
          <w:p>
            <w:pPr>
              <w:pStyle w:val="Compact"/>
              <w:jc w:val="center"/>
            </w:pPr>
            <w:r>
              <w:rPr>
                <w:bCs/>
                <w:b/>
              </w:rPr>
              <w:t xml:space="preserve">P1</w:t>
            </w:r>
          </w:p>
        </w:tc>
        <w:tc>
          <w:tcPr/>
          <w:p>
            <w:pPr>
              <w:pStyle w:val="Compact"/>
              <w:jc w:val="center"/>
            </w:pPr>
            <w:r>
              <w:rPr>
                <w:bCs/>
                <w:b/>
              </w:rPr>
              <w:t xml:space="preserve">P1</w:t>
            </w:r>
          </w:p>
        </w:tc>
        <w:tc>
          <w:tcPr/>
          <w:p>
            <w:pPr>
              <w:pStyle w:val="Compact"/>
              <w:jc w:val="center"/>
            </w:pPr>
            <w:r>
              <w:t xml:space="preserve">P1</w:t>
            </w:r>
          </w:p>
        </w:tc>
      </w:tr>
      <w:tr>
        <w:tc>
          <w:tcPr/>
          <w:p>
            <w:pPr>
              <w:pStyle w:val="Compact"/>
              <w:jc w:val="left"/>
            </w:pPr>
            <w:r>
              <w:t xml:space="preserve">局部最优突破</w:t>
            </w:r>
          </w:p>
        </w:tc>
        <w:tc>
          <w:tcPr/>
          <w:p>
            <w:pPr>
              <w:pStyle w:val="Compact"/>
              <w:jc w:val="center"/>
            </w:pPr>
            <w:r>
              <w:t xml:space="preserve">P2</w:t>
            </w:r>
          </w:p>
        </w:tc>
        <w:tc>
          <w:tcPr/>
          <w:p>
            <w:pPr>
              <w:pStyle w:val="Compact"/>
              <w:jc w:val="center"/>
            </w:pPr>
            <w:r>
              <w:t xml:space="preserve">P1</w:t>
            </w:r>
          </w:p>
        </w:tc>
        <w:tc>
          <w:tcPr/>
          <w:p>
            <w:pPr>
              <w:pStyle w:val="Compact"/>
              <w:jc w:val="center"/>
            </w:pPr>
            <w:r>
              <w:t xml:space="preserve">P2</w:t>
            </w:r>
          </w:p>
        </w:tc>
        <w:tc>
          <w:tcPr/>
          <w:p>
            <w:pPr>
              <w:pStyle w:val="Compact"/>
              <w:jc w:val="center"/>
            </w:pPr>
            <w:r>
              <w:t xml:space="preserve">P2</w:t>
            </w:r>
          </w:p>
        </w:tc>
        <w:tc>
          <w:tcPr/>
          <w:p>
            <w:pPr>
              <w:pStyle w:val="Compact"/>
              <w:jc w:val="center"/>
            </w:pPr>
            <w:r>
              <w:t xml:space="preserve">P1</w:t>
            </w:r>
          </w:p>
        </w:tc>
        <w:tc>
          <w:tcPr/>
          <w:p>
            <w:pPr>
              <w:pStyle w:val="Compact"/>
              <w:jc w:val="center"/>
            </w:pPr>
            <w:r>
              <w:rPr>
                <w:bCs/>
                <w:b/>
              </w:rPr>
              <w:t xml:space="preserve">P0</w:t>
            </w:r>
          </w:p>
        </w:tc>
        <w:tc>
          <w:tcPr/>
          <w:p>
            <w:pPr>
              <w:pStyle w:val="Compact"/>
              <w:jc w:val="center"/>
            </w:pPr>
            <w:r>
              <w:t xml:space="preserve">P2</w:t>
            </w:r>
          </w:p>
        </w:tc>
        <w:tc>
          <w:tcPr/>
          <w:p>
            <w:pPr>
              <w:pStyle w:val="Compact"/>
              <w:jc w:val="center"/>
            </w:pPr>
            <w:r>
              <w:t xml:space="preserve">P1</w:t>
            </w:r>
          </w:p>
        </w:tc>
      </w:tr>
      <w:tr>
        <w:tc>
          <w:tcPr/>
          <w:p>
            <w:pPr>
              <w:pStyle w:val="Compact"/>
              <w:jc w:val="left"/>
            </w:pPr>
            <w:r>
              <w:t xml:space="preserve">知识沉淀查询</w:t>
            </w:r>
          </w:p>
        </w:tc>
        <w:tc>
          <w:tcPr/>
          <w:p>
            <w:pPr>
              <w:pStyle w:val="Compact"/>
              <w:jc w:val="center"/>
            </w:pPr>
            <w:r>
              <w:t xml:space="preserve">P2</w:t>
            </w:r>
          </w:p>
        </w:tc>
        <w:tc>
          <w:tcPr/>
          <w:p>
            <w:pPr>
              <w:pStyle w:val="Compact"/>
              <w:jc w:val="center"/>
            </w:pPr>
            <w:r>
              <w:t xml:space="preserve">P2</w:t>
            </w:r>
          </w:p>
        </w:tc>
        <w:tc>
          <w:tcPr/>
          <w:p>
            <w:pPr>
              <w:pStyle w:val="Compact"/>
              <w:jc w:val="center"/>
            </w:pPr>
            <w:r>
              <w:t xml:space="preserve">P2</w:t>
            </w:r>
          </w:p>
        </w:tc>
        <w:tc>
          <w:tcPr/>
          <w:p>
            <w:pPr>
              <w:pStyle w:val="Compact"/>
              <w:jc w:val="center"/>
            </w:pPr>
            <w:r>
              <w:t xml:space="preserve">P1</w:t>
            </w:r>
          </w:p>
        </w:tc>
        <w:tc>
          <w:tcPr/>
          <w:p>
            <w:pPr>
              <w:pStyle w:val="Compact"/>
              <w:jc w:val="center"/>
            </w:pPr>
            <w:r>
              <w:rPr>
                <w:bCs/>
                <w:b/>
              </w:rPr>
              <w:t xml:space="preserve">P0</w:t>
            </w:r>
          </w:p>
        </w:tc>
        <w:tc>
          <w:tcPr/>
          <w:p>
            <w:pPr>
              <w:pStyle w:val="Compact"/>
              <w:jc w:val="center"/>
            </w:pPr>
            <w:r>
              <w:t xml:space="preserve">P2</w:t>
            </w:r>
          </w:p>
        </w:tc>
        <w:tc>
          <w:tcPr/>
          <w:p>
            <w:pPr>
              <w:pStyle w:val="Compact"/>
              <w:jc w:val="center"/>
            </w:pPr>
            <w:r>
              <w:t xml:space="preserve">—</w:t>
            </w:r>
          </w:p>
        </w:tc>
        <w:tc>
          <w:tcPr/>
          <w:p>
            <w:pPr>
              <w:pStyle w:val="Compact"/>
              <w:jc w:val="center"/>
            </w:pPr>
            <w:r>
              <w:t xml:space="preserve">P1</w:t>
            </w:r>
          </w:p>
        </w:tc>
      </w:tr>
    </w:tbl>
    <w:p>
      <w:pPr>
        <w:pStyle w:val="BodyText"/>
      </w:pPr>
      <w:r>
        <w:t xml:space="preserve">注：P0=必须激活，P1=高优先级，P2=条件激活，P3=低优先级，</w:t>
      </w:r>
      <w:r>
        <w:t xml:space="preserve">“</w:t>
      </w:r>
      <w:r>
        <w:t xml:space="preserve">—</w:t>
      </w:r>
      <w:r>
        <w:t xml:space="preserve">”</w:t>
      </w:r>
      <w:r>
        <w:t xml:space="preserve">=不激活。</w:t>
      </w:r>
    </w:p>
    <w:p>
      <w:pPr>
        <w:pStyle w:val="BodyText"/>
      </w:pPr>
      <w:r>
        <w:t xml:space="preserve">矩阵设计遵循两个原则。互补能力覆盖原则：故障诊断场景中RCP Agent的规则库检索与数据Agent的异常检测并行，前者利用历史经验快速定位已知模式，后者通过统计方法发现新异常。资源效率原则：TRIZ Agent作为”战略储备”</w:t>
      </w:r>
      <w:fldSimple w:instr="NOTEREF _Ref_Footnote_114 \h \f">
        <w:r>
          <w:rPr>
            <w:vertAlign w:val="superscript"/>
          </w:rPr>
          <w:t>114</w:t>
        </w:r>
      </w:fldSimple>
      <w:r>
        <w:t xml:space="preserve">，仅在蓝军发现系统性矛盾或其他Agent陷入局部最优超N=3轮时激活，避免常规优化中浪费token。紧急故障采用”双轨并行+蓝军门禁”策略；新工艺开发采用”序贯DOE主导”策略——文献建立基线</w:t>
      </w:r>
      <w:fldSimple w:instr="NOTEREF _Ref_Footnote_4 \h \f">
        <w:r>
          <w:rPr>
            <w:vertAlign w:val="superscript"/>
          </w:rPr>
          <w:t>4</w:t>
        </w:r>
      </w:fldSimple>
      <w:r>
        <w:t xml:space="preserve">、仿真构建模型、DOE序贯迭代（筛选→RSM→优化）</w:t>
      </w:r>
      <w:fldSimple w:instr="NOTEREF _Ref_Footnote_89 \h \f">
        <w:r>
          <w:rPr>
            <w:vertAlign w:val="superscript"/>
          </w:rPr>
          <w:t>89</w:t>
        </w:r>
      </w:fldSimple>
      <w:r>
        <w:t xml:space="preserve">；性能优化采用”数据驱动+创新触发”策略——数据Agent主导的贝叶斯优化快速收敛</w:t>
      </w:r>
      <w:fldSimple w:instr="NOTEREF _Ref_Footnote_6 \h \f">
        <w:r>
          <w:rPr>
            <w:vertAlign w:val="superscript"/>
          </w:rPr>
          <w:t>6</w:t>
        </w:r>
      </w:fldSimple>
      <w:r>
        <w:t xml:space="preserve">，若陷入局部最优则激活TRIZ提供创造性扰动。</w:t>
      </w:r>
    </w:p>
    <w:bookmarkEnd w:id="135"/>
    <w:bookmarkStart w:id="136" w:name="动态优先级算法"/>
    <w:p>
      <w:pPr>
        <w:pStyle w:val="Heading4"/>
      </w:pPr>
      <w:r>
        <w:t xml:space="preserve">10.2.2 动态优先级算法</w:t>
      </w:r>
    </w:p>
    <w:p>
      <w:pPr>
        <w:pStyle w:val="FirstParagraph"/>
      </w:pPr>
      <w:r>
        <w:t xml:space="preserve">主Agent维护三个决策模块。问题特征路由器基于关键词匹配、输入数据类型和历史案例相似度分类问题，置信度低于0.7时并行探索两个最可能的Agent组合，首轮后确定主路径。迭代历史策略优化器在每轮结束时评估各Agent输出的边际改进率，Agent</w:t>
      </w:r>
      <w:r>
        <w:t xml:space="preserve"> </w:t>
      </w:r>
      <m:oMath>
        <m:r>
          <m:t>i</m:t>
        </m:r>
      </m:oMath>
      <w:r>
        <w:t xml:space="preserve"> </w:t>
      </w:r>
      <w:r>
        <w:t xml:space="preserve">在第</w:t>
      </w:r>
      <w:r>
        <w:t xml:space="preserve"> </w:t>
      </w:r>
      <m:oMath>
        <m:r>
          <m:t>t</m:t>
        </m:r>
      </m:oMath>
      <w:r>
        <w:t xml:space="preserve"> </w:t>
      </w:r>
      <w:r>
        <w:t xml:space="preserve">轮的优先级权重更新为</w:t>
      </w:r>
      <w:r>
        <w:t xml:space="preserve"> </w:t>
      </w:r>
      <m:oMath>
        <m:sSubSup>
          <m:e>
            <m:r>
              <m:t>w</m:t>
            </m:r>
          </m:e>
          <m:sub>
            <m:r>
              <m:t>i</m:t>
            </m:r>
          </m:sub>
          <m:sup>
            <m:d>
              <m:dPr>
                <m:begChr m:val="("/>
                <m:endChr m:val=")"/>
                <m:sepChr m:val=""/>
                <m:grow/>
              </m:dPr>
              <m:e>
                <m:r>
                  <m:t>t</m:t>
                </m:r>
              </m:e>
            </m:d>
          </m:sup>
        </m:sSubSup>
        <m:r>
          <m:rPr>
            <m:sty m:val="p"/>
          </m:rPr>
          <m:t>=</m:t>
        </m:r>
        <m:sSubSup>
          <m:e>
            <m:r>
              <m:t>w</m:t>
            </m:r>
          </m:e>
          <m:sub>
            <m:r>
              <m:t>i</m:t>
            </m:r>
          </m:sub>
          <m:sup>
            <m:d>
              <m:dPr>
                <m:begChr m:val="("/>
                <m:endChr m:val=")"/>
                <m:sepChr m:val=""/>
                <m:grow/>
              </m:dPr>
              <m:e>
                <m:r>
                  <m:t>t</m:t>
                </m:r>
                <m:r>
                  <m:rPr>
                    <m:sty m:val="p"/>
                  </m:rPr>
                  <m:t>−</m:t>
                </m:r>
                <m:r>
                  <m:t>1</m:t>
                </m:r>
              </m:e>
            </m:d>
          </m:sup>
        </m:sSubSup>
        <m:r>
          <m:rPr>
            <m:sty m:val="p"/>
          </m:rPr>
          <m:t>⋅</m:t>
        </m:r>
        <m:d>
          <m:dPr>
            <m:begChr m:val="("/>
            <m:endChr m:val=")"/>
            <m:sepChr m:val=""/>
            <m:grow/>
          </m:dPr>
          <m:e>
            <m:r>
              <m:t>1</m:t>
            </m:r>
            <m:r>
              <m:rPr>
                <m:sty m:val="p"/>
              </m:rPr>
              <m:t>+</m:t>
            </m:r>
            <m:r>
              <m:t>α</m:t>
            </m:r>
            <m:r>
              <m:rPr>
                <m:sty m:val="p"/>
              </m:rPr>
              <m:t>⋅</m:t>
            </m:r>
            <m:r>
              <m:t>Δ</m:t>
            </m:r>
            <m:sSubSup>
              <m:e>
                <m:r>
                  <m:t>q</m:t>
                </m:r>
              </m:e>
              <m:sub>
                <m:r>
                  <m:t>i</m:t>
                </m:r>
              </m:sub>
              <m:sup>
                <m:d>
                  <m:dPr>
                    <m:begChr m:val="("/>
                    <m:endChr m:val=")"/>
                    <m:sepChr m:val=""/>
                    <m:grow/>
                  </m:dPr>
                  <m:e>
                    <m:r>
                      <m:t>t</m:t>
                    </m:r>
                  </m:e>
                </m:d>
              </m:sup>
            </m:sSubSup>
          </m:e>
        </m:d>
      </m:oMath>
      <w:r>
        <w:t xml:space="preserve">，其中</w:t>
      </w:r>
      <w:r>
        <w:t xml:space="preserve"> </w:t>
      </w:r>
      <m:oMath>
        <m:r>
          <m:t>Δ</m:t>
        </m:r>
        <m:sSubSup>
          <m:e>
            <m:r>
              <m:t>q</m:t>
            </m:r>
          </m:e>
          <m:sub>
            <m:r>
              <m:t>i</m:t>
            </m:r>
          </m:sub>
          <m:sup>
            <m:d>
              <m:dPr>
                <m:begChr m:val="("/>
                <m:endChr m:val=")"/>
                <m:sepChr m:val=""/>
                <m:grow/>
              </m:dPr>
              <m:e>
                <m:r>
                  <m:t>t</m:t>
                </m:r>
              </m:e>
            </m:d>
          </m:sup>
        </m:sSubSup>
      </m:oMath>
      <w:r>
        <w:t xml:space="preserve"> </w:t>
      </w:r>
      <w:r>
        <w:t xml:space="preserve">为质量改进率，</w:t>
      </w:r>
      <m:oMath>
        <m:r>
          <m:t>α</m:t>
        </m:r>
      </m:oMath>
      <w:r>
        <w:t xml:space="preserve"> </w:t>
      </w:r>
      <w:r>
        <w:t xml:space="preserve">为学习率（默认0.2）。资源预算管理器设置任务级预算（默认100K tokens）与Agent级预算，消耗超50%时触发预警，可采取缩减审查深度、跳过低优先级Agent或请求人工确认等策略。研究表明人类在开发早期表现出色而算法在接近目标公差时效率更高</w:t>
      </w:r>
      <w:fldSimple w:instr="NOTEREF _Ref_Footnote_92 \h \f">
        <w:r>
          <w:rPr>
            <w:vertAlign w:val="superscript"/>
          </w:rPr>
          <w:t>92</w:t>
        </w:r>
      </w:fldSimple>
      <w:r>
        <w:t xml:space="preserve">，故初期保留较高人类介入预算，收敛阶段倾斜至自动化Agent。</w:t>
      </w:r>
    </w:p>
    <w:bookmarkEnd w:id="136"/>
    <w:bookmarkStart w:id="137" w:name="人机协作接口"/>
    <w:p>
      <w:pPr>
        <w:pStyle w:val="Heading4"/>
      </w:pPr>
      <w:r>
        <w:t xml:space="preserve">10.2.3 人机协作接口</w:t>
      </w:r>
    </w:p>
    <w:p>
      <w:pPr>
        <w:pStyle w:val="FirstParagraph"/>
      </w:pPr>
      <w:r>
        <w:t xml:space="preserve">系统设置三个人机交互节点：任务启动确认（主Agent生成调度计划，用户确认后执行）；高风险决策审批（超出历史参数范围120%的变更、蓝军判定”高风险但通过”的边际方案、TRIZ提出的非常规结构修改须人工批准，遵循human first-computer last策略可将成本降低约50%</w:t>
      </w:r>
      <w:fldSimple w:instr="NOTEREF _Ref_Footnote_92 \h \f">
        <w:r>
          <w:rPr>
            <w:vertAlign w:val="superscript"/>
          </w:rPr>
          <w:t>92</w:t>
        </w:r>
      </w:fldSimple>
      <w:r>
        <w:t xml:space="preserve"> </w:t>
      </w:r>
      <w:r>
        <w:rPr>
          <w:vertAlign w:val="superscript"/>
        </w:rPr>
        <w:footnoteReference w:id="155"/>
      </w:r>
      <w:r>
        <w:t xml:space="preserve">）；结果发布前审核（Summary报告以草稿形式呈现，工程师可修改权重、补充知识或要求重新分析，反馈记录用于优化后续调度）。</w:t>
      </w:r>
    </w:p>
    <w:p>
      <w:pPr>
        <w:pStyle w:val="SourceCode"/>
      </w:pPr>
      <w:r>
        <w:rPr>
          <w:rStyle w:val="VerbatimChar"/>
        </w:rPr>
        <w:t xml:space="preserve">flowchart TD</w:t>
      </w:r>
      <w:r>
        <w:br/>
      </w:r>
      <w:r>
        <w:rPr>
          <w:rStyle w:val="VerbatimChar"/>
        </w:rPr>
        <w:t xml:space="preserve">    Start([用户输入]) --&gt; Parse[主Agent解析特征]</w:t>
      </w:r>
      <w:r>
        <w:br/>
      </w:r>
      <w:r>
        <w:rPr>
          <w:rStyle w:val="VerbatimChar"/>
        </w:rPr>
        <w:t xml:space="preserve">    Parse --&gt; Route{问题分类}</w:t>
      </w:r>
      <w:r>
        <w:br/>
      </w:r>
      <w:r>
        <w:rPr>
          <w:rStyle w:val="VerbatimChar"/>
        </w:rPr>
        <w:t xml:space="preserve">    Route --&gt;|故障诊断| A1[并行RCP+数据]</w:t>
      </w:r>
      <w:r>
        <w:br/>
      </w:r>
      <w:r>
        <w:rPr>
          <w:rStyle w:val="VerbatimChar"/>
        </w:rPr>
        <w:t xml:space="preserve">    Route --&gt;|新工艺开发| A2[序贯文献→仿真→DOE]</w:t>
      </w:r>
      <w:r>
        <w:br/>
      </w:r>
      <w:r>
        <w:rPr>
          <w:rStyle w:val="VerbatimChar"/>
        </w:rPr>
        <w:t xml:space="preserve">    Route --&gt;|性能优化| A3[数据Agent BO主导]</w:t>
      </w:r>
      <w:r>
        <w:br/>
      </w:r>
      <w:r>
        <w:rPr>
          <w:rStyle w:val="VerbatimChar"/>
        </w:rPr>
        <w:t xml:space="preserve">    Route --&gt;|局部最优| A4[激活TRIZ]</w:t>
      </w:r>
      <w:r>
        <w:br/>
      </w:r>
      <w:r>
        <w:rPr>
          <w:rStyle w:val="VerbatimChar"/>
        </w:rPr>
        <w:t xml:space="preserve">    A1 &amp; A2 &amp; A3 &amp; A4 --&gt; Blue[蓝军审查]</w:t>
      </w:r>
      <w:r>
        <w:br/>
      </w:r>
      <w:r>
        <w:rPr>
          <w:rStyle w:val="VerbatimChar"/>
        </w:rPr>
        <w:t xml:space="preserve">    Blue --&gt; Check{通过?}</w:t>
      </w:r>
      <w:r>
        <w:br/>
      </w:r>
      <w:r>
        <w:rPr>
          <w:rStyle w:val="VerbatimChar"/>
        </w:rPr>
        <w:t xml:space="preserve">    Check --&gt;|否| Rev[退回修正] --&gt; A1</w:t>
      </w:r>
      <w:r>
        <w:br/>
      </w:r>
      <w:r>
        <w:rPr>
          <w:rStyle w:val="VerbatimChar"/>
        </w:rPr>
        <w:t xml:space="preserve">    Check --&gt;|是| Iter{终止?}</w:t>
      </w:r>
      <w:r>
        <w:br/>
      </w:r>
      <w:r>
        <w:rPr>
          <w:rStyle w:val="VerbatimChar"/>
        </w:rPr>
        <w:t xml:space="preserve">    Iter --&gt;|否| Budget{预算?}</w:t>
      </w:r>
      <w:r>
        <w:br/>
      </w:r>
      <w:r>
        <w:rPr>
          <w:rStyle w:val="VerbatimChar"/>
        </w:rPr>
        <w:t xml:space="preserve">    Budget --&gt;|充足| History[调整优先级] --&gt; A1</w:t>
      </w:r>
      <w:r>
        <w:br/>
      </w:r>
      <w:r>
        <w:rPr>
          <w:rStyle w:val="VerbatimChar"/>
        </w:rPr>
        <w:t xml:space="preserve">    Budget --&gt;|预警| Human[人工确认] --&gt; A1</w:t>
      </w:r>
      <w:r>
        <w:br/>
      </w:r>
      <w:r>
        <w:rPr>
          <w:rStyle w:val="VerbatimChar"/>
        </w:rPr>
        <w:t xml:space="preserve">    Iter --&gt;|是| Sum[Summary可信度加权]</w:t>
      </w:r>
      <w:r>
        <w:br/>
      </w:r>
      <w:r>
        <w:rPr>
          <w:rStyle w:val="VerbatimChar"/>
        </w:rPr>
        <w:t xml:space="preserve">    Sum --&gt; HumanReview[人工审核] --&gt; Out([最终报告])</w:t>
      </w:r>
      <w:r>
        <w:br/>
      </w:r>
      <w:r>
        <w:rPr>
          <w:rStyle w:val="VerbatimChar"/>
        </w:rPr>
        <w:t xml:space="preserve">    style Start fill:#d0e0f0,stroke:#333</w:t>
      </w:r>
      <w:r>
        <w:br/>
      </w:r>
      <w:r>
        <w:rPr>
          <w:rStyle w:val="VerbatimChar"/>
        </w:rPr>
        <w:t xml:space="preserve">    style Out fill:#d0e0f0,stroke:#333</w:t>
      </w:r>
      <w:r>
        <w:br/>
      </w:r>
      <w:r>
        <w:rPr>
          <w:rStyle w:val="VerbatimChar"/>
        </w:rPr>
        <w:t xml:space="preserve">    style Human fill:#ffe0d0,stroke:#c00</w:t>
      </w:r>
      <w:r>
        <w:br/>
      </w:r>
      <w:r>
        <w:rPr>
          <w:rStyle w:val="VerbatimChar"/>
        </w:rPr>
        <w:t xml:space="preserve">    style HumanReview fill:#ffe0d0,stroke:#c00</w:t>
      </w:r>
    </w:p>
    <w:bookmarkEnd w:id="137"/>
    <w:bookmarkEnd w:id="138"/>
    <w:bookmarkStart w:id="142" w:name="系统集成与实施路线图"/>
    <w:p>
      <w:pPr>
        <w:pStyle w:val="Heading3"/>
      </w:pPr>
      <w:r>
        <w:t xml:space="preserve">10.3 系统集成与实施路线图</w:t>
      </w:r>
    </w:p>
    <w:bookmarkStart w:id="139" w:name="技术栈建议"/>
    <w:p>
      <w:pPr>
        <w:pStyle w:val="Heading4"/>
      </w:pPr>
      <w:r>
        <w:t xml:space="preserve">10.3.1 技术栈建议</w:t>
      </w:r>
    </w:p>
    <w:p>
      <w:pPr>
        <w:pStyle w:val="FirstParagraph"/>
      </w:pPr>
      <w:r>
        <w:t xml:space="preserve">Agent框架层推荐OpenCode（支持Critic-Reviewer模式SubAgent配置）</w:t>
      </w:r>
      <w:fldSimple w:instr="NOTEREF _Ref_Footnote_8 \h \f">
        <w:r>
          <w:rPr>
            <w:vertAlign w:val="superscript"/>
          </w:rPr>
          <w:t>8</w:t>
        </w:r>
      </w:fldSimple>
      <w:r>
        <w:t xml:space="preserve">或LangGraph（支持循环工作流），须满足并行执行、条件路由和人机介入挂起恢复三要求。仿真后端层推荐COMSOL Multiphysics（反应器尺度等离子体仿真，支持CCP/ICP模拟）</w:t>
      </w:r>
      <w:fldSimple w:instr="NOTEREF _Ref_Footnote_10 \h \f">
        <w:r>
          <w:rPr>
            <w:vertAlign w:val="superscript"/>
          </w:rPr>
          <w:t>10</w:t>
        </w:r>
      </w:fldSimple>
      <w:r>
        <w:t xml:space="preserve"> </w:t>
      </w:r>
      <w:fldSimple w:instr="NOTEREF _Ref_Footnote_30 \h \f">
        <w:r>
          <w:rPr>
            <w:vertAlign w:val="superscript"/>
          </w:rPr>
          <w:t>30</w:t>
        </w:r>
      </w:fldSimple>
      <w:r>
        <w:t xml:space="preserve">与SEMulator3D（特征尺度3D工艺仿真）</w:t>
      </w:r>
      <w:fldSimple w:instr="NOTEREF _Ref_Footnote_31 \h \f">
        <w:r>
          <w:rPr>
            <w:vertAlign w:val="superscript"/>
          </w:rPr>
          <w:t>31</w:t>
        </w:r>
      </w:fldSimple>
      <w:r>
        <w:t xml:space="preserve">，通过Python API集成。ML框架层推荐scikit-opt实现基础贝叶斯优化，BoTorch支持复杂GP建模，高斯过程回归为标杆预测技术（MAPE~1.15%）</w:t>
      </w:r>
      <w:fldSimple w:instr="NOTEREF _Ref_Footnote_72 \h \f">
        <w:r>
          <w:rPr>
            <w:vertAlign w:val="superscript"/>
          </w:rPr>
          <w:t>72</w:t>
        </w:r>
      </w:fldSimple>
      <w:r>
        <w:t xml:space="preserve">。</w:t>
      </w:r>
    </w:p>
    <w:bookmarkEnd w:id="139"/>
    <w:bookmarkStart w:id="140" w:name="分阶段实施路线"/>
    <w:p>
      <w:pPr>
        <w:pStyle w:val="Heading4"/>
      </w:pPr>
      <w:r>
        <w:t xml:space="preserve">10.3.2 分阶段实施路线</w:t>
      </w:r>
    </w:p>
    <w:tbl>
      <w:tblPr>
        <w:tblStyle w:val="Table"/>
        <w:tblW w:type="pct" w:w="5000"/>
        <w:tblLook w:firstRow="1" w:lastRow="0" w:firstColumn="0" w:lastColumn="0" w:noHBand="0" w:noVBand="0" w:val="0020"/>
      </w:tblPr>
      <w:tblGrid>
        <w:gridCol w:w="1800"/>
        <w:gridCol w:w="1800"/>
        <w:gridCol w:w="1440"/>
        <w:gridCol w:w="1440"/>
        <w:gridCol w:w="1440"/>
      </w:tblGrid>
      <w:tr>
        <w:trPr>
          <w:tblHeader w:val="true"/>
        </w:trPr>
        <w:tc>
          <w:tcPr/>
          <w:p>
            <w:pPr>
              <w:pStyle w:val="Compact"/>
              <w:jc w:val="center"/>
            </w:pPr>
            <w:r>
              <w:t xml:space="preserve">阶段</w:t>
            </w:r>
          </w:p>
        </w:tc>
        <w:tc>
          <w:tcPr/>
          <w:p>
            <w:pPr>
              <w:pStyle w:val="Compact"/>
              <w:jc w:val="center"/>
            </w:pPr>
            <w:r>
              <w:t xml:space="preserve">时间</w:t>
            </w:r>
          </w:p>
        </w:tc>
        <w:tc>
          <w:tcPr/>
          <w:p>
            <w:pPr>
              <w:pStyle w:val="Compact"/>
              <w:jc w:val="left"/>
            </w:pPr>
            <w:r>
              <w:t xml:space="preserve">部署Agent</w:t>
            </w:r>
          </w:p>
        </w:tc>
        <w:tc>
          <w:tcPr/>
          <w:p>
            <w:pPr>
              <w:pStyle w:val="Compact"/>
              <w:jc w:val="left"/>
            </w:pPr>
            <w:r>
              <w:t xml:space="preserve">核心目标</w:t>
            </w:r>
          </w:p>
        </w:tc>
        <w:tc>
          <w:tcPr/>
          <w:p>
            <w:pPr>
              <w:pStyle w:val="Compact"/>
              <w:jc w:val="left"/>
            </w:pPr>
            <w:r>
              <w:t xml:space="preserve">预期效果</w:t>
            </w:r>
          </w:p>
        </w:tc>
      </w:tr>
      <w:tr>
        <w:tc>
          <w:tcPr/>
          <w:p>
            <w:pPr>
              <w:pStyle w:val="Compact"/>
              <w:jc w:val="center"/>
            </w:pPr>
            <w:r>
              <w:t xml:space="preserve">Phase 1</w:t>
            </w:r>
          </w:p>
        </w:tc>
        <w:tc>
          <w:tcPr/>
          <w:p>
            <w:pPr>
              <w:pStyle w:val="Compact"/>
              <w:jc w:val="center"/>
            </w:pPr>
            <w:r>
              <w:t xml:space="preserve">1-2月</w:t>
            </w:r>
          </w:p>
        </w:tc>
        <w:tc>
          <w:tcPr/>
          <w:p>
            <w:pPr>
              <w:pStyle w:val="Compact"/>
              <w:jc w:val="left"/>
            </w:pPr>
            <w:r>
              <w:t xml:space="preserve">RCP+数据+DOE+蓝军（4 Agent）</w:t>
            </w:r>
          </w:p>
        </w:tc>
        <w:tc>
          <w:tcPr/>
          <w:p>
            <w:pPr>
              <w:pStyle w:val="Compact"/>
              <w:jc w:val="left"/>
            </w:pPr>
            <w:r>
              <w:t xml:space="preserve">BO≤8轮收敛、蓝军覆盖率100%</w:t>
            </w:r>
          </w:p>
        </w:tc>
        <w:tc>
          <w:tcPr/>
          <w:p>
            <w:pPr>
              <w:pStyle w:val="Compact"/>
              <w:jc w:val="left"/>
            </w:pPr>
            <w:r>
              <w:t xml:space="preserve">故障响应↓40%、实验成本↓30%</w:t>
            </w:r>
          </w:p>
        </w:tc>
      </w:tr>
      <w:tr>
        <w:tc>
          <w:tcPr/>
          <w:p>
            <w:pPr>
              <w:pStyle w:val="Compact"/>
              <w:jc w:val="center"/>
            </w:pPr>
            <w:r>
              <w:t xml:space="preserve">Phase 2</w:t>
            </w:r>
          </w:p>
        </w:tc>
        <w:tc>
          <w:tcPr/>
          <w:p>
            <w:pPr>
              <w:pStyle w:val="Compact"/>
              <w:jc w:val="center"/>
            </w:pPr>
            <w:r>
              <w:t xml:space="preserve">3-4月</w:t>
            </w:r>
          </w:p>
        </w:tc>
        <w:tc>
          <w:tcPr/>
          <w:p>
            <w:pPr>
              <w:pStyle w:val="Compact"/>
              <w:jc w:val="left"/>
            </w:pPr>
            <w:r>
              <w:t xml:space="preserve">+仿真+文献+TRIZ（7 Agent）</w:t>
            </w:r>
          </w:p>
        </w:tc>
        <w:tc>
          <w:tcPr/>
          <w:p>
            <w:pPr>
              <w:pStyle w:val="Compact"/>
              <w:jc w:val="left"/>
            </w:pPr>
            <w:r>
              <w:t xml:space="preserve">双层预测闭环、GraphRAG知识库</w:t>
            </w:r>
          </w:p>
        </w:tc>
        <w:tc>
          <w:tcPr/>
          <w:p>
            <w:pPr>
              <w:pStyle w:val="Compact"/>
              <w:jc w:val="left"/>
            </w:pPr>
            <w:r>
              <w:t xml:space="preserve">预测精度↑15%、开发周期↓25%</w:t>
            </w:r>
          </w:p>
        </w:tc>
      </w:tr>
      <w:tr>
        <w:tc>
          <w:tcPr/>
          <w:p>
            <w:pPr>
              <w:pStyle w:val="Compact"/>
              <w:jc w:val="center"/>
            </w:pPr>
            <w:r>
              <w:t xml:space="preserve">Phase 3</w:t>
            </w:r>
          </w:p>
        </w:tc>
        <w:tc>
          <w:tcPr/>
          <w:p>
            <w:pPr>
              <w:pStyle w:val="Compact"/>
              <w:jc w:val="center"/>
            </w:pPr>
            <w:r>
              <w:t xml:space="preserve">5-6月</w:t>
            </w:r>
          </w:p>
        </w:tc>
        <w:tc>
          <w:tcPr/>
          <w:p>
            <w:pPr>
              <w:pStyle w:val="Compact"/>
              <w:jc w:val="left"/>
            </w:pPr>
            <w:r>
              <w:t xml:space="preserve">+Summary（完整8 Agent）</w:t>
            </w:r>
          </w:p>
        </w:tc>
        <w:tc>
          <w:tcPr/>
          <w:p>
            <w:pPr>
              <w:pStyle w:val="Compact"/>
              <w:jc w:val="left"/>
            </w:pPr>
            <w:r>
              <w:t xml:space="preserve">可信度加权报告、调度自适应</w:t>
            </w:r>
          </w:p>
        </w:tc>
        <w:tc>
          <w:tcPr/>
          <w:p>
            <w:pPr>
              <w:pStyle w:val="Compact"/>
              <w:jc w:val="left"/>
            </w:pPr>
            <w:r>
              <w:t xml:space="preserve">人工干预↓50%、质量评分≥4.0/5.0</w:t>
            </w:r>
          </w:p>
        </w:tc>
      </w:tr>
    </w:tbl>
    <w:p>
      <w:pPr>
        <w:pStyle w:val="BodyText"/>
      </w:pPr>
      <w:r>
        <w:t xml:space="preserve">Phase 1验证基准：BO在5-8次迭代内收敛至合格工艺窗口</w:t>
      </w:r>
      <w:fldSimple w:instr="NOTEREF _Ref_Footnote_6 \h \f">
        <w:r>
          <w:rPr>
            <w:vertAlign w:val="superscript"/>
          </w:rPr>
          <w:t>6</w:t>
        </w:r>
      </w:fldSimple>
      <w:r>
        <w:t xml:space="preserve">，蓝军无遗漏拦截高风险参数。Phase 2完整运行双层预测闭环</w:t>
      </w:r>
      <w:fldSimple w:instr="NOTEREF _Ref_Footnote_77 \h \f">
        <w:r>
          <w:rPr>
            <w:vertAlign w:val="superscript"/>
          </w:rPr>
          <w:t>77</w:t>
        </w:r>
      </w:fldSimple>
      <w:r>
        <w:t xml:space="preserve">，GraphRAG支持跨文档复杂推理</w:t>
      </w:r>
      <w:fldSimple w:instr="NOTEREF _Ref_Footnote_66 \h \f">
        <w:r>
          <w:rPr>
            <w:vertAlign w:val="superscript"/>
          </w:rPr>
          <w:t>66</w:t>
        </w:r>
      </w:fldSimple>
      <w:r>
        <w:t xml:space="preserve"> </w:t>
      </w:r>
      <w:fldSimple w:instr="NOTEREF _Ref_Footnote_67 \h \f">
        <w:r>
          <w:rPr>
            <w:vertAlign w:val="superscript"/>
          </w:rPr>
          <w:t>67</w:t>
        </w:r>
      </w:fldSimple>
      <w:r>
        <w:t xml:space="preserve">，TRIZ集成蓝军矛盾信号自动触发。Phase 3启用可信度加权报告生成，综合数据Agent置信区间、蓝军审查评级和文献引用支撑度标注建议置信度</w:t>
      </w:r>
      <w:fldSimple w:instr="NOTEREF _Ref_Footnote_143 \h \f">
        <w:r>
          <w:rPr>
            <w:vertAlign w:val="superscript"/>
          </w:rPr>
          <w:t>143</w:t>
        </w:r>
      </w:fldSimple>
      <w:r>
        <w:t xml:space="preserve">，主Agent积累运行数据为后续强化学习训练调度模型奠定基础。</w:t>
      </w:r>
    </w:p>
    <w:bookmarkEnd w:id="140"/>
    <w:bookmarkStart w:id="141" w:name="评估指标"/>
    <w:p>
      <w:pPr>
        <w:pStyle w:val="Heading4"/>
      </w:pPr>
      <w:r>
        <w:t xml:space="preserve">10.3.3 评估指标</w:t>
      </w:r>
    </w:p>
    <w:p>
      <w:pPr>
        <w:pStyle w:val="FirstParagraph"/>
      </w:pPr>
      <w:r>
        <w:t xml:space="preserve">系统通过三类指标量化评估。工艺优化效率指标：达到目标工艺窗口所需实验次数（基线纯人工20-84次</w:t>
      </w:r>
      <w:fldSimple w:instr="NOTEREF _Ref_Footnote_92 \h \f">
        <w:r>
          <w:rPr>
            <w:vertAlign w:val="superscript"/>
          </w:rPr>
          <w:t>92</w:t>
        </w:r>
      </w:fldSimple>
      <w:r>
        <w:t xml:space="preserve">）和单次优化wall-clock时间。实验成本降低指标：测试晶圆消耗量对比基线与机台占用时间，vDOE技术预计减少30%-60%物理实验</w:t>
      </w:r>
      <w:fldSimple w:instr="NOTEREF _Ref_Footnote_96 \h \f">
        <w:r>
          <w:rPr>
            <w:vertAlign w:val="superscript"/>
          </w:rPr>
          <w:t>96</w:t>
        </w:r>
      </w:fldSimple>
      <w:r>
        <w:t xml:space="preserve">。方案质量评分：蓝军审查通过率（目标&gt;95%）与资深工艺工程师五分制评分（Phase 3目标≥4.0/5.0），评估体系参考Critic-Reviewer设计模式</w:t>
      </w:r>
      <w:fldSimple w:instr="NOTEREF _Ref_Footnote_9 \h \f">
        <w:r>
          <w:rPr>
            <w:vertAlign w:val="superscript"/>
          </w:rPr>
          <w:t>9</w:t>
        </w:r>
      </w:fldSimple>
      <w:r>
        <w:t xml:space="preserve">将蓝军审查作为方案质量的硬约束。评估数据持续采集形成反馈闭环，每两周小批量评估、每季度全面评估，驱动调度策略持续改进。</w:t>
      </w:r>
    </w:p>
    <w:bookmarkEnd w:id="141"/>
    <w:bookmarkEnd w:id="142"/>
    <w:bookmarkEnd w:id="143"/>
    <w:bookmarkEnd w:id="1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utexas.edu. https://willson.cm.utexas.edu/Teaching/LithoClass2017/Files/Introduction%20to%20Plasma%20Etching_Lecture_102417_Day2_sntzd.pdf</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SENTECH Instruments GmbH. https://sentech.com/news/what-is-plasma-etching/</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行家说. https://www.hangjianet.com/topic/15104163578910000</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arXiv.org. https://arxiv.org/abs/2604.20202</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迈烁集芯. https://ai-mst.com/insight/en-bayesian-optimization-semiconductor/</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shanghaitech.edu.cn. https://smdl.shanghaitech.edu.cn/_upload/article/files/2c/45/3d06ac3c4572aab2f5d5c92c896f/98350687-d690-4fa2-b458-af37dba2a32d.pdf</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arXiv.org. https://arxiv.org/html/2505.16060v1</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DevPress官方社区. https://devpress.csdn.net/v1/article/detail/159932122</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arXiv.org. https://arxiv.org/html/2403.02901v2</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patsnap.com. https://eureka.patsnap.com/article/how-does-radio-frequency-rf-plasma-etching-work</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Zippia. https://www.zippia.com/reliability-engineer-texas-jobs/</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ResearchGate. https://www.researchgate.net/publication/257581315_An_empirical_study_of_design-of-experiment_data_mining_for_yield-loss_diagnosis_for_semiconductor_manufacturing</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Springer. https://link.springer.com/article/10.1007/s10845-025-02715-0</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Purdue University Graduate School research repository. https://hammer.purdue.edu/ndownloader/files/60244517</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ust.hk. http://mfz140.ust.hk/Eq_manual/ICP-DRIE.pdf</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APPIT Software Solutions. https://www.appitsoftware.com/blog/semiconductor-equipment-predictive-maintenance-ai</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ResearchGate. https://www.researchgate.net/publication/346947548_Virtual_Metrology_Technique_for_Semiconductor_Manufacturing</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MURAL - Maynooth University Research Archive Library. https://mural.maynoothuniversity.ie/id/eprint/8146/1/luca_puggini_PhDThesis.pdf</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suaspress.org. https://www.suaspress.org/ojs/index.php/JCTAM/article/download/v3n1a01/v3n1a01/650</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Academia.edu. https://www.academia.edu/16948873/Real_time_virtual_metrology_and_control_of_etch_rate_in_an_industrial_plasma_chamber?hb-sb-sw=9562742</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semanticscholar.org. https://pdfs.semanticscholar.org/bcfc/9d84642282fefcd7185d5064ba3f8f0eae81.pdf</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ResearchGate. https://www.researchgate.net/publication/223320723_A_virtual_metrology_system_for_semiconductor_manufacturing</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arXiv.org. https://arxiv.org/html/2307.00131v2</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https://prakashkota.com/2025/05/01/smarter-semiconductors-how-ml-neural-networks-optimize-plasma-etching-in-real-time/</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Tokyo Electron Ltd.. https://www.tel.com/blog/all/20250828_001.html</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Critical Manufacturing. https://www.criticalmanufacturing.com/blog/chips-making-chips-how-virtualization-digital-twins-and-machine-learning-are-accelerating-the-spiral-of-innovation/</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DORAS. https://doras.dcu.ie/20813/1/NMACG_PostCorrections.pdf</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MDPI. https://www.mdpi.com/2079-9292/11/2/253</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ScienceDirect. https://www.sciencedirect.com/science/article/abs/pii/S0959152412000157</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COMSOL. https://www.comsol.com/story/capacitively-coupled-plasma-analysis-14457</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MDPI. https://www.mdpi.com/2072-666X/14/6/1204?type=check_update&amp;version=1</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INFICON. https://www.inficon.com/cn/%E6%96%B0%E9%97%BB/%E7%94%A8%E4%BA%8E%E5%8D%8A%E5%AF%BC%E4%BD%93%E5%B7%A5%E8%89%BA%E5%92%8C%E5%B7%A5%E5%8E%82%E4%BC%98%E5%8C%96%E7%9A%84%E6%99%BA%E8%83%BD%E4%BC%A0%E6%84%9F%E5%99%A8%E5%92%8C%E5%88%B6%E9%80%A0%E8%BD%AF%E4%BB%B6</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微信公众号(电子首席情报官ECIO). http://mp.weixin.qq.com/s?__biz=Mzk3NTI2MDg4MQ==&amp;mid=2247499191&amp;idx=1&amp;sn=5489cbbf59ec402e8e958dfb0720b9b3</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ScienceDirect. https://www.sciencedirect.com/science/article/abs/pii/S0098135422003210</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物理学院. https://physics.zju.edu.cn/_upload/article/files/23/83/fe30f71b4327bbb7d85938bb7111/13072df4-c65e-4901-ade7-f08e33d25c8f.pdf</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Delft University of Technology. https://pure.tudelft.nl/ws/portalfiles/portal/71472283/Sokolovskij_GaN_sens_dissertation_V2.pdf</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files01.core.ac.uk. https://files01.core.ac.uk/download/pdf/32431486.pdf</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Researching. https://www.researching.cn/ArticlePdf/m00100/2025/47/1/9.pdf</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patsnap.com. https://eureka.patsnap.com/article/icp-vs-ccp-plasma-sources-which-is-better-for-etching</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Queen's University Belfast. https://pureadmin.qub.ac.uk/ws/files/137825983/GPR_R2R_final_post_review_accepted_paper.pdf</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ALLPCB.com. https://www.allpcb.com/blog/pcb-manufacturing/mastering-pcb-plasma-etching-a-comprehensive-guide-for-electronics-engineers.html</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迈烁集芯. https://ai-mst.com/insight/process-window-analysis/</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Esplora il catalogo della ricerca. https://research.unipd.it/retrieve/e14fb26f-f432-3de1-e053-1705fe0ac030/susto_gianantonio_tesi.pdf</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ResearchGate. https://www.researchgate.net/publication/386708385_Revolutionizing_Semiconductor_Etching_Artificial_Intelligence_in_RIE_ALE_and_High-Aspect_Ratio_Features_for_Next-Generation_Manufacturing</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avs.org. https://avs69.avs.org/wp-content/uploads/2023/11/ProgramBook_Complete.pdf</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OpenReview. https://openreview.net/pdf?id=mqR0TgTyZF</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arXiv.org. https://arxiv.org/pdf/2502.05151v1</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Anthropic. https://www.anthropic.com/engineering/multi-agent-research-system</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IEEE Xplore. https://ieeexplore.ieee.org/abstract/document/10601235/keywords</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nih.gov. https://pmc.ncbi.nlm.nih.gov/articles/PMC5302619/</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PEARL. https://pearl.plymouth.ac.uk/secam-research/1612/</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arXiv.org. https://arxiv.org/pdf/2509.15292</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arXiv.org. https://arxiv.org/html/2409.17383v1</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bioRxiv. https://www.biorxiv.org/content/10.64898/2025.12.22.696019v1.full.pdf</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arXiv.org. https://arxiv.org/pdf/2302.05597</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arXiv.org. https://arxiv.org/html/2402.06964v1</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RSC Publishing. https://pubs.rsc.org/en/content/articlehtml/2026/dd/d5dd00482a</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上海大学学报(自然科学版). https://www.journal.shu.edu.cn/CN/10.12066/j.issn.1007-2861.2380</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metal-etch.com. https://metal-etch.com/blog/modeling-and-optimization-of-high-aspect-ratio-plasma-etching-for-semiconductor-devices/</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Microsoft Learn. https://learn.microsoft.com/en-us/agents/architecture/multi-agent-orchestrator-sub-agent</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IEEE Xplore. https://ieeexplore.ieee.org/abstract/document/8089770</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MDPI. https://www.mdpi.com/1999-4893/15/2/27</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arXiv.org. https://arxiv.org/pdf/2604.16416</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Eindhoven University of Technology research portal. https://research.tue.nl/files/190555238/1_s2.0_S2405896321012398_main.pdf</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arXiv.org. https://arxiv.org/html/2404.03080v5</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arXiv.org. https://arxiv.org/pdf/2509.16780?</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microsoft.github.io. https://microsoft.github.io/graphrag/</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DEV Community. https://dev.to/uenyioha/porting-claude-codes-agent-teams-to-opencode-4hol</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myaiexp.com. https://www.myaiexp.com/en/insights/anthropic-subagent-multi-agent-revolution</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zenml.io. https://www.zenml.io/llmops-database/building-a-multi-agent-research-system-for-complex-information-tasks</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Kent Academic Repository. https://kar.kent.ac.uk/74651/1/Tennyson_2017_Plasma_Sources_Sci._Technol._26_055014.pdf</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files01.core.ac.uk. https://files01.core.ac.uk/download/pdf/297012795.pdf</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Aston Research Explorer. https://research.aston.ac.uk/en/publications/gaussian-process-regression-for-virtual-metrology-enabled-run-to-</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tamu.edu. https://aggiefab.tamu.edu/wp-content/uploads/2021/02/Operation-Spec-Oxford-System-100-RevB.pdf</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patsnap.com. https://eureka.patsnap.com/report-how-to-set-plasma-dicing-endpoint-for-2-over-etch</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北京仁和汇智信息技术有限公司. https://html.rhhz.net/rjxb/html/5607.htm</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reposiTUm. https://repositum.tuwien.at/handle/20.500.12708/223579?mode=full</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themoonlight.io. https://www.themoonlight.io/en/review/few-shot-test-time-optimization-without-retraining-for-semiconductor-recipe-generation-and-beyond</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知乎专栏. https://zhuanlan.zhihu.com/p/23643740129</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Tech Xplore. https://techxplore.com/news/2025-07-quantum-machine-semiconductor.html</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Nature. https://www.nature.com/nature-index/topics/l4/virtual-metrology-for-semiconductor-manufacturing-processes</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NASA/ADS. https://ui.adsabs.harvard.edu/abs/2014JKPS...65..168K/abstract</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Nature. https://www.nature.com/articles/s41598-026-41629-6</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berkeley.edu. https://lavaei.ieor.berkeley.edu/AI_App_2025_1.pdf</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arXiv.org. https://arxiv.org/pdf/2503.13505</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NCSS. https://www.ncss.com/wp-content/themes/ncss/pdf/Procedures/NCSS/D-Optimal_Designs.pdf</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R Discovery. https://discovery.researcher.life/article/plackett-burman-design/6bea4de48ed0303faa34574390056913</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statease.com. https://cdnm.statease.com/pubs/mixture_for_optimal_plasma_etch.pdf</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arXiv.org. https://arxiv.org/html/2604.20202v1</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腾讯云. https://cloud.tencent.com/developer/article/2637234</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mediaroom.com. https://filecache.mediaroom.com/mr5mr_lamresearch/180886/download/Nature_PDF_Human-Machine_Collaboration_3.8.23.pdf</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arXiv.org. https://arxiv.org/html/2512.18126v1</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arXiv.org. https://arxiv.org/html/2406.04692v1</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arXiv.org. https://www.arxiv.org/pdf/2508.03329</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原创力文档. https://max.book118.com/html/2024/0921/8100126103006127.shtm</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Lam Research Newsroom. https://newsroom.lamresearch.com/Accelerating-Semiconductor-Process-Development-Using-Virtual-Design-of-Experiments?blog=true</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电子工程专辑 EE Times China. https://www.eet-china.com/mp/a451376.html</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CSDN博客. https://blog.csdn.net/gitblog_00318/article/details/151254072</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DEV Community. https://dev.to/asma_eman/automating-police-report-writing-using-nlp-and-machine-learning-89n</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arXiv.org. https://arxiv.org/pdf/2603.14987</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Antigravity Lab. https://antigravitylab.net/en/articles/agents/antigravity-self-critique-reflection-patterns</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arXiv.org. https://arxiv.org/pdf/2105.02858</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ggaaooppeenngg.github.io. https://ggaaooppeenngg.github.io/zh-CN/2019/10/14/%E8%B4%9D%E5%8F%B6%E6%96%AF%E4%BC%98%E5%8C%96%E4%B9%8B%E9%AB%98%E6%96%AF%E8%BF%87%E7%A8%8B%E5%92%8C%E5%BA%94%E7%94%A8/</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arXiv.org. https://arxiv.org/html/2508.03860</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arXiv.org. https://arxiv.org/html/2604.09679v1</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Arun Baby. https://www.arunbaby.com/ai-agents/0039-self-reflection-and-critique/</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Oxagen. https://www.oxagen.ai/blog/reflection-in-ai-agents</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Cambridge University Press &amp; Assessment. https://www.cambridge.org/core/product/9A6F1AFD04B956722EAFB62DEDC9ECFD</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opencode.ai. https://opencode.ai/docs/agents/</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Nature. https://www.nature.com/articles/s41598-025-86274-7.pdf</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ACL Anthology. https://aclanthology.org/people/nikolaos-aletras/unverified/</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微信公众平台. http://mp.weixin.qq.com/s?__biz=MzkwMjI2NzAyOA==&amp;mid=2247567180&amp;idx=2&amp;sn=cfb24bff627056814a13fdb2fb30664d</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arXiv.org. https://arxiv.org/pdf/2403.13002v3</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ResearchGate. https://www.researchgate.net/publication/349672888_Utilization_of_TRIZ_to_Solve_the_Quality_Problems_in_Semiconductor_Etching_Process</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iitb.ac.in. https://www.ee.iitb.ac.in/~apte/CV_PRA_TRIZ_INTRO.htm</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Jeda.ai. https://jeda.ai/ai-templates-frameworks/ai-contradiction-matrix</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business-developer.biz. https://business-developer.biz/what-is-the-contradiction-matrix-in-trix/</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MCP Servers. https://mcpmarket.com/tools/skills/triz-contradiction-matrix</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WIPO - World Intellectual Property Organization. https://www.wipo.int/tisc/en/docs/tisc-toolkit-triz-description.pdf</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patsnap.com. https://eureka.patsnap.com/blog/triz-case/semiconductor-etching-residue-solution/</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arXiv.org. https://arxiv.org/html/2510.18131v1</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fucos.or.kr. http://fucos.or.kr/journal/APJCRI/Articles/v7n2/10.html</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Lean Methods Group. https://leanmethods.com/articles/split-your-innovation-problem-four-ways-separation-principles/</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innovation-triz.com. https://innovation-triz.com/papers/separation.html</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ecaade.org. http://ecaade.org/downloads/eCAADe-2017-volume-1-lowres.pdf</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永禎創新學院. https://www.innovative-younjan.tw/trizs-six-key-tools/</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ijosi.org. https://www.ijosi.org/index.php/IJOSI/article/download/119/267</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Innovazione sistematica. https://innovazionesistematica.it/wp-content/uploads/2020/10/EN_04.pdf</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iitb.ac.in. https://www.ee.iitb.ac.in/~apte/CV_PRA_MEMS_PAP3.htm</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metodolog.ru. https://www.metodolog.ru/triz-journal/archives/2007/08/03/index.html</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the-trizjournal.com. https://the-trizjournal.com/su-field-analysis/</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ijosi.org. https://www.ijosi.org/addition/Recommends/2012-萃智系統化元件削剪手法-理論及應用-中文版-正-譯自IJoSI.pdf</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微信公众号(Wuli建筑环境). http://mp.weixin.qq.com/s?__biz=Mzg4ODE4MjI5Ng==&amp;mid=2247488538&amp;idx=1&amp;sn=d0dbd1fa780404992ed9f2e85cc7d9ca</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the-trizjournal.com. https://the-trizjournal.com/dynamization-evolution-dry-etch-tools-semiconductor-device-fabrication/</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xtriz.com. https://www.xtriz.com/Annotated list of main TRIZ tools and techniques.pdf</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阿里云开发者社区. https://developer.aliyun.com/article/1675025</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微信公众号(一太创新方法). http://mp.weixin.qq.com/s?__biz=MzkzMzY5NTAxOQ==&amp;mid=2247484595&amp;idx=1&amp;sn=0fca47428d2a89f028494b5613d19ccc</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Archive ouverte HAL. https://hal.science/hal-04386676v1/file/islandora_168798.pdf</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patsnap.com. https://eureka.patsnap.com/blog/triz-case/cryogenic-electrostatic-chuck-etching/</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patsnap.com. https://eureka.patsnap.com/blog/triz-case/air-gap-spacers-stray-capacitance/</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Preprints. https://www.preprints.org/manuscript/202503.1108</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ACL Anthology. https://aclanthology.org/2025.acl-long.1445/</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CSDN文库. https://wenku.csdn.net/column/408ywcg2my</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CSDN博客. https://blog.csdn.net/weixin_27032989/article/details/160268708</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csdn.net. https://gitcode.csdn.net/69d51e7854b52172bc679132.html</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arXiv.org. https://arxiv.org/html/2504.13079v1</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Researching. https://www.researching.cn/ArticlePdf/m00002/2022/59/11/1114004.pdf</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ScienceDirect. https://www.sciencedirect.com/science/article/pii/S1474034625002058</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百度百科. https://baike.baidu.com/item/%E5%88%BB%E8%9A%80%E8%B4%9F%E8%BD%BD%E6%95%88%E5%BA%94/22334970</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智慧芽. https://www.zhihuiya.com/newknowledge/info_13701.html</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MDPI. https://www.mdpi.com/2079-4991/14/11/945</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arXiv.org. https://arxiv.org/html/2508.03329v2</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阿里云开发者社区. https://developer.aliyun.com/article/1707478</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linkseeks.com. https://m.linkseeks.com/wiki/4689.html</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arXiv.org. https://arxiv.org/html/2503.05641v3</w:t>
      </w:r>
      <w:bookmarkEnd w:id="10155"/>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2026-05-27T05:33:23Z</dcterms:created>
  <dcterms:modified xsi:type="dcterms:W3CDTF">2026-05-27T05:33:23Z</dcterms:modified>
</cp:coreProperties>
</file>

<file path=docProps/custom.xml><?xml version="1.0" encoding="utf-8"?>
<Properties xmlns="http://schemas.openxmlformats.org/officeDocument/2006/custom-properties" xmlns:vt="http://schemas.openxmlformats.org/officeDocument/2006/docPropsVTypes"/>
</file>