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57.png" ContentType="image/png"/>
  <Override PartName="/word/media/rId61.png" ContentType="image/png"/>
  <Override PartName="/word/media/rId71.png" ContentType="image/png"/>
  <Override PartName="/word/media/rId103.png" ContentType="image/png"/>
  <Override PartName="/word/media/rId112.png" ContentType="image/png"/>
  <Override PartName="/word/media/rId120.png" ContentType="image/png"/>
  <Override PartName="/word/media/rId125.png" ContentType="image/png"/>
  <Override PartName="/word/media/rId129.png" ContentType="image/png"/>
  <Override PartName="/word/media/rId138.png" ContentType="image/png"/>
  <Override PartName="/word/media/rId85.png" ContentType="image/png"/>
  <Override PartName="/word/media/rId89.png" ContentType="image/png"/>
  <Override PartName="/word/media/rId163.png" ContentType="image/png"/>
  <Override PartName="/word/media/rId40.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企业sop文档构建方案调研报告"/>
    <w:p>
      <w:pPr>
        <w:pStyle w:val="Heading1"/>
      </w:pPr>
      <w:r>
        <w:t xml:space="preserve">企业SOP文档构建方案调研报告</w:t>
      </w:r>
    </w:p>
    <w:p>
      <w:pPr>
        <w:pStyle w:val="BlockText"/>
      </w:pPr>
      <w:r>
        <w:t xml:space="preserve">调研时间：2026年6月</w:t>
      </w:r>
      <w:r>
        <w:t xml:space="preserve"> </w:t>
      </w:r>
      <w:r>
        <w:t xml:space="preserve">调研范围：文档格式、编辑工具、RAG技术、转换管道、多模态处理、Agent交互、实施路径</w:t>
      </w:r>
      <w:r>
        <w:t xml:space="preserve"> </w:t>
      </w:r>
      <w:r>
        <w:t xml:space="preserve">核心目标：兼顾人类编辑友好与AI处理友好（RAG/Agent），偏向人类需求</w:t>
      </w:r>
    </w:p>
    <w:p>
      <w:r>
        <w:pict>
          <v:rect style="width:0;height:1.5pt" o:hralign="center" o:hrstd="t" o:hr="t"/>
        </w:pict>
      </w:r>
    </w:p>
    <w:bookmarkEnd w:id="20"/>
    <w:bookmarkStart w:id="174" w:name="执行摘要"/>
    <w:p>
      <w:pPr>
        <w:pStyle w:val="Heading1"/>
      </w:pPr>
      <w:r>
        <w:t xml:space="preserve">执行摘要</w:t>
      </w:r>
    </w:p>
    <w:bookmarkStart w:id="21" w:name="调研背景与目标"/>
    <w:p>
      <w:pPr>
        <w:pStyle w:val="Heading2"/>
      </w:pPr>
      <w:r>
        <w:t xml:space="preserve">调研背景与目标</w:t>
      </w:r>
    </w:p>
    <w:p>
      <w:pPr>
        <w:pStyle w:val="FirstParagraph"/>
      </w:pPr>
      <w:r>
        <w:t xml:space="preserve">随着企业标准操作程序（Standard Operating Procedure, SOP）数字化进程的加速，文档系统面临一个根本性矛盾：人类编辑的最优格式与AI处理的最优格式并不一致。一方面，图文并茂的SOP文档需要富文本编辑器提供所见即所得（What You See Is What You Get, WYSIWYG）的体验；另一方面，基于检索增强生成（Retrieval-Augmented Generation, RAG）和AI Agent的文档处理管道高度依赖结构化的Markdown格式。本报告围绕这一核心矛盾，覆盖文档格式、编辑工具、RAG分块策略、格式转换管道、多模态处理、Agent交互模式、实施路径与TCO分析等九大维度，旨在为100人规模的中国企业构建兼顾人类编辑体验与AI处理能力的SOP文档体系提供循证决策依据。</w:t>
      </w:r>
    </w:p>
    <w:bookmarkEnd w:id="21"/>
    <w:bookmarkStart w:id="22" w:name="核心结论"/>
    <w:p>
      <w:pPr>
        <w:pStyle w:val="Heading2"/>
      </w:pPr>
      <w:r>
        <w:t xml:space="preserve">核心结论</w:t>
      </w:r>
    </w:p>
    <w:p>
      <w:pPr>
        <w:pStyle w:val="FirstParagraph"/>
      </w:pPr>
      <w:r>
        <w:rPr>
          <w:bCs/>
          <w:b/>
        </w:rPr>
        <w:t xml:space="preserve">推荐采用”WYSIWYG编辑 → Markdown存储 → 多格式输出”三层混合架构。</w:t>
      </w:r>
      <w:r>
        <w:t xml:space="preserve"> </w:t>
      </w:r>
      <w:r>
        <w:t xml:space="preserve">该架构在编辑体验、AI友好度、可维护性、成本效益和可扩展性五维度量化评估中综合得分8.2分（满分10分），显著优于纯Word/PDF（4.7分）、纯Git+Markdown（7.2分）及单一商业SaaS方案（Notion 6.1分、Confluence 6.2分）</w:t>
      </w:r>
      <w:r>
        <w:rPr>
          <w:vertAlign w:val="superscript"/>
        </w:rPr>
        <w:footnoteReference w:id="1"/>
      </w:r>
      <w:r>
        <w:t xml:space="preserve"> </w:t>
      </w:r>
      <w:r>
        <w:rPr>
          <w:vertAlign w:val="superscript"/>
        </w:rPr>
        <w:footnoteReference w:id="2"/>
      </w:r>
      <w:r>
        <w:t xml:space="preserve">。架构的核心设计以Markdown作为单一事实来源（Single Source of Truth），前端通过富文本编辑器服务人类创作，后端经由自动化转换管道输出AI友好的结构化Markdown，同时通过Pandoc等工具实现向PDF、DOCX、HTML等多格式的无损发布</w:t>
      </w:r>
      <w:r>
        <w:t xml:space="preserve"> </w:t>
      </w:r>
      <w:r>
        <w:rPr>
          <w:vertAlign w:val="superscript"/>
        </w:rPr>
        <w:footnoteReference w:id="3"/>
      </w:r>
      <w:r>
        <w:t xml:space="preserve">。</w:t>
      </w:r>
    </w:p>
    <w:p>
      <w:pPr>
        <w:pStyle w:val="BodyText"/>
      </w:pPr>
      <w:r>
        <w:t xml:space="preserve">在人类编辑平台的选择上，</w:t>
      </w:r>
      <w:r>
        <w:rPr>
          <w:bCs/>
          <w:b/>
        </w:rPr>
        <w:t xml:space="preserve">飞书文档是中国企业SOP场景的首选</w:t>
      </w:r>
      <w:r>
        <w:t xml:space="preserve">，其20维度加权综合评分为8.50分（满分10分），领先Confluence（8.45分）、Notion（7.15分）、腾讯文档（6.85分）和语雀（6.55分）</w:t>
      </w:r>
      <w:r>
        <w:rPr>
          <w:vertAlign w:val="superscript"/>
        </w:rPr>
        <w:footnoteReference w:id="4"/>
      </w:r>
      <w:r>
        <w:t xml:space="preserve">。飞书的核心优势在于块编辑器架构、多维表格集成（单表支持1000万行）、与飞书IM深度联动形成的SOP生命周期管理闭环，以及2026年5月正式上线的原生Markdown导出功能——该功能使飞书到Markdown的转换保真度达到约90%（简单文档），从根本上消除了中国企业采用混合文档方案的最大平台锁定障碍</w:t>
      </w:r>
      <w:r>
        <w:t xml:space="preserve"> </w:t>
      </w:r>
      <w:r>
        <w:rPr>
          <w:vertAlign w:val="superscript"/>
        </w:rPr>
        <w:footnoteReference w:id="5"/>
      </w:r>
      <w:r>
        <w:t xml:space="preserve"> </w:t>
      </w:r>
      <w:r>
        <w:rPr>
          <w:vertAlign w:val="superscript"/>
        </w:rPr>
        <w:footnoteReference w:id="6"/>
      </w:r>
      <w:r>
        <w:t xml:space="preserve">。</w:t>
      </w:r>
    </w:p>
    <w:p>
      <w:pPr>
        <w:pStyle w:val="BodyText"/>
      </w:pPr>
      <w:r>
        <w:t xml:space="preserve">一个贯穿全报告的关键发现是：</w:t>
      </w:r>
      <w:r>
        <w:rPr>
          <w:bCs/>
          <w:b/>
        </w:rPr>
        <w:t xml:space="preserve">文档结构规范的重要性超过格式选择本身。</w:t>
      </w:r>
      <w:r>
        <w:t xml:space="preserve"> </w:t>
      </w:r>
      <w:r>
        <w:t xml:space="preserve">在RAG效果的决定因素中，分块策略（Chunking）的质量贡献度高达35%，超过重排序（28%）和上下文增强（22%），是RAG系统中最大的单一影响因素</w:t>
      </w:r>
      <w:r>
        <w:t xml:space="preserve"> </w:t>
      </w:r>
      <w:r>
        <w:rPr>
          <w:vertAlign w:val="superscript"/>
        </w:rPr>
        <w:footnoteReference w:id="7"/>
      </w:r>
      <w:r>
        <w:t xml:space="preserve">。基于Markdown标题层级的结构感知分块（Hierarchical Chunking）准确率可达87%，远超固定大小分块的60-65%</w:t>
      </w:r>
      <w:r>
        <w:t xml:space="preserve"> </w:t>
      </w:r>
      <w:r>
        <w:rPr>
          <w:vertAlign w:val="superscript"/>
        </w:rPr>
        <w:footnoteReference w:id="8"/>
      </w:r>
      <w:r>
        <w:t xml:space="preserve">；配合元数据前缀融合嵌入技术，检索命中率（Hit Rate@10）可达0.925</w:t>
      </w:r>
      <w:r>
        <w:t xml:space="preserve"> </w:t>
      </w:r>
      <w:r>
        <w:rPr>
          <w:vertAlign w:val="superscript"/>
        </w:rPr>
        <w:footnoteReference w:id="9"/>
      </w:r>
      <w:r>
        <w:t xml:space="preserve"> </w:t>
      </w:r>
      <w:r>
        <w:rPr>
          <w:vertAlign w:val="superscript"/>
        </w:rPr>
        <w:footnoteReference w:id="10"/>
      </w:r>
      <w:r>
        <w:t xml:space="preserve">。这意味着，企业应当优先确保SOP文档具备清晰的标题层级、独立完整的段落和一致的元数据Schema，而非在格式选择上过度纠结。</w:t>
      </w:r>
    </w:p>
    <w:bookmarkEnd w:id="22"/>
    <w:bookmarkStart w:id="23" w:name="关键数据"/>
    <w:p>
      <w:pPr>
        <w:pStyle w:val="Heading2"/>
      </w:pPr>
      <w:r>
        <w:t xml:space="preserve">关键数据</w:t>
      </w:r>
    </w:p>
    <w:p>
      <w:pPr>
        <w:pStyle w:val="FirstParagraph"/>
      </w:pPr>
      <w:r>
        <w:rPr>
          <w:bCs/>
          <w:b/>
        </w:rPr>
        <w:t xml:space="preserve">转换工具生态已高度成熟。</w:t>
      </w:r>
      <w:r>
        <w:t xml:space="preserve"> </w:t>
      </w:r>
      <w:r>
        <w:t xml:space="preserve">Microsoft MarkItDown在DOCX到Markdown转换中达到82%的F1分数，处理速度约为每百页12秒</w:t>
      </w:r>
      <w:r>
        <w:t xml:space="preserve"> </w:t>
      </w:r>
      <w:r>
        <w:rPr>
          <w:vertAlign w:val="superscript"/>
        </w:rPr>
        <w:footnoteReference w:id="11"/>
      </w:r>
      <w:r>
        <w:t xml:space="preserve">；IBM Docling在复杂表格场景下达到97.9%的单元格准确率</w:t>
      </w:r>
      <w:r>
        <w:t xml:space="preserve"> </w:t>
      </w:r>
      <w:r>
        <w:rPr>
          <w:vertAlign w:val="superscript"/>
        </w:rPr>
        <w:footnoteReference w:id="12"/>
      </w:r>
      <w:r>
        <w:t xml:space="preserve">；MinerU 2.5-Pro以1.2B参数在OmniDocBench v1.6上取得95.69分，超越GPT-4o和Qwen2.5-VL-72B</w:t>
      </w:r>
      <w:r>
        <w:t xml:space="preserve"> </w:t>
      </w:r>
      <w:r>
        <w:rPr>
          <w:vertAlign w:val="superscript"/>
        </w:rPr>
        <w:footnoteReference w:id="13"/>
      </w:r>
      <w:r>
        <w:t xml:space="preserve">。这些工具使”人编辑富文本、AI读Markdown”的双轨制管道在技术和成本上均完全可行。</w:t>
      </w:r>
    </w:p>
    <w:p>
      <w:pPr>
        <w:pStyle w:val="BodyText"/>
      </w:pPr>
      <w:r>
        <w:rPr>
          <w:bCs/>
          <w:b/>
        </w:rPr>
        <w:t xml:space="preserve">多模态RAG的text-image fusion策略经大规模基准验证为最优方案。</w:t>
      </w:r>
      <w:r>
        <w:t xml:space="preserve"> </w:t>
      </w:r>
      <w:r>
        <w:t xml:space="preserve">Salesforce AI Research构建的UniDoc-Bench（70K真实PDF页面、1,600人工验证QA对）明确验证，text-image fusion策略（0.654）显著优于纯文本（0.619）、纯图像（0.527）和联合多模态嵌入（0.639）方案</w:t>
      </w:r>
      <w:r>
        <w:t xml:space="preserve"> </w:t>
      </w:r>
      <w:r>
        <w:rPr>
          <w:vertAlign w:val="superscript"/>
        </w:rPr>
        <w:footnoteReference w:id="14"/>
      </w:r>
      <w:r>
        <w:t xml:space="preserve">。在金融PDF场景中，视觉级RAG的nDCG@5达到84%，较传统密集文本RAG的62%高出22个百分点</w:t>
      </w:r>
      <w:r>
        <w:t xml:space="preserve"> </w:t>
      </w:r>
      <w:r>
        <w:rPr>
          <w:vertAlign w:val="superscript"/>
        </w:rPr>
        <w:footnoteReference w:id="15"/>
      </w:r>
      <w:r>
        <w:t xml:space="preserve"> </w:t>
      </w:r>
      <w:r>
        <w:rPr>
          <w:vertAlign w:val="superscript"/>
        </w:rPr>
        <w:footnoteReference w:id="16"/>
      </w:r>
      <w:r>
        <w:t xml:space="preserve">。这意味着SOP文档中的截图、流程图和设备照片不再需要单独提取和手动标注，整页视觉理解技术可直接处理图文并茂的SOP。</w:t>
      </w:r>
    </w:p>
    <w:p>
      <w:pPr>
        <w:pStyle w:val="BodyText"/>
      </w:pPr>
      <w:r>
        <w:rPr>
          <w:bCs/>
          <w:b/>
        </w:rPr>
        <w:t xml:space="preserve">MCP（Model Context Protocol）协议已成为Agent与文档交互的事实标准。</w:t>
      </w:r>
      <w:r>
        <w:t xml:space="preserve"> </w:t>
      </w:r>
      <w:r>
        <w:t xml:space="preserve">Anthropic推出并于2025年12月捐赠给Linux Foundation AAIF后，OpenAI、Google和Microsoft已全面支持该协议</w:t>
      </w:r>
      <w:r>
        <w:t xml:space="preserve"> </w:t>
      </w:r>
      <w:r>
        <w:rPr>
          <w:vertAlign w:val="superscript"/>
        </w:rPr>
        <w:footnoteReference w:id="17"/>
      </w:r>
      <w:r>
        <w:t xml:space="preserve"> </w:t>
      </w:r>
      <w:r>
        <w:rPr>
          <w:vertAlign w:val="superscript"/>
        </w:rPr>
        <w:footnoteReference w:id="18"/>
      </w:r>
      <w:r>
        <w:t xml:space="preserve">。Docling、飞书等平台已提供MCP Server实现，DesktopCommanderMCP支持DOCX的完整CRUD操作</w:t>
      </w:r>
      <w:r>
        <w:t xml:space="preserve"> </w:t>
      </w:r>
      <w:r>
        <w:rPr>
          <w:vertAlign w:val="superscript"/>
        </w:rPr>
        <w:footnoteReference w:id="19"/>
      </w:r>
      <w:r>
        <w:t xml:space="preserve"> </w:t>
      </w:r>
      <w:r>
        <w:rPr>
          <w:vertAlign w:val="superscript"/>
        </w:rPr>
        <w:footnoteReference w:id="20"/>
      </w:r>
      <w:r>
        <w:t xml:space="preserve">。然而安全威胁不容忽视：Tool Poisoning攻击成功率高达72.8%，CVE-2025-6514（CVSS 9.6）等严重漏洞表明Agent文档交互的安全防护必须同步建设</w:t>
      </w:r>
      <w:r>
        <w:t xml:space="preserve"> </w:t>
      </w:r>
      <w:r>
        <w:rPr>
          <w:vertAlign w:val="superscript"/>
        </w:rPr>
        <w:footnoteReference w:id="21"/>
      </w:r>
      <w:r>
        <w:t xml:space="preserve"> </w:t>
      </w:r>
      <w:r>
        <w:rPr>
          <w:vertAlign w:val="superscript"/>
        </w:rPr>
        <w:footnoteReference w:id="22"/>
      </w:r>
      <w:r>
        <w:t xml:space="preserve">。</w:t>
      </w:r>
    </w:p>
    <w:p>
      <w:pPr>
        <w:pStyle w:val="BodyText"/>
      </w:pPr>
      <w:r>
        <w:rPr>
          <w:bCs/>
          <w:b/>
        </w:rPr>
        <w:t xml:space="preserve">100人团队5年总拥有成本（Total Cost of Ownership, TCO）差异显著。</w:t>
      </w:r>
      <w:r>
        <w:t xml:space="preserve"> </w:t>
      </w:r>
      <w:r>
        <w:t xml:space="preserve">开源自托管方案约$370,000，Confluence Premium约$460,000，Notion Business约$685,000</w:t>
      </w:r>
      <w:r>
        <w:t xml:space="preserve"> </w:t>
      </w:r>
      <w:r>
        <w:rPr>
          <w:vertAlign w:val="superscript"/>
        </w:rPr>
        <w:footnoteReference w:id="23"/>
      </w:r>
      <w:r>
        <w:t xml:space="preserve"> </w:t>
      </w:r>
      <w:r>
        <w:rPr>
          <w:vertAlign w:val="superscript"/>
        </w:rPr>
        <w:footnoteReference w:id="24"/>
      </w:r>
      <w:r>
        <w:t xml:space="preserve">。开源方案的主要成本为人力（运维占TCO的81%），商业方案的主要成本为订阅费（占TCO的70%以上）。当团队规模扩大至500人时，开源方案的TCO优势可扩大至2-3倍。</w:t>
      </w:r>
    </w:p>
    <w:p>
      <w:pPr>
        <w:pStyle w:val="BodyText"/>
      </w:pPr>
      <w:r>
        <w:rPr>
          <w:bCs/>
          <w:b/>
        </w:rPr>
        <w:t xml:space="preserve">中国企业面临”信创要求+AI需求”的双重时间压力。</w:t>
      </w:r>
      <w:r>
        <w:t xml:space="preserve"> </w:t>
      </w:r>
      <w:r>
        <w:t xml:space="preserve">国资委79号文要求2027年前央企国企核心系统实现100%信创替代</w:t>
      </w:r>
      <w:r>
        <w:t xml:space="preserve"> </w:t>
      </w:r>
      <w:r>
        <w:rPr>
          <w:vertAlign w:val="superscript"/>
        </w:rPr>
        <w:footnoteReference w:id="25"/>
      </w:r>
      <w:r>
        <w:t xml:space="preserve">，文档类场景国产化替代成功率不足41%，显著低于OLTP交易类（76%）。国内RAG方案中，阿里云百炼提供最完整的多模态知识库能力，自动调用qwen3-vl-embedding实现视觉理解</w:t>
      </w:r>
      <w:r>
        <w:t xml:space="preserve"> </w:t>
      </w:r>
      <w:r>
        <w:rPr>
          <w:vertAlign w:val="superscript"/>
        </w:rPr>
        <w:footnoteReference w:id="26"/>
      </w:r>
      <w:r>
        <w:t xml:space="preserve">；火山引擎、百度千帆和MaxKB（飞致云，GitHub Star 20K+、企业付费客户1000+）构成多层次国产化替代方案</w:t>
      </w:r>
      <w:r>
        <w:t xml:space="preserve"> </w:t>
      </w:r>
      <w:r>
        <w:rPr>
          <w:vertAlign w:val="superscript"/>
        </w:rPr>
        <w:footnoteReference w:id="27"/>
      </w:r>
      <w:r>
        <w:t xml:space="preserve">。</w:t>
      </w:r>
    </w:p>
    <w:p>
      <w:pPr>
        <w:pStyle w:val="BodyText"/>
      </w:pPr>
      <w:r>
        <w:rPr>
          <w:bCs/>
          <w:b/>
        </w:rPr>
        <w:t xml:space="preserve">实施路径建议采用3/6/12月渐进式路线。</w:t>
      </w:r>
      <w:r>
        <w:t xml:space="preserve"> </w:t>
      </w:r>
      <w:r>
        <w:t xml:space="preserve">第1-3个月完成最小可行产品（MVP）部署，第4-6个月实现管道自动化和AI增强，第7-12个月全面推广</w:t>
      </w:r>
      <w:r>
        <w:t xml:space="preserve"> </w:t>
      </w:r>
      <w:r>
        <w:rPr>
          <w:vertAlign w:val="superscript"/>
        </w:rPr>
        <w:footnoteReference w:id="28"/>
      </w:r>
      <w:r>
        <w:t xml:space="preserve">。实际部署数据显示，配备适当变更管理的AI知识系统6个月采纳率可达85%，而传统企业搜索实施仅为34%</w:t>
      </w:r>
      <w:r>
        <w:t xml:space="preserve"> </w:t>
      </w:r>
      <w:r>
        <w:rPr>
          <w:vertAlign w:val="superscript"/>
        </w:rPr>
        <w:footnoteReference w:id="29"/>
      </w:r>
      <w:r>
        <w:t xml:space="preserve">。某全球IT服务企业部署RAG知识助手后，员工搜索时间从9分钟降至47秒，92%的问题无需升级即可解决</w:t>
      </w:r>
      <w:r>
        <w:t xml:space="preserve"> </w:t>
      </w:r>
      <w:r>
        <w:rPr>
          <w:vertAlign w:val="superscript"/>
        </w:rPr>
        <w:footnoteReference w:id="30"/>
      </w:r>
      <w:r>
        <w:t xml:space="preserve">。SOP数字化转型的ROI极为可观：单份SOP创建投入约$200，按年节省520工时计算，ROI可达12,900%</w:t>
      </w:r>
      <w:r>
        <w:t xml:space="preserve"> </w:t>
      </w:r>
      <w:r>
        <w:rPr>
          <w:vertAlign w:val="superscript"/>
        </w:rPr>
        <w:footnoteReference w:id="31"/>
      </w:r>
      <w:r>
        <w:t xml:space="preserve"> </w:t>
      </w:r>
      <w:r>
        <w:rPr>
          <w:vertAlign w:val="superscript"/>
        </w:rPr>
        <w:footnoteReference w:id="32"/>
      </w:r>
      <w:r>
        <w:t xml:space="preserve">；中型制造商第1年可实现86%的ROI，到第2年累计ROI达173%</w:t>
      </w:r>
      <w:r>
        <w:t xml:space="preserve"> </w:t>
      </w:r>
      <w:r>
        <w:rPr>
          <w:vertAlign w:val="superscript"/>
        </w:rPr>
        <w:footnoteReference w:id="33"/>
      </w:r>
      <w:r>
        <w:t xml:space="preserve">。</w:t>
      </w:r>
    </w:p>
    <w:p>
      <w:r>
        <w:pict>
          <v:rect style="width:0;height:1.5pt" o:hralign="center" o:hrstd="t" o:hr="t"/>
        </w:pict>
      </w:r>
    </w:p>
    <w:bookmarkEnd w:id="23"/>
    <w:bookmarkStart w:id="36" w:name="需求分析人与ai的双重需求拆解"/>
    <w:p>
      <w:pPr>
        <w:pStyle w:val="Heading2"/>
      </w:pPr>
      <w:r>
        <w:t xml:space="preserve">1. 需求分析：人与AI的双重需求拆解</w:t>
      </w:r>
    </w:p>
    <w:p>
      <w:pPr>
        <w:pStyle w:val="FirstParagraph"/>
      </w:pPr>
      <w:r>
        <w:t xml:space="preserve">企业SOP（Standard Operating Procedure，标准操作程序）文档系统的选型面临一个根本性张力：人类编辑者追求直观、高效、协作友好的创作体验，而AI系统需要结构化、语义清晰、机器可解析的输入格式。在图文并茂的设备操作场景中，这一张力尤为突出——工程师需插入大量截图、设备照片和流程图以确保操作可复现，同时企业期望这些知识能被RAG（Retrieval-Augmented Generation，检索增强生成）系统和AI Agent高效利用。本章从人类编辑与AI处理两条主线出发，系统拆解双重需求的内涵、冲突与平衡路径。</w:t>
      </w:r>
    </w:p>
    <w:bookmarkStart w:id="27" w:name="人类编辑需求分析"/>
    <w:p>
      <w:pPr>
        <w:pStyle w:val="Heading3"/>
      </w:pPr>
      <w:r>
        <w:t xml:space="preserve">1.1 人类编辑需求分析</w:t>
      </w:r>
    </w:p>
    <w:bookmarkStart w:id="24" w:name="工程师核心诉求所见即所得编辑图片表格便捷插入版本控制协作审阅"/>
    <w:p>
      <w:pPr>
        <w:pStyle w:val="Heading4"/>
      </w:pPr>
      <w:r>
        <w:t xml:space="preserve">1.1.1 工程师核心诉求：所见即所得编辑、图片/表格便捷插入、版本控制、协作审阅</w:t>
      </w:r>
    </w:p>
    <w:p>
      <w:pPr>
        <w:pStyle w:val="FirstParagraph"/>
      </w:pPr>
      <w:r>
        <w:t xml:space="preserve">工程师群体对SOP编辑工具的核心诉求集中在四个维度。</w:t>
      </w:r>
      <w:r>
        <w:rPr>
          <w:bCs/>
          <w:b/>
        </w:rPr>
        <w:t xml:space="preserve">所见即所得（WYSIWYG, What You See Is What You Get）</w:t>
      </w:r>
      <w:r>
        <w:t xml:space="preserve">编辑体验位列首位。调研表明，Markdown基础语法学习曲线虽短（15—30分钟），但涉及表格、图片等高级功能时延长至1—2小时</w:t>
      </w:r>
      <w:r>
        <w:t xml:space="preserve"> </w:t>
      </w:r>
      <w:r>
        <w:rPr>
          <w:vertAlign w:val="superscript"/>
        </w:rPr>
        <w:footnoteReference w:id="34"/>
      </w:r>
      <w:r>
        <w:t xml:space="preserve">。更关键的是，原生Markdown表格编辑被广泛评价为”awful”——</w:t>
      </w:r>
      <w:r>
        <w:t xml:space="preserve">“</w:t>
      </w:r>
      <w:r>
        <w:t xml:space="preserve">保持列对齐极其繁琐，添加一列意味着重新格式化每一行</w:t>
      </w:r>
      <w:r>
        <w:t xml:space="preserve">”</w:t>
      </w:r>
      <w:r>
        <w:t xml:space="preserve"> </w:t>
      </w:r>
      <w:fldSimple w:instr="NOTEREF _Ref_Footnote_4 \h \f">
        <w:r>
          <w:rPr>
            <w:vertAlign w:val="superscript"/>
          </w:rPr>
          <w:t>4</w:t>
        </w:r>
      </w:fldSimple>
      <w:r>
        <w:t xml:space="preserve">；图片插入的”截图→保存→写路径→验证”工作流同样被视为耗时且易错</w:t>
      </w:r>
      <w:r>
        <w:t xml:space="preserve"> </w:t>
      </w:r>
      <w:fldSimple w:instr="NOTEREF _Ref_Footnote_4 \h \f">
        <w:r>
          <w:rPr>
            <w:vertAlign w:val="superscript"/>
          </w:rPr>
          <w:t>4</w:t>
        </w:r>
      </w:fldSimple>
      <w:r>
        <w:t xml:space="preserve">。</w:t>
      </w:r>
    </w:p>
    <w:p>
      <w:pPr>
        <w:pStyle w:val="BodyText"/>
      </w:pPr>
      <w:r>
        <w:rPr>
          <w:bCs/>
          <w:b/>
        </w:rPr>
        <w:t xml:space="preserve">富媒体便捷插入</w:t>
      </w:r>
      <w:r>
        <w:t xml:space="preserve">是第二项核心诉求。设备SOP高度依赖视觉元素——操作界面截图（定位按钮/菜单）、设备照片（识别部件）、流程图（展示决策分支）以及参数表格（汇总设置项）。当前主流平台差异明显：飞书文档支持拖拽插入图片但不支持精确调整尺寸和浮动排版</w:t>
      </w:r>
      <w:r>
        <w:t xml:space="preserve"> </w:t>
      </w:r>
      <w:r>
        <w:rPr>
          <w:vertAlign w:val="superscript"/>
        </w:rPr>
        <w:footnoteReference w:id="35"/>
      </w:r>
      <w:r>
        <w:t xml:space="preserve">；飞书的多维表格单表支持1{,}000万行，提供公式计算和视图转换</w:t>
      </w:r>
      <w:r>
        <w:t xml:space="preserve"> </w:t>
      </w:r>
      <w:r>
        <w:rPr>
          <w:vertAlign w:val="superscript"/>
        </w:rPr>
        <w:footnoteReference w:id="36"/>
      </w:r>
      <w:r>
        <w:t xml:space="preserve">，在企业SOP表格场景中表现最优。</w:t>
      </w:r>
    </w:p>
    <w:p>
      <w:pPr>
        <w:pStyle w:val="BodyText"/>
      </w:pPr>
      <w:r>
        <w:t xml:space="preserve">第三，</w:t>
      </w:r>
      <w:r>
        <w:rPr>
          <w:bCs/>
          <w:b/>
        </w:rPr>
        <w:t xml:space="preserve">版本控制与协作审阅</w:t>
      </w:r>
      <w:r>
        <w:t xml:space="preserve">。2025年协作编辑状态报告显示，65%的受访者将协作工具评为”极其重要”或”非常重要”</w:t>
      </w:r>
      <w:r>
        <w:t xml:space="preserve"> </w:t>
      </w:r>
      <w:fldSimple w:instr="NOTEREF _Ref_Footnote_12 \h \f">
        <w:r>
          <w:rPr>
            <w:vertAlign w:val="superscript"/>
          </w:rPr>
          <w:t>12</w:t>
        </w:r>
      </w:fldSimple>
      <w:r>
        <w:t xml:space="preserve">。SOP的合规属性要求完整记录”谁在何时做了什么修改”并支持一键回滚。Confluence提供无限页面历史</w:t>
      </w:r>
      <w:r>
        <w:t xml:space="preserve"> </w:t>
      </w:r>
      <w:r>
        <w:rPr>
          <w:vertAlign w:val="superscript"/>
        </w:rPr>
        <w:footnoteReference w:id="37"/>
      </w:r>
      <w:r>
        <w:t xml:space="preserve">，飞书支持版本记录与快速回滚</w:t>
      </w:r>
      <w:r>
        <w:t xml:space="preserve"> </w:t>
      </w:r>
      <w:r>
        <w:rPr>
          <w:vertAlign w:val="superscript"/>
        </w:rPr>
        <w:footnoteReference w:id="38"/>
      </w:r>
      <w:r>
        <w:t xml:space="preserve">，而Notion Plus仅7天版本历史，存在治理风险</w:t>
      </w:r>
      <w:r>
        <w:t xml:space="preserve"> </w:t>
      </w:r>
      <w:fldSimple w:instr="NOTEREF _Ref_Footnote_37 \h \f">
        <w:r>
          <w:rPr>
            <w:vertAlign w:val="superscript"/>
          </w:rPr>
          <w:t>37</w:t>
        </w:r>
      </w:fldSimple>
      <w:r>
        <w:t xml:space="preserve">。</w:t>
      </w:r>
    </w:p>
    <w:bookmarkEnd w:id="24"/>
    <w:bookmarkStart w:id="25" w:name="图文并茂sop的特殊需求截图插入设备照片流程图示意图表格步骤"/>
    <w:p>
      <w:pPr>
        <w:pStyle w:val="Heading4"/>
      </w:pPr>
      <w:r>
        <w:t xml:space="preserve">1.1.2 图文并茂SOP的特殊需求：截图插入、设备照片、流程图/示意图、表格步骤</w:t>
      </w:r>
    </w:p>
    <w:p>
      <w:pPr>
        <w:pStyle w:val="FirstParagraph"/>
      </w:pPr>
      <w:r>
        <w:t xml:space="preserve">设备SOP区别于普通文本知识的核心特征是</w:t>
      </w:r>
      <w:r>
        <w:rPr>
          <w:bCs/>
          <w:b/>
        </w:rPr>
        <w:t xml:space="preserve">高图文密度</w:t>
      </w:r>
      <w:r>
        <w:t xml:space="preserve">。在图表工具方面，Mermaid在Markdown嵌入和LLM（Large Language Model，大语言模型）兼容性方面优于PlantUML，适合快速流程图和序列图；PlantUML则在复杂UML场景下更强</w:t>
      </w:r>
      <w:r>
        <w:t xml:space="preserve"> </w:t>
      </w:r>
      <w:r>
        <w:rPr>
          <w:vertAlign w:val="superscript"/>
        </w:rPr>
        <w:footnoteReference w:id="39"/>
      </w:r>
      <w:r>
        <w:t xml:space="preserve">。在表格方面，SOP步骤常以”步骤编号+操作描述+预期结果+注意事项”的表格形式组织，但原生Markdown不支持合并单元格、跨行/跨列——这对复杂设备参数表构成限制。</w:t>
      </w:r>
    </w:p>
    <w:bookmarkEnd w:id="25"/>
    <w:bookmarkStart w:id="26" w:name="企业级需求权限管理审批工作流审计追踪移动端支持"/>
    <w:p>
      <w:pPr>
        <w:pStyle w:val="Heading4"/>
      </w:pPr>
      <w:r>
        <w:t xml:space="preserve">1.1.3 企业级需求：权限管理、审批工作流、审计追踪、移动端支持</w:t>
      </w:r>
    </w:p>
    <w:p>
      <w:pPr>
        <w:pStyle w:val="FirstParagraph"/>
      </w:pPr>
      <w:r>
        <w:t xml:space="preserve">SOP的治理层面需求涵盖四个维度。</w:t>
      </w:r>
      <w:r>
        <w:rPr>
          <w:bCs/>
          <w:b/>
        </w:rPr>
        <w:t xml:space="preserve">权限管理</w:t>
      </w:r>
      <w:r>
        <w:t xml:space="preserve">要求支持空间级和页面级访问控制，Confluence可支持150{,}000用户/站点</w:t>
      </w:r>
      <w:r>
        <w:t xml:space="preserve"> </w:t>
      </w:r>
      <w:r>
        <w:rPr>
          <w:vertAlign w:val="superscript"/>
        </w:rPr>
        <w:footnoteReference w:id="40"/>
      </w:r>
      <w:r>
        <w:t xml:space="preserve">。</w:t>
      </w:r>
      <w:r>
        <w:rPr>
          <w:bCs/>
          <w:b/>
        </w:rPr>
        <w:t xml:space="preserve">审批工作流</w:t>
      </w:r>
      <w:r>
        <w:t xml:space="preserve">是合规核心——飞书通过审批应用支持自定义多节点并行审批</w:t>
      </w:r>
      <w:r>
        <w:t xml:space="preserve"> </w:t>
      </w:r>
      <w:r>
        <w:rPr>
          <w:vertAlign w:val="superscript"/>
        </w:rPr>
        <w:footnoteReference w:id="41"/>
      </w:r>
      <w:r>
        <w:t xml:space="preserve">；Confluence配合Comala插件提供Draft→SOP→SOP Validation→Published四阶段模板，并支持符合FDA 21 CFR Part 11的电子签名</w:t>
      </w:r>
      <w:r>
        <w:t xml:space="preserve"> </w:t>
      </w:r>
      <w:r>
        <w:rPr>
          <w:vertAlign w:val="superscript"/>
        </w:rPr>
        <w:footnoteReference w:id="42"/>
      </w:r>
      <w:r>
        <w:t xml:space="preserve"> </w:t>
      </w:r>
      <w:r>
        <w:rPr>
          <w:vertAlign w:val="superscript"/>
        </w:rPr>
        <w:footnoteReference w:id="43"/>
      </w:r>
      <w:r>
        <w:t xml:space="preserve">。</w:t>
      </w:r>
      <w:r>
        <w:rPr>
          <w:bCs/>
          <w:b/>
        </w:rPr>
        <w:t xml:space="preserve">移动端支持</w:t>
      </w:r>
      <w:r>
        <w:t xml:space="preserve">对现场作业至关重要，飞书支持完整离线编辑和Apple Pencil手写批注，采用”离线优先”策略确保弱网可用</w:t>
      </w:r>
      <w:r>
        <w:t xml:space="preserve"> </w:t>
      </w:r>
      <w:r>
        <w:rPr>
          <w:vertAlign w:val="superscript"/>
        </w:rPr>
        <w:footnoteReference w:id="44"/>
      </w:r>
      <w:r>
        <w:t xml:space="preserve"> </w:t>
      </w:r>
      <w:r>
        <w:rPr>
          <w:vertAlign w:val="superscript"/>
        </w:rPr>
        <w:footnoteReference w:id="45"/>
      </w:r>
      <w:r>
        <w:t xml:space="preserve">。</w:t>
      </w:r>
    </w:p>
    <w:bookmarkEnd w:id="26"/>
    <w:bookmarkEnd w:id="27"/>
    <w:bookmarkStart w:id="31" w:name="ai处理需求分析"/>
    <w:p>
      <w:pPr>
        <w:pStyle w:val="Heading3"/>
      </w:pPr>
      <w:r>
        <w:t xml:space="preserve">1.2 AI处理需求分析</w:t>
      </w:r>
    </w:p>
    <w:bookmarkStart w:id="28" w:name="rag检索需求结构清晰利于分块标题层级完整元数据丰富检索精度高"/>
    <w:p>
      <w:pPr>
        <w:pStyle w:val="Heading4"/>
      </w:pPr>
      <w:r>
        <w:t xml:space="preserve">1.2.1 RAG检索需求：结构清晰利于分块、标题层级完整、元数据丰富、检索精度高</w:t>
      </w:r>
    </w:p>
    <w:p>
      <w:pPr>
        <w:pStyle w:val="FirstParagraph"/>
      </w:pPr>
      <w:r>
        <w:t xml:space="preserve">RAG系统对文档结构高度敏感。基于Markdown标题层级的结构感知分块准确率达87%，固定大小分块仅为60—65%</w:t>
      </w:r>
      <w:r>
        <w:t xml:space="preserve"> </w:t>
      </w:r>
      <w:fldSimple w:instr="NOTEREF _Ref_Footnote_8 \h \f">
        <w:r>
          <w:rPr>
            <w:vertAlign w:val="superscript"/>
          </w:rPr>
          <w:t>8</w:t>
        </w:r>
      </w:fldSimple>
      <w:r>
        <w:t xml:space="preserve">；标题层次分块相比固定分块有30—49%的准确率提升</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。分块策略占RAG最终答案准确率的35%，是最大单一影响因素。元数据集成同样关键——递归分块配合TF-IDF加权嵌入达82.5%精度</w:t>
      </w:r>
      <w:r>
        <w:t xml:space="preserve"> </w:t>
      </w:r>
      <w:r>
        <w:rPr>
          <w:vertAlign w:val="superscript"/>
        </w:rPr>
        <w:footnoteReference w:id="46"/>
      </w:r>
      <w:r>
        <w:t xml:space="preserve">，前缀融合嵌入Hit Rate@10达0.925</w:t>
      </w:r>
      <w:r>
        <w:t xml:space="preserve"> </w:t>
      </w:r>
      <w:fldSimple w:instr="NOTEREF _Ref_Footnote_46 \h \f">
        <w:r>
          <w:rPr>
            <w:vertAlign w:val="superscript"/>
          </w:rPr>
          <w:t>46</w:t>
        </w:r>
      </w:fldSimple>
      <w:r>
        <w:t xml:space="preserve">。这意味着SOP文档需在YAML Front Matter中嵌入丰富元数据（标题、部门、版本、标签、状态），同时服务人类导航和AI检索过滤。</w:t>
      </w:r>
    </w:p>
    <w:bookmarkEnd w:id="28"/>
    <w:bookmarkStart w:id="29" w:name="X383a8c013a4475ad628743d5062cfa3027728a5"/>
    <w:p>
      <w:pPr>
        <w:pStyle w:val="Heading4"/>
      </w:pPr>
      <w:r>
        <w:t xml:space="preserve">1.2.2 Agent交互需求：结构化格式便于解析、MCP支持、function calling兼容、直接CRUD操作</w:t>
      </w:r>
    </w:p>
    <w:p>
      <w:pPr>
        <w:pStyle w:val="FirstParagraph"/>
      </w:pPr>
      <w:r>
        <w:t xml:space="preserve">MCP（Model Context Protocol，模型上下文协议）已成为Agent与文档交互的事实标准，获OpenAI、Google、Microsoft全面支持，Docling和飞书等平台已提供MCP Server。DesktopCommanderMCP支持DOCX完整CRUD，Adeu实现docx与Markdown双向翻译。这意味着文档正从被动被读取的对象转变为主动可被Agent操作的对象。短期内HITL（Human-in-the-Loop，人在环路）审核仍不可或缺——HITL文档工作流达99.9%准确率，纯AI系统为92%</w:t>
      </w:r>
      <w:r>
        <w:t xml:space="preserve"> </w:t>
      </w:r>
      <w:r>
        <w:rPr>
          <w:vertAlign w:val="superscript"/>
        </w:rPr>
        <w:footnoteReference w:id="47"/>
      </w:r>
      <w:r>
        <w:t xml:space="preserve">。</w:t>
      </w:r>
    </w:p>
    <w:bookmarkEnd w:id="29"/>
    <w:bookmarkStart w:id="30" w:name="文件解析需求格式统一减少信息丢失图片内容可理解表格结构保留"/>
    <w:p>
      <w:pPr>
        <w:pStyle w:val="Heading4"/>
      </w:pPr>
      <w:r>
        <w:t xml:space="preserve">1.2.3 文件解析需求：格式统一减少信息丢失、图片内容可理解、表格结构保留</w:t>
      </w:r>
    </w:p>
    <w:p>
      <w:pPr>
        <w:pStyle w:val="FirstParagraph"/>
      </w:pPr>
      <w:r>
        <w:t xml:space="preserve">转换工具生态的成熟度决定了AI友好化的可行性。MarkItDown F1准确率82%，速度12秒/百页</w:t>
      </w:r>
      <w:r>
        <w:t xml:space="preserve"> </w:t>
      </w:r>
      <w:fldSimple w:instr="NOTEREF _Ref_Footnote_11 \h \f">
        <w:r>
          <w:rPr>
            <w:vertAlign w:val="superscript"/>
          </w:rPr>
          <w:t>11</w:t>
        </w:r>
      </w:fldSimple>
      <w:r>
        <w:t xml:space="preserve">；Docling达88% F1，表格单元格准确率97.9%</w:t>
      </w:r>
      <w:r>
        <w:t xml:space="preserve"> </w:t>
      </w:r>
      <w:fldSimple w:instr="NOTEREF _Ref_Footnote_12 \h \f">
        <w:r>
          <w:rPr>
            <w:vertAlign w:val="superscript"/>
          </w:rPr>
          <w:t>12</w:t>
        </w:r>
      </w:fldSimple>
      <w:r>
        <w:t xml:space="preserve">；Pandoc支持40+种格式互转</w:t>
      </w:r>
      <w:r>
        <w:t xml:space="preserve"> </w:t>
      </w:r>
      <w:fldSimple w:instr="NOTEREF _Ref_Footnote_3 \h \f">
        <w:r>
          <w:rPr>
            <w:vertAlign w:val="superscript"/>
          </w:rPr>
          <w:t>3</w:t>
        </w:r>
      </w:fldSimple>
      <w:r>
        <w:t xml:space="preserve">。多模态RAG的成熟进一步降低了图片处理门槛：text-image fusion策略在UniDoc-Bench验证中最优（0.654），Qwen3-VL-Embedding在MMEB-V2排名第一，使得SOP中的截图和设备照片可直接被AI理解而无需手动标注。</w:t>
      </w:r>
    </w:p>
    <w:tbl>
      <w:tblPr>
        <w:tblStyle w:val="Table"/>
        <w:tblW w:type="pct" w:w="5000"/>
        <w:tblLook w:firstRow="1" w:lastRow="0" w:firstColumn="0" w:lastColumn="0" w:noHBand="0" w:noVBand="0" w:val="0020"/>
      </w:tblPr>
      <w:tblGrid>
        <w:gridCol w:w="1815"/>
        <w:gridCol w:w="3135"/>
        <w:gridCol w:w="1485"/>
        <w:gridCol w:w="1485"/>
      </w:tblGrid>
      <w:tr>
        <w:trPr>
          <w:tblHeader w:val="true"/>
        </w:trPr>
        <w:tc>
          <w:tcPr/>
          <w:p>
            <w:pPr>
              <w:pStyle w:val="Compact"/>
              <w:jc w:val="left"/>
            </w:pPr>
            <w:r>
              <w:t xml:space="preserve">AI处理维度</w:t>
            </w:r>
          </w:p>
        </w:tc>
        <w:tc>
          <w:tcPr/>
          <w:p>
            <w:pPr>
              <w:pStyle w:val="Compact"/>
              <w:jc w:val="left"/>
            </w:pPr>
            <w:r>
              <w:t xml:space="preserve">对文档格式的核心要求</w:t>
            </w:r>
          </w:p>
        </w:tc>
        <w:tc>
          <w:tcPr/>
          <w:p>
            <w:pPr>
              <w:pStyle w:val="Compact"/>
              <w:jc w:val="left"/>
            </w:pPr>
            <w:r>
              <w:t xml:space="preserve">量化影响</w:t>
            </w:r>
          </w:p>
        </w:tc>
        <w:tc>
          <w:tcPr/>
          <w:p>
            <w:pPr>
              <w:pStyle w:val="Compact"/>
              <w:jc w:val="left"/>
            </w:pPr>
            <w:r>
              <w:t xml:space="preserve">推荐实践</w:t>
            </w:r>
          </w:p>
        </w:tc>
      </w:tr>
      <w:tr>
        <w:tc>
          <w:tcPr/>
          <w:p>
            <w:pPr>
              <w:pStyle w:val="Compact"/>
              <w:jc w:val="left"/>
            </w:pPr>
            <w:r>
              <w:t xml:space="preserve">RAG分块</w:t>
            </w:r>
          </w:p>
        </w:tc>
        <w:tc>
          <w:tcPr/>
          <w:p>
            <w:pPr>
              <w:pStyle w:val="Compact"/>
              <w:jc w:val="left"/>
            </w:pPr>
            <w:r>
              <w:t xml:space="preserve">清晰标题层级（H1—H3）、独立完整段落</w:t>
            </w:r>
          </w:p>
        </w:tc>
        <w:tc>
          <w:tcPr/>
          <w:p>
            <w:pPr>
              <w:pStyle w:val="Compact"/>
              <w:jc w:val="left"/>
            </w:pPr>
            <w:r>
              <w:t xml:space="preserve">标题层次分块比固定分块提升30—49%</w:t>
            </w:r>
            <w:r>
              <w:t xml:space="preserve"> </w:t>
            </w:r>
            <w:fldSimple w:instr="NOTEREF _Ref_Footnote_1 \h \f">
              <w:r>
                <w:rPr>
                  <w:vertAlign w:val="superscript"/>
                </w:rPr>
                <w:t>1</w:t>
              </w:r>
            </w:fldSimple>
            <w:r>
              <w:t xml:space="preserve"> </w:t>
            </w:r>
            <w:fldSimple w:instr="NOTEREF _Ref_Footnote_2 \h \f">
              <w:r>
                <w:rPr>
                  <w:vertAlign w:val="superscript"/>
                </w:rPr>
                <w:t>2</w:t>
              </w:r>
            </w:fldSimple>
          </w:p>
        </w:tc>
        <w:tc>
          <w:tcPr/>
          <w:p>
            <w:pPr>
              <w:pStyle w:val="Compact"/>
              <w:jc w:val="left"/>
            </w:pPr>
            <w:r>
              <w:t xml:space="preserve">强制使用Markdown标题语法划分章节</w:t>
            </w:r>
          </w:p>
        </w:tc>
      </w:tr>
      <w:tr>
        <w:tc>
          <w:tcPr/>
          <w:p>
            <w:pPr>
              <w:pStyle w:val="Compact"/>
              <w:jc w:val="left"/>
            </w:pPr>
            <w:r>
              <w:t xml:space="preserve">元数据检索</w:t>
            </w:r>
          </w:p>
        </w:tc>
        <w:tc>
          <w:tcPr/>
          <w:p>
            <w:pPr>
              <w:pStyle w:val="Compact"/>
              <w:jc w:val="left"/>
            </w:pPr>
            <w:r>
              <w:t xml:space="preserve">丰富YAML Front Matter（部门/版本/标签/状态）</w:t>
            </w:r>
          </w:p>
        </w:tc>
        <w:tc>
          <w:tcPr/>
          <w:p>
            <w:pPr>
              <w:pStyle w:val="Compact"/>
              <w:jc w:val="left"/>
            </w:pPr>
            <w:r>
              <w:t xml:space="preserve">元数据集成+结构化分块达82.5%精度</w:t>
            </w:r>
            <w:r>
              <w:t xml:space="preserve"> </w:t>
            </w:r>
            <w:fldSimple w:instr="NOTEREF _Ref_Footnote_46 \h \f">
              <w:r>
                <w:rPr>
                  <w:vertAlign w:val="superscript"/>
                </w:rPr>
                <w:t>46</w:t>
              </w:r>
            </w:fldSimple>
          </w:p>
        </w:tc>
        <w:tc>
          <w:tcPr/>
          <w:p>
            <w:pPr>
              <w:pStyle w:val="Compact"/>
              <w:jc w:val="left"/>
            </w:pPr>
            <w:r>
              <w:t xml:space="preserve">制定SOP文档元数据Schema标准</w:t>
            </w:r>
          </w:p>
        </w:tc>
      </w:tr>
      <w:tr>
        <w:tc>
          <w:tcPr/>
          <w:p>
            <w:pPr>
              <w:pStyle w:val="Compact"/>
              <w:jc w:val="left"/>
            </w:pPr>
            <w:r>
              <w:t xml:space="preserve">Agent解析</w:t>
            </w:r>
          </w:p>
        </w:tc>
        <w:tc>
          <w:tcPr/>
          <w:p>
            <w:pPr>
              <w:pStyle w:val="Compact"/>
              <w:jc w:val="left"/>
            </w:pPr>
            <w:r>
              <w:t xml:space="preserve">结构化Markdown、MCP兼容接口</w:t>
            </w:r>
          </w:p>
        </w:tc>
        <w:tc>
          <w:tcPr/>
          <w:p>
            <w:pPr>
              <w:pStyle w:val="Compact"/>
              <w:jc w:val="left"/>
            </w:pPr>
            <w:r>
              <w:t xml:space="preserve">Markdown减少67—90% token消耗</w:t>
            </w:r>
            <w:r>
              <w:t xml:space="preserve"> </w:t>
            </w:r>
            <w:r>
              <w:rPr>
                <w:vertAlign w:val="superscript"/>
              </w:rPr>
              <w:footnoteReference w:id="48"/>
            </w:r>
            <w:r>
              <w:t xml:space="preserve"> </w:t>
            </w:r>
            <w:r>
              <w:rPr>
                <w:vertAlign w:val="superscript"/>
              </w:rPr>
              <w:footnoteReference w:id="49"/>
            </w:r>
          </w:p>
        </w:tc>
        <w:tc>
          <w:tcPr/>
          <w:p>
            <w:pPr>
              <w:pStyle w:val="Compact"/>
              <w:jc w:val="left"/>
            </w:pPr>
            <w:r>
              <w:t xml:space="preserve">Markdown作为存储格式，MCP Server作为访问接口</w:t>
            </w:r>
          </w:p>
        </w:tc>
      </w:tr>
      <w:tr>
        <w:tc>
          <w:tcPr/>
          <w:p>
            <w:pPr>
              <w:pStyle w:val="Compact"/>
              <w:jc w:val="left"/>
            </w:pPr>
            <w:r>
              <w:t xml:space="preserve">表格保留</w:t>
            </w:r>
          </w:p>
        </w:tc>
        <w:tc>
          <w:tcPr/>
          <w:p>
            <w:pPr>
              <w:pStyle w:val="Compact"/>
              <w:jc w:val="left"/>
            </w:pPr>
            <w:r>
              <w:t xml:space="preserve">标准Markdown表格或HTML回退</w:t>
            </w:r>
          </w:p>
        </w:tc>
        <w:tc>
          <w:tcPr/>
          <w:p>
            <w:pPr>
              <w:pStyle w:val="Compact"/>
              <w:jc w:val="left"/>
            </w:pPr>
            <w:r>
              <w:t xml:space="preserve">Docling表格单元格准确率97.9%</w:t>
            </w:r>
            <w:r>
              <w:t xml:space="preserve"> </w:t>
            </w:r>
            <w:fldSimple w:instr="NOTEREF _Ref_Footnote_12 \h \f">
              <w:r>
                <w:rPr>
                  <w:vertAlign w:val="superscript"/>
                </w:rPr>
                <w:t>12</w:t>
              </w:r>
            </w:fldSimple>
          </w:p>
        </w:tc>
        <w:tc>
          <w:tcPr/>
          <w:p>
            <w:pPr>
              <w:pStyle w:val="Compact"/>
              <w:jc w:val="left"/>
            </w:pPr>
            <w:r>
              <w:t xml:space="preserve">保持表格结构简单，避免复杂合并单元格</w:t>
            </w:r>
          </w:p>
        </w:tc>
      </w:tr>
      <w:tr>
        <w:tc>
          <w:tcPr/>
          <w:p>
            <w:pPr>
              <w:pStyle w:val="Compact"/>
              <w:jc w:val="left"/>
            </w:pPr>
            <w:r>
              <w:t xml:space="preserve">图片理解</w:t>
            </w:r>
          </w:p>
        </w:tc>
        <w:tc>
          <w:tcPr/>
          <w:p>
            <w:pPr>
              <w:pStyle w:val="Compact"/>
              <w:jc w:val="left"/>
            </w:pPr>
            <w:r>
              <w:t xml:space="preserve">图片路径可解析、多模态RAG支持</w:t>
            </w:r>
          </w:p>
        </w:tc>
        <w:tc>
          <w:tcPr/>
          <w:p>
            <w:pPr>
              <w:pStyle w:val="Compact"/>
              <w:jc w:val="left"/>
            </w:pPr>
            <w:r>
              <w:t xml:space="preserve">视觉RAG比文本RAG高22个百分点</w:t>
            </w:r>
          </w:p>
        </w:tc>
        <w:tc>
          <w:tcPr/>
          <w:p>
            <w:pPr>
              <w:pStyle w:val="Compact"/>
              <w:jc w:val="left"/>
            </w:pPr>
            <w:r>
              <w:t xml:space="preserve">使用相对路径存储图片，配合多模态Embedding</w:t>
            </w:r>
          </w:p>
        </w:tc>
      </w:tr>
    </w:tbl>
    <w:p>
      <w:pPr>
        <w:pStyle w:val="BodyText"/>
      </w:pPr>
      <w:r>
        <w:t xml:space="preserve">上表汇总了AI处理对SOP文档的五项核心要求。五项要求之间存在内在关联：清晰的标题层级同时服务分块质量和人类导航；丰富的元数据同时服务检索过滤和文档治理；Markdown统一格式同时降低Agent解析难度和版本控制复杂度。因此，</w:t>
      </w:r>
      <w:r>
        <w:t xml:space="preserve">“</w:t>
      </w:r>
      <w:r>
        <w:t xml:space="preserve">结构规范</w:t>
      </w:r>
      <w:r>
        <w:t xml:space="preserve">”</w:t>
      </w:r>
      <w:r>
        <w:t xml:space="preserve">而非”格式选择”本身，才是连接人类需求与AI需求的最小公分母。</w:t>
      </w:r>
    </w:p>
    <w:bookmarkEnd w:id="30"/>
    <w:bookmarkEnd w:id="31"/>
    <w:bookmarkStart w:id="35" w:name="需求冲突与平衡策略"/>
    <w:p>
      <w:pPr>
        <w:pStyle w:val="Heading3"/>
      </w:pPr>
      <w:r>
        <w:t xml:space="preserve">1.3 需求冲突与平衡策略</w:t>
      </w:r>
    </w:p>
    <w:bookmarkStart w:id="32" w:name="核心矛盾markdown对ai友好但对人类编辑不友好"/>
    <w:p>
      <w:pPr>
        <w:pStyle w:val="Heading4"/>
      </w:pPr>
      <w:r>
        <w:t xml:space="preserve">1.3.1 核心矛盾：Markdown对AI友好但对人类编辑不友好</w:t>
      </w:r>
    </w:p>
    <w:p>
      <w:pPr>
        <w:pStyle w:val="FirstParagraph"/>
      </w:pPr>
      <w:r>
        <w:t xml:space="preserve">交叉验证确认了一个核心矛盾：Markdown对AI最友好（减少67—90% token消耗</w:t>
      </w:r>
      <w:r>
        <w:t xml:space="preserve"> </w:t>
      </w:r>
      <w:fldSimple w:instr="NOTEREF _Ref_Footnote_48 \h \f">
        <w:r>
          <w:rPr>
            <w:vertAlign w:val="superscript"/>
          </w:rPr>
          <w:t>48</w:t>
        </w:r>
      </w:fldSimple>
      <w:r>
        <w:t xml:space="preserve"> </w:t>
      </w:r>
      <w:fldSimple w:instr="NOTEREF _Ref_Footnote_49 \h \f">
        <w:r>
          <w:rPr>
            <w:vertAlign w:val="superscript"/>
          </w:rPr>
          <w:t>49</w:t>
        </w:r>
      </w:fldSimple>
      <w:r>
        <w:t xml:space="preserve">、RAG准确率提升35%</w:t>
      </w:r>
      <w:r>
        <w:t xml:space="preserve"> </w:t>
      </w:r>
      <w:r>
        <w:rPr>
          <w:vertAlign w:val="superscript"/>
        </w:rPr>
        <w:footnoteReference w:id="50"/>
      </w:r>
      <w:r>
        <w:t xml:space="preserve">），但对人类编辑（尤其图文并茂的SOP）不够友好——表格编辑”awful”、图片插入”friction高”</w:t>
      </w:r>
      <w:r>
        <w:t xml:space="preserve"> </w:t>
      </w:r>
      <w:fldSimple w:instr="NOTEREF _Ref_Footnote_4 \h \f">
        <w:r>
          <w:rPr>
            <w:vertAlign w:val="superscript"/>
          </w:rPr>
          <w:t>4</w:t>
        </w:r>
      </w:fldSimple>
      <w:r>
        <w:t xml:space="preserve">。飞书/Notion等富文本平台在图片/表格编辑方面全面领先于原生Markdown编辑器</w:t>
      </w:r>
      <w:r>
        <w:t xml:space="preserve"> </w:t>
      </w:r>
      <w:fldSimple w:instr="NOTEREF _Ref_Footnote_37 \h \f">
        <w:r>
          <w:rPr>
            <w:vertAlign w:val="superscript"/>
          </w:rPr>
          <w:t>37</w:t>
        </w:r>
      </w:fldSimple>
      <w:r>
        <w:t xml:space="preserve">。</w:t>
      </w:r>
    </w:p>
    <w:tbl>
      <w:tblPr>
        <w:tblStyle w:val="Table"/>
        <w:tblW w:type="pct" w:w="5000"/>
        <w:tblLook w:firstRow="1" w:lastRow="0" w:firstColumn="0" w:lastColumn="0" w:noHBand="0" w:noVBand="0" w:val="0020"/>
      </w:tblPr>
      <w:tblGrid>
        <w:gridCol w:w="1344"/>
        <w:gridCol w:w="1643"/>
        <w:gridCol w:w="1344"/>
        <w:gridCol w:w="1344"/>
        <w:gridCol w:w="2241"/>
      </w:tblGrid>
      <w:tr>
        <w:trPr>
          <w:tblHeader w:val="true"/>
        </w:trPr>
        <w:tc>
          <w:tcPr/>
          <w:p>
            <w:pPr>
              <w:pStyle w:val="Compact"/>
              <w:jc w:val="left"/>
            </w:pPr>
            <w:r>
              <w:t xml:space="preserve">需求维度</w:t>
            </w:r>
          </w:p>
        </w:tc>
        <w:tc>
          <w:tcPr/>
          <w:p>
            <w:pPr>
              <w:pStyle w:val="Compact"/>
              <w:jc w:val="left"/>
            </w:pPr>
            <w:r>
              <w:t xml:space="preserve">人类优先级</w:t>
            </w:r>
          </w:p>
        </w:tc>
        <w:tc>
          <w:tcPr/>
          <w:p>
            <w:pPr>
              <w:pStyle w:val="Compact"/>
              <w:jc w:val="left"/>
            </w:pPr>
            <w:r>
              <w:t xml:space="preserve">AI优先级</w:t>
            </w:r>
          </w:p>
        </w:tc>
        <w:tc>
          <w:tcPr/>
          <w:p>
            <w:pPr>
              <w:pStyle w:val="Compact"/>
              <w:jc w:val="left"/>
            </w:pPr>
            <w:r>
              <w:t xml:space="preserve">冲突强度</w:t>
            </w:r>
          </w:p>
        </w:tc>
        <w:tc>
          <w:tcPr/>
          <w:p>
            <w:pPr>
              <w:pStyle w:val="Compact"/>
              <w:jc w:val="left"/>
            </w:pPr>
            <w:r>
              <w:t xml:space="preserve">当前最优妥协方案</w:t>
            </w:r>
          </w:p>
        </w:tc>
      </w:tr>
      <w:tr>
        <w:tc>
          <w:tcPr/>
          <w:p>
            <w:pPr>
              <w:pStyle w:val="Compact"/>
              <w:jc w:val="left"/>
            </w:pPr>
            <w:r>
              <w:t xml:space="preserve">WYSIWYG编辑体验</w:t>
            </w:r>
          </w:p>
        </w:tc>
        <w:tc>
          <w:tcPr/>
          <w:p>
            <w:pPr>
              <w:pStyle w:val="Compact"/>
              <w:jc w:val="left"/>
            </w:pPr>
            <w:r>
              <w:t xml:space="preserve">极高</w:t>
            </w:r>
          </w:p>
        </w:tc>
        <w:tc>
          <w:tcPr/>
          <w:p>
            <w:pPr>
              <w:pStyle w:val="Compact"/>
              <w:jc w:val="left"/>
            </w:pPr>
            <w:r>
              <w:t xml:space="preserve">无</w:t>
            </w:r>
          </w:p>
        </w:tc>
        <w:tc>
          <w:tcPr/>
          <w:p>
            <w:pPr>
              <w:pStyle w:val="Compact"/>
              <w:jc w:val="left"/>
            </w:pPr>
            <w:r>
              <w:t xml:space="preserve">无冲突</w:t>
            </w:r>
          </w:p>
        </w:tc>
        <w:tc>
          <w:tcPr/>
          <w:p>
            <w:pPr>
              <w:pStyle w:val="Compact"/>
              <w:jc w:val="left"/>
            </w:pPr>
            <w:r>
              <w:t xml:space="preserve">富文本编辑器（飞书/Notion）</w:t>
            </w:r>
          </w:p>
        </w:tc>
      </w:tr>
      <w:tr>
        <w:tc>
          <w:tcPr/>
          <w:p>
            <w:pPr>
              <w:pStyle w:val="Compact"/>
              <w:jc w:val="left"/>
            </w:pPr>
            <w:r>
              <w:t xml:space="preserve">图片拖拽插入</w:t>
            </w:r>
          </w:p>
        </w:tc>
        <w:tc>
          <w:tcPr/>
          <w:p>
            <w:pPr>
              <w:pStyle w:val="Compact"/>
              <w:jc w:val="left"/>
            </w:pPr>
            <w:r>
              <w:t xml:space="preserve">极高</w:t>
            </w:r>
          </w:p>
        </w:tc>
        <w:tc>
          <w:tcPr/>
          <w:p>
            <w:pPr>
              <w:pStyle w:val="Compact"/>
              <w:jc w:val="left"/>
            </w:pPr>
            <w:r>
              <w:t xml:space="preserve">中</w:t>
            </w:r>
          </w:p>
        </w:tc>
        <w:tc>
          <w:tcPr/>
          <w:p>
            <w:pPr>
              <w:pStyle w:val="Compact"/>
              <w:jc w:val="left"/>
            </w:pPr>
            <w:r>
              <w:rPr>
                <w:bCs/>
                <w:b/>
              </w:rPr>
              <w:t xml:space="preserve">中等</w:t>
            </w:r>
          </w:p>
        </w:tc>
        <w:tc>
          <w:tcPr/>
          <w:p>
            <w:pPr>
              <w:pStyle w:val="Compact"/>
              <w:jc w:val="left"/>
            </w:pPr>
            <w:r>
              <w:t xml:space="preserve">WYSIWYG编辑器自动生成Markdown图片链接</w:t>
            </w:r>
          </w:p>
        </w:tc>
      </w:tr>
      <w:tr>
        <w:tc>
          <w:tcPr/>
          <w:p>
            <w:pPr>
              <w:pStyle w:val="Compact"/>
              <w:jc w:val="left"/>
            </w:pPr>
            <w:r>
              <w:t xml:space="preserve">表格可视化编辑</w:t>
            </w:r>
          </w:p>
        </w:tc>
        <w:tc>
          <w:tcPr/>
          <w:p>
            <w:pPr>
              <w:pStyle w:val="Compact"/>
              <w:jc w:val="left"/>
            </w:pPr>
            <w:r>
              <w:t xml:space="preserve">高</w:t>
            </w:r>
          </w:p>
        </w:tc>
        <w:tc>
          <w:tcPr/>
          <w:p>
            <w:pPr>
              <w:pStyle w:val="Compact"/>
              <w:jc w:val="left"/>
            </w:pPr>
            <w:r>
              <w:t xml:space="preserve">中</w:t>
            </w:r>
          </w:p>
        </w:tc>
        <w:tc>
          <w:tcPr/>
          <w:p>
            <w:pPr>
              <w:pStyle w:val="Compact"/>
              <w:jc w:val="left"/>
            </w:pPr>
            <w:r>
              <w:rPr>
                <w:bCs/>
                <w:b/>
              </w:rPr>
              <w:t xml:space="preserve">高</w:t>
            </w:r>
          </w:p>
        </w:tc>
        <w:tc>
          <w:tcPr/>
          <w:p>
            <w:pPr>
              <w:pStyle w:val="Compact"/>
              <w:jc w:val="left"/>
            </w:pPr>
            <w:r>
              <w:t xml:space="preserve">图形化表格编辑器+标准Markdown表格输出</w:t>
            </w:r>
          </w:p>
        </w:tc>
      </w:tr>
      <w:tr>
        <w:tc>
          <w:tcPr/>
          <w:p>
            <w:pPr>
              <w:pStyle w:val="Compact"/>
              <w:jc w:val="left"/>
            </w:pPr>
            <w:r>
              <w:t xml:space="preserve">版本控制与审计</w:t>
            </w:r>
          </w:p>
        </w:tc>
        <w:tc>
          <w:tcPr/>
          <w:p>
            <w:pPr>
              <w:pStyle w:val="Compact"/>
              <w:jc w:val="left"/>
            </w:pPr>
            <w:r>
              <w:t xml:space="preserve">高</w:t>
            </w:r>
          </w:p>
        </w:tc>
        <w:tc>
          <w:tcPr/>
          <w:p>
            <w:pPr>
              <w:pStyle w:val="Compact"/>
              <w:jc w:val="left"/>
            </w:pPr>
            <w:r>
              <w:t xml:space="preserve">低</w:t>
            </w:r>
          </w:p>
        </w:tc>
        <w:tc>
          <w:tcPr/>
          <w:p>
            <w:pPr>
              <w:pStyle w:val="Compact"/>
              <w:jc w:val="left"/>
            </w:pPr>
            <w:r>
              <w:t xml:space="preserve">低冲突</w:t>
            </w:r>
          </w:p>
        </w:tc>
        <w:tc>
          <w:tcPr/>
          <w:p>
            <w:pPr>
              <w:pStyle w:val="Compact"/>
              <w:jc w:val="left"/>
            </w:pPr>
            <w:r>
              <w:t xml:space="preserve">Git或平台原生版本历史</w:t>
            </w:r>
          </w:p>
        </w:tc>
      </w:tr>
      <w:tr>
        <w:tc>
          <w:tcPr/>
          <w:p>
            <w:pPr>
              <w:pStyle w:val="Compact"/>
              <w:jc w:val="left"/>
            </w:pPr>
            <w:r>
              <w:t xml:space="preserve">实时协作</w:t>
            </w:r>
          </w:p>
        </w:tc>
        <w:tc>
          <w:tcPr/>
          <w:p>
            <w:pPr>
              <w:pStyle w:val="Compact"/>
              <w:jc w:val="left"/>
            </w:pPr>
            <w:r>
              <w:t xml:space="preserve">高</w:t>
            </w:r>
          </w:p>
        </w:tc>
        <w:tc>
          <w:tcPr/>
          <w:p>
            <w:pPr>
              <w:pStyle w:val="Compact"/>
              <w:jc w:val="left"/>
            </w:pPr>
            <w:r>
              <w:t xml:space="preserve">无</w:t>
            </w:r>
          </w:p>
        </w:tc>
        <w:tc>
          <w:tcPr/>
          <w:p>
            <w:pPr>
              <w:pStyle w:val="Compact"/>
              <w:jc w:val="left"/>
            </w:pPr>
            <w:r>
              <w:t xml:space="preserve">无冲突</w:t>
            </w:r>
          </w:p>
        </w:tc>
        <w:tc>
          <w:tcPr/>
          <w:p>
            <w:pPr>
              <w:pStyle w:val="Compact"/>
              <w:jc w:val="left"/>
            </w:pPr>
            <w:r>
              <w:t xml:space="preserve">块编辑器+OT/CRDT技术</w:t>
            </w:r>
          </w:p>
        </w:tc>
      </w:tr>
      <w:tr>
        <w:tc>
          <w:tcPr/>
          <w:p>
            <w:pPr>
              <w:pStyle w:val="Compact"/>
              <w:jc w:val="left"/>
            </w:pPr>
            <w:r>
              <w:t xml:space="preserve">标题层级结构</w:t>
            </w:r>
          </w:p>
        </w:tc>
        <w:tc>
          <w:tcPr/>
          <w:p>
            <w:pPr>
              <w:pStyle w:val="Compact"/>
              <w:jc w:val="left"/>
            </w:pPr>
            <w:r>
              <w:t xml:space="preserve">中</w:t>
            </w:r>
          </w:p>
        </w:tc>
        <w:tc>
          <w:tcPr/>
          <w:p>
            <w:pPr>
              <w:pStyle w:val="Compact"/>
              <w:jc w:val="left"/>
            </w:pPr>
            <w:r>
              <w:t xml:space="preserve">极高</w:t>
            </w:r>
          </w:p>
        </w:tc>
        <w:tc>
          <w:tcPr/>
          <w:p>
            <w:pPr>
              <w:pStyle w:val="Compact"/>
              <w:jc w:val="left"/>
            </w:pPr>
            <w:r>
              <w:rPr>
                <w:bCs/>
                <w:b/>
              </w:rPr>
              <w:t xml:space="preserve">中等</w:t>
            </w:r>
          </w:p>
        </w:tc>
        <w:tc>
          <w:tcPr/>
          <w:p>
            <w:pPr>
              <w:pStyle w:val="Compact"/>
              <w:jc w:val="left"/>
            </w:pPr>
            <w:r>
              <w:t xml:space="preserve">强制结构规范+编辑器自动校验</w:t>
            </w:r>
          </w:p>
        </w:tc>
      </w:tr>
      <w:tr>
        <w:tc>
          <w:tcPr/>
          <w:p>
            <w:pPr>
              <w:pStyle w:val="Compact"/>
              <w:jc w:val="left"/>
            </w:pPr>
            <w:r>
              <w:t xml:space="preserve">元数据丰富度</w:t>
            </w:r>
          </w:p>
        </w:tc>
        <w:tc>
          <w:tcPr/>
          <w:p>
            <w:pPr>
              <w:pStyle w:val="Compact"/>
              <w:jc w:val="left"/>
            </w:pPr>
            <w:r>
              <w:t xml:space="preserve">中</w:t>
            </w:r>
          </w:p>
        </w:tc>
        <w:tc>
          <w:tcPr/>
          <w:p>
            <w:pPr>
              <w:pStyle w:val="Compact"/>
              <w:jc w:val="left"/>
            </w:pPr>
            <w:r>
              <w:t xml:space="preserve">极高</w:t>
            </w:r>
          </w:p>
        </w:tc>
        <w:tc>
          <w:tcPr/>
          <w:p>
            <w:pPr>
              <w:pStyle w:val="Compact"/>
              <w:jc w:val="left"/>
            </w:pPr>
            <w:r>
              <w:t xml:space="preserve">低冲突</w:t>
            </w:r>
          </w:p>
        </w:tc>
        <w:tc>
          <w:tcPr/>
          <w:p>
            <w:pPr>
              <w:pStyle w:val="Compact"/>
              <w:jc w:val="left"/>
            </w:pPr>
            <w:r>
              <w:t xml:space="preserve">YAML Front Matter模板化</w:t>
            </w:r>
          </w:p>
        </w:tc>
      </w:tr>
      <w:tr>
        <w:tc>
          <w:tcPr/>
          <w:p>
            <w:pPr>
              <w:pStyle w:val="Compact"/>
              <w:jc w:val="left"/>
            </w:pPr>
            <w:r>
              <w:t xml:space="preserve">Markdown纯文本</w:t>
            </w:r>
          </w:p>
        </w:tc>
        <w:tc>
          <w:tcPr/>
          <w:p>
            <w:pPr>
              <w:pStyle w:val="Compact"/>
              <w:jc w:val="left"/>
            </w:pPr>
            <w:r>
              <w:t xml:space="preserve">低</w:t>
            </w:r>
          </w:p>
        </w:tc>
        <w:tc>
          <w:tcPr/>
          <w:p>
            <w:pPr>
              <w:pStyle w:val="Compact"/>
              <w:jc w:val="left"/>
            </w:pPr>
            <w:r>
              <w:t xml:space="preserve">极高</w:t>
            </w:r>
          </w:p>
        </w:tc>
        <w:tc>
          <w:tcPr/>
          <w:p>
            <w:pPr>
              <w:pStyle w:val="Compact"/>
              <w:jc w:val="left"/>
            </w:pPr>
            <w:r>
              <w:rPr>
                <w:bCs/>
                <w:b/>
              </w:rPr>
              <w:t xml:space="preserve">高</w:t>
            </w:r>
          </w:p>
        </w:tc>
        <w:tc>
          <w:tcPr/>
          <w:p>
            <w:pPr>
              <w:pStyle w:val="Compact"/>
              <w:jc w:val="left"/>
            </w:pPr>
            <w:r>
              <w:t xml:space="preserve">隐藏Markdown，仅作为存储层</w:t>
            </w:r>
          </w:p>
        </w:tc>
      </w:tr>
      <w:tr>
        <w:tc>
          <w:tcPr/>
          <w:p>
            <w:pPr>
              <w:pStyle w:val="Compact"/>
              <w:jc w:val="left"/>
            </w:pPr>
            <w:r>
              <w:t xml:space="preserve">Agent直接操作</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中等</w:t>
            </w:r>
          </w:p>
        </w:tc>
        <w:tc>
          <w:tcPr/>
          <w:p>
            <w:pPr>
              <w:pStyle w:val="Compact"/>
              <w:jc w:val="left"/>
            </w:pPr>
            <w:r>
              <w:t xml:space="preserve">MCP Server封装文档操作</w:t>
            </w:r>
          </w:p>
        </w:tc>
      </w:tr>
      <w:tr>
        <w:tc>
          <w:tcPr/>
          <w:p>
            <w:pPr>
              <w:pStyle w:val="Compact"/>
              <w:jc w:val="left"/>
            </w:pPr>
            <w:r>
              <w:t xml:space="preserve">离线/移动端编辑</w:t>
            </w:r>
          </w:p>
        </w:tc>
        <w:tc>
          <w:tcPr/>
          <w:p>
            <w:pPr>
              <w:pStyle w:val="Compact"/>
              <w:jc w:val="left"/>
            </w:pPr>
            <w:r>
              <w:t xml:space="preserve">高</w:t>
            </w:r>
          </w:p>
        </w:tc>
        <w:tc>
          <w:tcPr/>
          <w:p>
            <w:pPr>
              <w:pStyle w:val="Compact"/>
              <w:jc w:val="left"/>
            </w:pPr>
            <w:r>
              <w:t xml:space="preserve">无</w:t>
            </w:r>
          </w:p>
        </w:tc>
        <w:tc>
          <w:tcPr/>
          <w:p>
            <w:pPr>
              <w:pStyle w:val="Compact"/>
              <w:jc w:val="left"/>
            </w:pPr>
            <w:r>
              <w:t xml:space="preserve">无冲突</w:t>
            </w:r>
          </w:p>
        </w:tc>
        <w:tc>
          <w:tcPr/>
          <w:p>
            <w:pPr>
              <w:pStyle w:val="Compact"/>
              <w:jc w:val="left"/>
            </w:pPr>
            <w:r>
              <w:t xml:space="preserve">离线优先的移动端APP</w:t>
            </w:r>
          </w:p>
        </w:tc>
      </w:tr>
    </w:tbl>
    <w:p>
      <w:pPr>
        <w:pStyle w:val="BodyText"/>
      </w:pPr>
      <w:r>
        <w:t xml:space="preserve">矩阵揭示了三个关键模式。其一，冲突强度最高的区域集中在”表格编辑”和”Markdown纯文本”两项——前者直接影响工程师编写效率，后者决定AI处理的token成本和解析精度。其二，约半数维度的冲突强度较低，因为现代协作平台已能同时满足双方诉求。其三，所有高冲突项都指向同一个解决方向：通过”WYSIWYG前端+Markdown后端+自动转换管道”的架构将人与AI的需求分层处理。</w:t>
      </w:r>
    </w:p>
    <w:bookmarkEnd w:id="32"/>
    <w:bookmarkStart w:id="33" w:name="平衡原则结构规范作为最小公分母"/>
    <w:p>
      <w:pPr>
        <w:pStyle w:val="Heading4"/>
      </w:pPr>
      <w:r>
        <w:t xml:space="preserve">1.3.2 平衡原则：结构规范作为最小公分母</w:t>
      </w:r>
    </w:p>
    <w:p>
      <w:pPr>
        <w:pStyle w:val="FirstParagraph"/>
      </w:pPr>
      <w:r>
        <w:t xml:space="preserve">本报告提出以”结构规范”作为人类需求与AI需求的最小公分母（Least Common Denominator）。其核心逻辑在于：人类阅读SOP需要清晰的标题来导航、独立完整的步骤来跟随；AI处理SOP需要结构边界来做分块、元数据来做过滤——两者对”结构”的需求高度一致。具体包含三个层面：</w:t>
      </w:r>
      <w:r>
        <w:rPr>
          <w:bCs/>
          <w:b/>
        </w:rPr>
        <w:t xml:space="preserve">标题层级规范</w:t>
      </w:r>
      <w:r>
        <w:t xml:space="preserve">（强制H1/H2/H3划分，确保结构感知分块有效）、</w:t>
      </w:r>
      <w:r>
        <w:rPr>
          <w:bCs/>
          <w:b/>
        </w:rPr>
        <w:t xml:space="preserve">段落独立性规范</w:t>
      </w:r>
      <w:r>
        <w:t xml:space="preserve">（每段自包含，避免跨段落指代依赖）、</w:t>
      </w:r>
      <w:r>
        <w:rPr>
          <w:bCs/>
          <w:b/>
        </w:rPr>
        <w:t xml:space="preserve">元数据标准</w:t>
      </w:r>
      <w:r>
        <w:t xml:space="preserve">（统一YAML Front Matter Schema）。在这些约束之上，人类编辑层可自由选择WYSIWYG编辑器，AI处理层可稳定解析Markdown输出——双方通过结构规范实现解耦。</w:t>
      </w:r>
    </w:p>
    <w:bookmarkEnd w:id="33"/>
    <w:bookmarkStart w:id="34" w:name="X56f8554fce8b3436f3df902667ae72081d9d1f9"/>
    <w:p>
      <w:pPr>
        <w:pStyle w:val="Heading4"/>
      </w:pPr>
      <w:r>
        <w:t xml:space="preserve">1.3.3 偏向人类需求前提下的AI友好化策略：WYSIWYG前端+Markdown后端+自动转换管道</w:t>
      </w:r>
    </w:p>
    <w:p>
      <w:pPr>
        <w:pStyle w:val="FirstParagraph"/>
      </w:pPr>
      <w:r>
        <w:t xml:space="preserve">在”偏向方便人的需求”这一核心约束下，推荐策略是三层架构：</w:t>
      </w:r>
      <w:r>
        <w:rPr>
          <w:bCs/>
          <w:b/>
        </w:rPr>
        <w:t xml:space="preserve">WYSIWYG编辑器作为人类交互界面 → Markdown作为标准化存储格式（Single Source of Truth） → 自动化转换管道桥接两者</w:t>
      </w:r>
      <w:r>
        <w:t xml:space="preserve">。技术可行性已获验证：Milkdown基于ProseMirror+Remark实现100%准确的Markdown双向解析</w:t>
      </w:r>
      <w:r>
        <w:t xml:space="preserve"> </w:t>
      </w:r>
      <w:r>
        <w:rPr>
          <w:vertAlign w:val="superscript"/>
        </w:rPr>
        <w:footnoteReference w:id="51"/>
      </w:r>
      <w:r>
        <w:t xml:space="preserve"> </w:t>
      </w:r>
      <w:r>
        <w:rPr>
          <w:vertAlign w:val="superscript"/>
        </w:rPr>
        <w:footnoteReference w:id="52"/>
      </w:r>
      <w:r>
        <w:t xml:space="preserve">；Pandoc支持40+种格式互转</w:t>
      </w:r>
      <w:r>
        <w:t xml:space="preserve"> </w:t>
      </w:r>
      <w:fldSimple w:instr="NOTEREF _Ref_Footnote_3 \h \f">
        <w:r>
          <w:rPr>
            <w:vertAlign w:val="superscript"/>
          </w:rPr>
          <w:t>3</w:t>
        </w:r>
      </w:fldSimple>
      <w:r>
        <w:t xml:space="preserve">；MarkItDown以82% F1和12秒/百页实现高效转换</w:t>
      </w:r>
      <w:r>
        <w:t xml:space="preserve"> </w:t>
      </w:r>
      <w:fldSimple w:instr="NOTEREF _Ref_Footnote_11 \h \f">
        <w:r>
          <w:rPr>
            <w:vertAlign w:val="superscript"/>
          </w:rPr>
          <w:t>11</w:t>
        </w:r>
      </w:fldSimple>
      <w:r>
        <w:t xml:space="preserve">；飞书2026年5月原生支持Markdown导出</w:t>
      </w:r>
      <w:r>
        <w:t xml:space="preserve"> </w:t>
      </w:r>
      <w:fldSimple w:instr="NOTEREF _Ref_Footnote_5 \h \f">
        <w:r>
          <w:rPr>
            <w:vertAlign w:val="superscript"/>
          </w:rPr>
          <w:t>5</w:t>
        </w:r>
      </w:fldSimple>
      <w:r>
        <w:t xml:space="preserve">，正式承认”富文本编辑→Markdown存储→AI处理”管道的合理性。</w:t>
      </w:r>
    </w:p>
    <w:p>
      <w:pPr>
        <w:pStyle w:val="BodyText"/>
      </w:pPr>
      <w:r>
        <w:t xml:space="preserve">在SOP场景中，该架构的运作方式是：工程师通过飞书文档等WYSIWYG工具编写图文并茂的SOP，系统自动同步到Git仓库的Markdown文件；CI/CD管道触发Pandoc/MarkItDown转换生成标准化Markdown；RAG系统执行标题层次分块、元数据提取和向量嵌入；AI Agent通过MCP Server操作底层Markdown实现CRUD功能；人类通过WYSIWYG界面查看diff并执行HITL审核。在此架构下，人类编辑者始终面对高效的富文本界面，AI系统则始终处理结构清晰的Markdown——结构规范作为隐式契约确保两层之间的无损转换。</w:t>
      </w:r>
    </w:p>
    <w:p>
      <w:r>
        <w:pict>
          <v:rect style="width:0;height:1.5pt" o:hralign="center" o:hrstd="t" o:hr="t"/>
        </w:pict>
      </w:r>
    </w:p>
    <w:bookmarkEnd w:id="34"/>
    <w:bookmarkEnd w:id="35"/>
    <w:bookmarkEnd w:id="36"/>
    <w:bookmarkStart w:id="52" w:name="主流文档格式与编辑工具对比"/>
    <w:p>
      <w:pPr>
        <w:pStyle w:val="Heading2"/>
      </w:pPr>
      <w:r>
        <w:t xml:space="preserve">2. 主流文档格式与编辑工具对比</w:t>
      </w:r>
    </w:p>
    <w:p>
      <w:pPr>
        <w:pStyle w:val="FirstParagraph"/>
      </w:pPr>
      <w:r>
        <w:t xml:space="preserve">企业SOP（Standard Operating Procedure，标准操作程序）的数字化管理要求文档工具同时满足三组矛盾的需求：工程师需要结构化、版本可控的编辑体验；非技术用户需要所见即所得（WYSIWYG, What You See Is What You Get）的低门槛界面；AI系统则需要语义清晰、格式规范的机器可读输出。本章从富文本协作平台、Markdown编辑器生态和Microsoft Word三个技术路线切入，通过五平台二十维度评分矩阵，量化评估各方案在企业SOP场景中的适配度。</w:t>
      </w:r>
    </w:p>
    <w:bookmarkStart w:id="44" w:name="富文本协作平台深度对比"/>
    <w:p>
      <w:pPr>
        <w:pStyle w:val="Heading3"/>
      </w:pPr>
      <w:r>
        <w:t xml:space="preserve">2.1 富文本协作平台深度对比</w:t>
      </w:r>
    </w:p>
    <w:bookmarkStart w:id="37" w:name="飞书文档块编辑器架构与多维表格的企业级实践"/>
    <w:p>
      <w:pPr>
        <w:pStyle w:val="Heading4"/>
      </w:pPr>
      <w:r>
        <w:t xml:space="preserve">2.1.1 飞书文档：块编辑器架构与多维表格的企业级实践</w:t>
      </w:r>
    </w:p>
    <w:p>
      <w:pPr>
        <w:pStyle w:val="FirstParagraph"/>
      </w:pPr>
      <w:r>
        <w:t xml:space="preserve">飞书文档以块编辑器（Block-based Editor）架构为核心，将文档内容拆解为可独立操作、拖拽重组的语义单元。这一设计使其在SOP编写中具备天然的结构化优势——操作步骤、注意事项、参数表格均可作为独立块进行复用和重组。飞书多维表格（Base）月活跃用户已突破1{,}000万，单表支持最高1{,}000万行数据，并可通过公式计算、查找替换、删除重复记录等插件实现SOP数据的自动化处理</w:t>
      </w:r>
      <w:r>
        <w:t xml:space="preserve"> </w:t>
      </w:r>
      <w:fldSimple w:instr="NOTEREF _Ref_Footnote_4 \h \f">
        <w:r>
          <w:rPr>
            <w:vertAlign w:val="superscript"/>
          </w:rPr>
          <w:t>4</w:t>
        </w:r>
      </w:fldSimple>
      <w:r>
        <w:t xml:space="preserve">。</w:t>
      </w:r>
    </w:p>
    <w:p>
      <w:pPr>
        <w:pStyle w:val="BodyText"/>
      </w:pPr>
      <w:r>
        <w:t xml:space="preserve">飞书在审批工作流方面通过飞书审批应用实现多节点并行审批，支持自定义审批流程和规则引擎</w:t>
      </w:r>
      <w:r>
        <w:t xml:space="preserve"> </w:t>
      </w:r>
      <w:fldSimple w:instr="NOTEREF _Ref_Footnote_41 \h \f">
        <w:r>
          <w:rPr>
            <w:vertAlign w:val="superscript"/>
          </w:rPr>
          <w:t>41</w:t>
        </w:r>
      </w:fldSimple>
      <w:r>
        <w:t xml:space="preserve">。在版本控制维度，飞书自动记录完整编辑历史并支持差异对比与快速回滚，管理员可设定编辑规则确保文档标准化</w:t>
      </w:r>
      <w:r>
        <w:t xml:space="preserve"> </w:t>
      </w:r>
      <w:fldSimple w:instr="NOTEREF _Ref_Footnote_38 \h \f">
        <w:r>
          <w:rPr>
            <w:vertAlign w:val="superscript"/>
          </w:rPr>
          <w:t>38</w:t>
        </w:r>
      </w:fldSimple>
      <w:r>
        <w:t xml:space="preserve">。其开放平台API覆盖文档全生命周期管理、多维表格操作和内容搜索，配套Python与Java SDK，是”三家里做得最好的”（与钉钉、企业微信对比）</w:t>
      </w:r>
      <w:fldSimple w:instr="NOTEREF _Ref_Footnote_4 \h \f">
        <w:r>
          <w:rPr>
            <w:vertAlign w:val="superscript"/>
          </w:rPr>
          <w:t>4</w:t>
        </w:r>
      </w:fldSimple>
      <w:r>
        <w:t xml:space="preserve">。</w:t>
      </w:r>
    </w:p>
    <w:p>
      <w:pPr>
        <w:pStyle w:val="BodyText"/>
      </w:pPr>
      <w:r>
        <w:t xml:space="preserve">飞书2026年5月原生支持Markdown导出，这一更新标志着中国最大企业协作平台正式承认”富文本编辑→Markdown存储→AI处理”管道的合理性，从根本上消除了中国企业采用混合文档方案的最大障碍</w:t>
      </w:r>
      <w:r>
        <w:t xml:space="preserve"> </w:t>
      </w:r>
      <w:fldSimple w:instr="NOTEREF _Ref_Footnote_5 \h \f">
        <w:r>
          <w:rPr>
            <w:vertAlign w:val="superscript"/>
          </w:rPr>
          <w:t>5</w:t>
        </w:r>
      </w:fldSimple>
      <w:r>
        <w:t xml:space="preserve">。在IM集成维度，飞书文档实现了与飞书IM的深度原生联动——文档中@同事可直接跳转聊天窗口，文档内容可自动转化为任务项，或直接发起视频会议讨论</w:t>
      </w:r>
      <w:r>
        <w:t xml:space="preserve"> </w:t>
      </w:r>
      <w:fldSimple w:instr="NOTEREF _Ref_Footnote_34 \h \f">
        <w:r>
          <w:rPr>
            <w:vertAlign w:val="superscript"/>
          </w:rPr>
          <w:t>34</w:t>
        </w:r>
      </w:fldSimple>
      <w:r>
        <w:t xml:space="preserve">。飞书用户的文档平均协作人数比语雀高37%</w:t>
      </w:r>
      <w:r>
        <w:t xml:space="preserve"> </w:t>
      </w:r>
      <w:fldSimple w:instr="NOTEREF _Ref_Footnote_34 \h \f">
        <w:r>
          <w:rPr>
            <w:vertAlign w:val="superscript"/>
          </w:rPr>
          <w:t>34</w:t>
        </w:r>
      </w:fldSimple>
      <w:r>
        <w:t xml:space="preserve">。飞书文档在中国企业SOP场景综合加权评分达8.50/10，位居五平台之首。</w:t>
      </w:r>
    </w:p>
    <w:p>
      <w:pPr>
        <w:pStyle w:val="BodyText"/>
      </w:pPr>
      <w:r>
        <w:t xml:space="preserve">飞书的短板同样明显。图片编辑功能存在较多限制——不支持精确调整尺寸、不支持旋转和标注（网页版）、不支持浮动图片、不支持插入在线图片</w:t>
      </w:r>
      <w:r>
        <w:t xml:space="preserve"> </w:t>
      </w:r>
      <w:fldSimple w:instr="NOTEREF _Ref_Footnote_35 \h \f">
        <w:r>
          <w:rPr>
            <w:vertAlign w:val="superscript"/>
          </w:rPr>
          <w:t>35</w:t>
        </w:r>
      </w:fldSimple>
      <w:r>
        <w:t xml:space="preserve">。飞书2023年2月价格调整后，面向中小企业的单价是企业微信、钉钉的2-5倍</w:t>
      </w:r>
      <w:r>
        <w:t xml:space="preserve"> </w:t>
      </w:r>
      <w:r>
        <w:rPr>
          <w:vertAlign w:val="superscript"/>
        </w:rPr>
        <w:footnoteReference w:id="53"/>
      </w:r>
      <w:r>
        <w:t xml:space="preserve">，较高的定价对成本敏感型企业构成门槛。</w:t>
      </w:r>
    </w:p>
    <w:bookmarkEnd w:id="37"/>
    <w:bookmarkStart w:id="38" w:name="notion灵活数据库功能的规模化瓶颈"/>
    <w:p>
      <w:pPr>
        <w:pStyle w:val="Heading4"/>
      </w:pPr>
      <w:r>
        <w:t xml:space="preserve">2.1.2 Notion：灵活数据库功能的规模化瓶颈</w:t>
      </w:r>
    </w:p>
    <w:p>
      <w:pPr>
        <w:pStyle w:val="FirstParagraph"/>
      </w:pPr>
      <w:r>
        <w:t xml:space="preserve">Notion的核心差异化优势在于其数据库驱动的文档架构。块编辑器和页面嵌套功能允许创建高度自定义的文档结构，SOP条目可组织为关系型数据库，支持表格、看板、日历、时间线等多视图切换</w:t>
      </w:r>
      <w:r>
        <w:t xml:space="preserve"> </w:t>
      </w:r>
      <w:fldSimple w:instr="NOTEREF _Ref_Footnote_37 \h \f">
        <w:r>
          <w:rPr>
            <w:vertAlign w:val="superscript"/>
          </w:rPr>
          <w:t>37</w:t>
        </w:r>
      </w:fldSimple>
      <w:r>
        <w:t xml:space="preserve">。Notion拥有数千个社区模板，覆盖大量SOP相关场景，G2评分4.6/5（基于9{,}500+条评价），Capterra评分4.7/5（2{,}600+评价），用户满意度在五个平台中最高</w:t>
      </w:r>
      <w:r>
        <w:t xml:space="preserve"> </w:t>
      </w:r>
      <w:r>
        <w:rPr>
          <w:vertAlign w:val="superscript"/>
        </w:rPr>
        <w:footnoteReference w:id="54"/>
      </w:r>
      <w:r>
        <w:t xml:space="preserve">。</w:t>
      </w:r>
    </w:p>
    <w:p>
      <w:pPr>
        <w:pStyle w:val="BodyText"/>
      </w:pPr>
      <w:r>
        <w:t xml:space="preserve">然而，Notion在企业SOP管理中存在三个结构性短板。</w:t>
      </w:r>
      <w:r>
        <w:rPr>
          <w:bCs/>
          <w:b/>
        </w:rPr>
        <w:t xml:space="preserve">第一，无内置审批工作流</w:t>
      </w:r>
      <w:r>
        <w:t xml:space="preserve">，Notion缺乏原生的审批或审阅工作流功能</w:t>
      </w:r>
      <w:r>
        <w:t xml:space="preserve"> </w:t>
      </w:r>
      <w:fldSimple w:instr="NOTEREF _Ref_Footnote_37 \h \f">
        <w:r>
          <w:rPr>
            <w:vertAlign w:val="superscript"/>
          </w:rPr>
          <w:t>37</w:t>
        </w:r>
      </w:fldSimple>
      <w:r>
        <w:t xml:space="preserve">，这对需要严格审批流程的SOP管理是重大缺陷。</w:t>
      </w:r>
      <w:r>
        <w:rPr>
          <w:bCs/>
          <w:b/>
        </w:rPr>
        <w:t xml:space="preserve">第二，规模化性能瓶颈</w:t>
      </w:r>
      <w:r>
        <w:t xml:space="preserve">，Notion数据库在5{,}000条以上记录时性能显著下降，已知在500个以上页面时移动端加载速度降低40%，AI在数据量大的页面上响应严重延迟，经常冻结数分钟</w:t>
      </w:r>
      <w:r>
        <w:t xml:space="preserve"> </w:t>
      </w:r>
      <w:fldSimple w:instr="NOTEREF _Ref_Footnote_54 \h \f">
        <w:r>
          <w:rPr>
            <w:vertAlign w:val="superscript"/>
          </w:rPr>
          <w:t>54</w:t>
        </w:r>
      </w:fldSimple>
      <w:r>
        <w:t xml:space="preserve">。</w:t>
      </w:r>
      <w:r>
        <w:rPr>
          <w:bCs/>
          <w:b/>
        </w:rPr>
        <w:t xml:space="preserve">第三，版本历史分层不合理</w:t>
      </w:r>
      <w:r>
        <w:t xml:space="preserve">，Plus方案仅保留7天版本历史，对合规性团队构成严重治理风险</w:t>
      </w:r>
      <w:r>
        <w:t xml:space="preserve"> </w:t>
      </w:r>
      <w:fldSimple w:instr="NOTEREF _Ref_Footnote_37 \h \f">
        <w:r>
          <w:rPr>
            <w:vertAlign w:val="superscript"/>
          </w:rPr>
          <w:t>37</w:t>
        </w:r>
      </w:fldSimple>
      <w:r>
        <w:t xml:space="preserve">。Business方案定价$20/用户/月方可解锁完整AI功能，50人团队年成本约$12{,}000，TCO（Total Cost of Ownership，总拥有成本）显著高于其他平台。</w:t>
      </w:r>
    </w:p>
    <w:p>
      <w:pPr>
        <w:pStyle w:val="BodyText"/>
      </w:pPr>
      <w:r>
        <w:t xml:space="preserve">Notion的适用场景明确：适合小型到中型的创新团队、内容驱动型组织，以及对灵活性要求高于合规性的场景。对于需要严格审批流程、电子签名和审计追踪的受监管行业，Notion目前无法满足要求。</w:t>
      </w:r>
    </w:p>
    <w:bookmarkEnd w:id="38"/>
    <w:bookmarkStart w:id="39" w:name="confluence企业级权限与审计的最强方案"/>
    <w:p>
      <w:pPr>
        <w:pStyle w:val="Heading4"/>
      </w:pPr>
      <w:r>
        <w:t xml:space="preserve">2.1.3 Confluence：企业级权限与审计的最强方案</w:t>
      </w:r>
    </w:p>
    <w:p>
      <w:pPr>
        <w:pStyle w:val="FirstParagraph"/>
      </w:pPr>
      <w:r>
        <w:t xml:space="preserve">Confluence在全球企业级知识管理市场中处于领先地位，其核心优势在于深度合规能力。通过Comala Document Management插件，Confluence提供三阶段SOP审批模板（Draft → In Approval → Approved）和合规级SOP审批模板（Draft → SOP → SOP Validation → Published）</w:t>
      </w:r>
      <w:fldSimple w:instr="NOTEREF _Ref_Footnote_42 \h \f">
        <w:r>
          <w:rPr>
            <w:vertAlign w:val="superscript"/>
          </w:rPr>
          <w:t>42</w:t>
        </w:r>
      </w:fldSimple>
      <w:r>
        <w:t xml:space="preserve">。该组合是</w:t>
      </w:r>
      <w:r>
        <w:rPr>
          <w:bCs/>
          <w:b/>
        </w:rPr>
        <w:t xml:space="preserve">唯一支持21 CFR Part 11合规电子签名</w:t>
      </w:r>
      <w:r>
        <w:t xml:space="preserve">的平台，采用HMAC-SHA256签名验证，使用邮箱加OTP（One-Time Password，一次性密码）双因素认证</w:t>
      </w:r>
      <w:r>
        <w:t xml:space="preserve"> </w:t>
      </w:r>
      <w:fldSimple w:instr="NOTEREF _Ref_Footnote_43 \h \f">
        <w:r>
          <w:rPr>
            <w:vertAlign w:val="superscript"/>
          </w:rPr>
          <w:t>43</w:t>
        </w:r>
      </w:fldSimple>
      <w:r>
        <w:t xml:space="preserve">。</w:t>
      </w:r>
    </w:p>
    <w:p>
      <w:pPr>
        <w:pStyle w:val="BodyText"/>
      </w:pPr>
      <w:r>
        <w:t xml:space="preserve">Confluence的企业级权限管理支持多达150{,}000用户每站点，提供SAML SSO（Security Assertion Markup Language Single Sign-On）和多身份提供商支持</w:t>
      </w:r>
      <w:r>
        <w:t xml:space="preserve"> </w:t>
      </w:r>
      <w:fldSimple w:instr="NOTEREF _Ref_Footnote_40 \h \f">
        <w:r>
          <w:rPr>
            <w:vertAlign w:val="superscript"/>
          </w:rPr>
          <w:t>40</w:t>
        </w:r>
      </w:fldSimple>
      <w:r>
        <w:t xml:space="preserve">。其审计日志每页保留详细的工作流转换和审批历史记录</w:t>
      </w:r>
      <w:r>
        <w:t xml:space="preserve"> </w:t>
      </w:r>
      <w:r>
        <w:rPr>
          <w:vertAlign w:val="superscript"/>
        </w:rPr>
        <w:footnoteReference w:id="55"/>
      </w:r>
      <w:r>
        <w:t xml:space="preserve">，内容过期管理功能可自动标记过期页面并触发重新审阅或归档。Confluence与Jira的深度集成允许创建Jira工单来请求SOP的编写、修改和取消，通过Kanban看板可视化SOP管理进度</w:t>
      </w:r>
      <w:r>
        <w:t xml:space="preserve"> </w:t>
      </w:r>
      <w:fldSimple w:instr="NOTEREF _Ref_Footnote_39 \h \f">
        <w:r>
          <w:rPr>
            <w:vertAlign w:val="superscript"/>
          </w:rPr>
          <w:t>39</w:t>
        </w:r>
      </w:fldSimple>
      <w:r>
        <w:t xml:space="preserve">。</w:t>
      </w:r>
    </w:p>
    <w:p>
      <w:pPr>
        <w:pStyle w:val="BodyText"/>
      </w:pPr>
      <w:r>
        <w:t xml:space="preserve">Confluence的局限同样突出。界面设计被用户评价为”老旧”、</w:t>
      </w:r>
      <w:r>
        <w:t xml:space="preserve">“</w:t>
      </w:r>
      <w:r>
        <w:t xml:space="preserve">对非技术用户复杂</w:t>
      </w:r>
      <w:r>
        <w:t xml:space="preserve">”</w:t>
      </w:r>
      <w:r>
        <w:t xml:space="preserve"> </w:t>
      </w:r>
      <w:fldSimple w:instr="NOTEREF _Ref_Footnote_40 \h \f">
        <w:r>
          <w:rPr>
            <w:vertAlign w:val="superscript"/>
          </w:rPr>
          <w:t>40</w:t>
        </w:r>
      </w:fldSimple>
      <w:r>
        <w:t xml:space="preserve"> </w:t>
      </w:r>
      <w:r>
        <w:rPr>
          <w:vertAlign w:val="superscript"/>
        </w:rPr>
        <w:footnoteReference w:id="56"/>
      </w:r>
      <w:r>
        <w:t xml:space="preserve">；2024-2025年涨价5-8%，Enterprise方案需801名用户起购</w:t>
      </w:r>
      <w:r>
        <w:t xml:space="preserve"> </w:t>
      </w:r>
      <w:fldSimple w:instr="NOTEREF _Ref_Footnote_40 \h \f">
        <w:r>
          <w:rPr>
            <w:vertAlign w:val="superscript"/>
          </w:rPr>
          <w:t>40</w:t>
        </w:r>
      </w:fldSimple>
      <w:r>
        <w:t xml:space="preserve">；Comala等高级功能需额外购买Marketplace插件，增加了隐性成本；移动端被用户评价为”像是桌面版体验的简化版本”</w:t>
      </w:r>
      <w:r>
        <w:t xml:space="preserve"> </w:t>
      </w:r>
      <w:fldSimple w:instr="NOTEREF _Ref_Footnote_56 \h \f">
        <w:r>
          <w:rPr>
            <w:vertAlign w:val="superscript"/>
          </w:rPr>
          <w:t>56</w:t>
        </w:r>
      </w:fldSimple>
      <w:r>
        <w:t xml:space="preserve">。Confluence在审批工作流和权限审计两个维度均获得满分10.0，但SOP编写体验仅7.0分，综合加权评分8.45/10。</w:t>
      </w:r>
    </w:p>
    <w:bookmarkEnd w:id="39"/>
    <w:bookmarkStart w:id="43" w:name="语雀与腾讯文档差异化定位与结构性短板"/>
    <w:p>
      <w:pPr>
        <w:pStyle w:val="Heading4"/>
      </w:pPr>
      <w:r>
        <w:t xml:space="preserve">2.1.4 语雀与腾讯文档：差异化定位与结构性短板</w:t>
      </w:r>
    </w:p>
    <w:p>
      <w:pPr>
        <w:pStyle w:val="FirstParagraph"/>
      </w:pPr>
      <w:r>
        <w:t xml:space="preserve">语雀由阿里巴巴开发，核心差异化优势在于中文写作体验。自研富文本编辑器支持Markdown全语法、代码块高亮（200+编程语言）、LaTeX公式和PlantUML绘图</w:t>
      </w:r>
      <w:r>
        <w:t xml:space="preserve"> </w:t>
      </w:r>
      <w:fldSimple w:instr="NOTEREF _Ref_Footnote_34 \h \f">
        <w:r>
          <w:rPr>
            <w:vertAlign w:val="superscript"/>
          </w:rPr>
          <w:t>34</w:t>
        </w:r>
      </w:fldSimple>
      <w:r>
        <w:t xml:space="preserve">。</w:t>
      </w:r>
      <w:r>
        <w:t xml:space="preserve">“</w:t>
      </w:r>
      <w:r>
        <w:t xml:space="preserve">知识库-空间-文档</w:t>
      </w:r>
      <w:r>
        <w:t xml:space="preserve">”</w:t>
      </w:r>
      <w:r>
        <w:t xml:space="preserve">三级结构严格分层，支持自定义目录排序，适合制度流程的沉淀</w:t>
      </w:r>
      <w:r>
        <w:t xml:space="preserve"> </w:t>
      </w:r>
      <w:fldSimple w:instr="NOTEREF _Ref_Footnote_34 \h \f">
        <w:r>
          <w:rPr>
            <w:vertAlign w:val="superscript"/>
          </w:rPr>
          <w:t>34</w:t>
        </w:r>
      </w:fldSimple>
      <w:r>
        <w:t xml:space="preserve">。PDF导出质量被广泛称赞为”排版整齐、文字无误”</w:t>
      </w:r>
      <w:r>
        <w:t xml:space="preserve"> </w:t>
      </w:r>
      <w:r>
        <w:rPr>
          <w:vertAlign w:val="superscript"/>
        </w:rPr>
        <w:footnoteReference w:id="57"/>
      </w:r>
      <w:r>
        <w:t xml:space="preserve">。</w:t>
      </w:r>
    </w:p>
    <w:p>
      <w:pPr>
        <w:pStyle w:val="BodyText"/>
      </w:pPr>
      <w:r>
        <w:t xml:space="preserve">语雀的结构性短板集中在</w:t>
      </w:r>
      <w:r>
        <w:rPr>
          <w:bCs/>
          <w:b/>
        </w:rPr>
        <w:t xml:space="preserve">导出锁定</w:t>
      </w:r>
      <w:r>
        <w:t xml:space="preserve">和</w:t>
      </w:r>
      <w:r>
        <w:rPr>
          <w:bCs/>
          <w:b/>
        </w:rPr>
        <w:t xml:space="preserve">协作深度</w:t>
      </w:r>
      <w:r>
        <w:t xml:space="preserve">两个维度。语雀无批量导出功能，知识库只能导出为lakebook私有格式，表格仅支持Excel导出，画板完全不支持导出</w:t>
      </w:r>
      <w:r>
        <w:t xml:space="preserve"> </w:t>
      </w:r>
      <w:r>
        <w:rPr>
          <w:vertAlign w:val="superscript"/>
        </w:rPr>
        <w:footnoteReference w:id="58"/>
      </w:r>
      <w:r>
        <w:t xml:space="preserve">。这被用户批评为”有点像一些数据类SaaS服务，导入功能非常完善，导出功能却极度受限”</w:t>
      </w:r>
      <w:r>
        <w:t xml:space="preserve"> </w:t>
      </w:r>
      <w:fldSimple w:instr="NOTEREF _Ref_Footnote_58 \h \f">
        <w:r>
          <w:rPr>
            <w:vertAlign w:val="superscript"/>
          </w:rPr>
          <w:t>58</w:t>
        </w:r>
      </w:fldSimple>
      <w:r>
        <w:t xml:space="preserve">。语雀的API调用频率限制严格（免费用户100次/小时），四类知识库相互独立无法跨类型引用</w:t>
      </w:r>
      <w:r>
        <w:t xml:space="preserve"> </w:t>
      </w:r>
      <w:r>
        <w:rPr>
          <w:vertAlign w:val="superscript"/>
        </w:rPr>
        <w:footnoteReference w:id="59"/>
      </w:r>
      <w:r>
        <w:t xml:space="preserve">。语雀综合加权评分6.55/10。</w:t>
      </w:r>
    </w:p>
    <w:p>
      <w:pPr>
        <w:pStyle w:val="BodyText"/>
      </w:pPr>
      <w:r>
        <w:t xml:space="preserve">腾讯文档以”全品类、强连接、多场景”为三大特性</w:t>
      </w:r>
      <w:r>
        <w:t xml:space="preserve"> </w:t>
      </w:r>
      <w:r>
        <w:rPr>
          <w:vertAlign w:val="superscript"/>
        </w:rPr>
        <w:footnoteReference w:id="60"/>
      </w:r>
      <w:r>
        <w:t xml:space="preserve">，依托微信和企业微信平台优势，普及率在五平台中最高（企业微信生态市占率25.4%）</w:t>
      </w:r>
      <w:fldSimple w:instr="NOTEREF _Ref_Footnote_4 \h \f">
        <w:r>
          <w:rPr>
            <w:vertAlign w:val="superscript"/>
          </w:rPr>
          <w:t>4</w:t>
        </w:r>
      </w:fldSimple>
      <w:r>
        <w:t xml:space="preserve">。其核心优势在于上手门槛低、接入门槛低、与日常沟通流程天然融合</w:t>
      </w:r>
      <w:r>
        <w:t xml:space="preserve"> </w:t>
      </w:r>
      <w:fldSimple w:instr="NOTEREF _Ref_Footnote_26 \h \f">
        <w:r>
          <w:rPr>
            <w:vertAlign w:val="superscript"/>
          </w:rPr>
          <w:t>26</w:t>
        </w:r>
      </w:fldSimple>
      <w:r>
        <w:t xml:space="preserve">。但在企业级功能维度，腾讯文档缺少严格的知识分类结构，更适合作为协作沉淀空间而非专业知识体系运营工具</w:t>
      </w:r>
      <w:r>
        <w:t xml:space="preserve"> </w:t>
      </w:r>
      <w:fldSimple w:instr="NOTEREF _Ref_Footnote_26 \h \f">
        <w:r>
          <w:rPr>
            <w:vertAlign w:val="superscript"/>
          </w:rPr>
          <w:t>26</w:t>
        </w:r>
      </w:fldSimple>
      <w:r>
        <w:t xml:space="preserve">。</w:t>
      </w:r>
      <w:r>
        <w:rPr>
          <w:bCs/>
          <w:b/>
        </w:rPr>
        <w:t xml:space="preserve">腾讯文档不支持Markdown导出</w:t>
      </w:r>
      <w:r>
        <w:t xml:space="preserve">，是其面向AI工作流的重大硬伤</w:t>
      </w:r>
      <w:r>
        <w:t xml:space="preserve"> </w:t>
      </w:r>
      <w:fldSimple w:instr="NOTEREF _Ref_Footnote_58 \h \f">
        <w:r>
          <w:rPr>
            <w:vertAlign w:val="superscript"/>
          </w:rPr>
          <w:t>58</w:t>
        </w:r>
      </w:fldSimple>
      <w:r>
        <w:t xml:space="preserve">。腾讯文档综合加权评分6.85/10。</w:t>
      </w:r>
    </w:p>
    <w:p>
      <w:pPr>
        <w:pStyle w:val="BodyText"/>
      </w:pPr>
      <w:r>
        <w:rPr>
          <w:bCs/>
          <w:b/>
        </w:rPr>
        <w:t xml:space="preserve">表1 富文本协作平台核心功能对比</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功能维度</w:t>
            </w:r>
          </w:p>
        </w:tc>
        <w:tc>
          <w:tcPr/>
          <w:p>
            <w:pPr>
              <w:pStyle w:val="Compact"/>
              <w:jc w:val="center"/>
            </w:pPr>
            <w:r>
              <w:t xml:space="preserve">飞书文档</w:t>
            </w:r>
          </w:p>
        </w:tc>
        <w:tc>
          <w:tcPr/>
          <w:p>
            <w:pPr>
              <w:pStyle w:val="Compact"/>
              <w:jc w:val="center"/>
            </w:pPr>
            <w:r>
              <w:t xml:space="preserve">Notion</w:t>
            </w:r>
          </w:p>
        </w:tc>
        <w:tc>
          <w:tcPr/>
          <w:p>
            <w:pPr>
              <w:pStyle w:val="Compact"/>
              <w:jc w:val="center"/>
            </w:pPr>
            <w:r>
              <w:t xml:space="preserve">Confluence</w:t>
            </w:r>
          </w:p>
        </w:tc>
        <w:tc>
          <w:tcPr/>
          <w:p>
            <w:pPr>
              <w:pStyle w:val="Compact"/>
              <w:jc w:val="center"/>
            </w:pPr>
            <w:r>
              <w:t xml:space="preserve">语雀</w:t>
            </w:r>
          </w:p>
        </w:tc>
        <w:tc>
          <w:tcPr/>
          <w:p>
            <w:pPr>
              <w:pStyle w:val="Compact"/>
              <w:jc w:val="center"/>
            </w:pPr>
            <w:r>
              <w:t xml:space="preserve">腾讯文档</w:t>
            </w:r>
          </w:p>
        </w:tc>
      </w:tr>
      <w:tr>
        <w:tc>
          <w:tcPr/>
          <w:p>
            <w:pPr>
              <w:pStyle w:val="Compact"/>
              <w:jc w:val="left"/>
            </w:pPr>
            <w:r>
              <w:t xml:space="preserve">块编辑器架构</w:t>
            </w:r>
          </w:p>
        </w:tc>
        <w:tc>
          <w:tcPr/>
          <w:p>
            <w:pPr>
              <w:pStyle w:val="Compact"/>
              <w:jc w:val="center"/>
            </w:pPr>
            <w:r>
              <w:t xml:space="preserve">✅ 原生</w:t>
            </w:r>
          </w:p>
        </w:tc>
        <w:tc>
          <w:tcPr/>
          <w:p>
            <w:pPr>
              <w:pStyle w:val="Compact"/>
              <w:jc w:val="center"/>
            </w:pPr>
            <w:r>
              <w:t xml:space="preserve">✅ 原生</w:t>
            </w:r>
          </w:p>
        </w:tc>
        <w:tc>
          <w:tcPr/>
          <w:p>
            <w:pPr>
              <w:pStyle w:val="Compact"/>
              <w:jc w:val="center"/>
            </w:pPr>
            <w:r>
              <w:t xml:space="preserve">❌ 传统页面</w:t>
            </w:r>
          </w:p>
        </w:tc>
        <w:tc>
          <w:tcPr/>
          <w:p>
            <w:pPr>
              <w:pStyle w:val="Compact"/>
              <w:jc w:val="center"/>
            </w:pPr>
            <w:r>
              <w:t xml:space="preserve">❌ 富文本</w:t>
            </w:r>
          </w:p>
        </w:tc>
        <w:tc>
          <w:tcPr/>
          <w:p>
            <w:pPr>
              <w:pStyle w:val="Compact"/>
              <w:jc w:val="center"/>
            </w:pPr>
            <w:r>
              <w:t xml:space="preserve">❌ 富文本</w:t>
            </w:r>
          </w:p>
        </w:tc>
      </w:tr>
      <w:tr>
        <w:tc>
          <w:tcPr/>
          <w:p>
            <w:pPr>
              <w:pStyle w:val="Compact"/>
              <w:jc w:val="left"/>
            </w:pPr>
            <w:r>
              <w:t xml:space="preserve">多维表格/数据库</w:t>
            </w:r>
          </w:p>
        </w:tc>
        <w:tc>
          <w:tcPr/>
          <w:p>
            <w:pPr>
              <w:pStyle w:val="Compact"/>
              <w:jc w:val="center"/>
            </w:pPr>
            <w:r>
              <w:t xml:space="preserve">单表1000万行</w:t>
            </w:r>
            <w:r>
              <w:t xml:space="preserve"> </w:t>
            </w:r>
            <w:fldSimple w:instr="NOTEREF _Ref_Footnote_4 \h \f">
              <w:r>
                <w:rPr>
                  <w:vertAlign w:val="superscript"/>
                </w:rPr>
                <w:t>4</w:t>
              </w:r>
            </w:fldSimple>
          </w:p>
        </w:tc>
        <w:tc>
          <w:tcPr/>
          <w:p>
            <w:pPr>
              <w:pStyle w:val="Compact"/>
              <w:jc w:val="center"/>
            </w:pPr>
            <w:r>
              <w:t xml:space="preserve">5000+记录性能下降</w:t>
            </w:r>
            <w:r>
              <w:t xml:space="preserve"> </w:t>
            </w:r>
            <w:fldSimple w:instr="NOTEREF _Ref_Footnote_54 \h \f">
              <w:r>
                <w:rPr>
                  <w:vertAlign w:val="superscript"/>
                </w:rPr>
                <w:t>54</w:t>
              </w:r>
            </w:fldSimple>
          </w:p>
        </w:tc>
        <w:tc>
          <w:tcPr/>
          <w:p>
            <w:pPr>
              <w:pStyle w:val="Compact"/>
              <w:jc w:val="center"/>
            </w:pPr>
            <w:r>
              <w:t xml:space="preserve">需插件</w:t>
            </w:r>
          </w:p>
        </w:tc>
        <w:tc>
          <w:tcPr/>
          <w:p>
            <w:pPr>
              <w:pStyle w:val="Compact"/>
              <w:jc w:val="center"/>
            </w:pPr>
            <w:r>
              <w:t xml:space="preserve">数据表（2025新增）</w:t>
            </w:r>
          </w:p>
        </w:tc>
        <w:tc>
          <w:tcPr/>
          <w:p>
            <w:pPr>
              <w:pStyle w:val="Compact"/>
              <w:jc w:val="center"/>
            </w:pPr>
            <w:r>
              <w:t xml:space="preserve">智能表</w:t>
            </w:r>
          </w:p>
        </w:tc>
      </w:tr>
      <w:tr>
        <w:tc>
          <w:tcPr/>
          <w:p>
            <w:pPr>
              <w:pStyle w:val="Compact"/>
              <w:jc w:val="left"/>
            </w:pPr>
            <w:r>
              <w:t xml:space="preserve">审批工作流</w:t>
            </w:r>
          </w:p>
        </w:tc>
        <w:tc>
          <w:tcPr/>
          <w:p>
            <w:pPr>
              <w:pStyle w:val="Compact"/>
              <w:jc w:val="center"/>
            </w:pPr>
            <w:r>
              <w:t xml:space="preserve">多节点并行</w:t>
            </w:r>
            <w:r>
              <w:t xml:space="preserve"> </w:t>
            </w:r>
            <w:fldSimple w:instr="NOTEREF _Ref_Footnote_41 \h \f">
              <w:r>
                <w:rPr>
                  <w:vertAlign w:val="superscript"/>
                </w:rPr>
                <w:t>41</w:t>
              </w:r>
            </w:fldSimple>
          </w:p>
        </w:tc>
        <w:tc>
          <w:tcPr/>
          <w:p>
            <w:pPr>
              <w:pStyle w:val="Compact"/>
              <w:jc w:val="center"/>
            </w:pPr>
            <w:r>
              <w:t xml:space="preserve">❌ 无内置</w:t>
            </w:r>
          </w:p>
        </w:tc>
        <w:tc>
          <w:tcPr/>
          <w:p>
            <w:pPr>
              <w:pStyle w:val="Compact"/>
              <w:jc w:val="center"/>
            </w:pPr>
            <w:r>
              <w:t xml:space="preserve">21 CFR Part 11合规</w:t>
            </w:r>
            <w:r>
              <w:t xml:space="preserve"> </w:t>
            </w:r>
            <w:fldSimple w:instr="NOTEREF _Ref_Footnote_43 \h \f">
              <w:r>
                <w:rPr>
                  <w:vertAlign w:val="superscript"/>
                </w:rPr>
                <w:t>43</w:t>
              </w:r>
            </w:fldSimple>
          </w:p>
        </w:tc>
        <w:tc>
          <w:tcPr/>
          <w:p>
            <w:pPr>
              <w:pStyle w:val="Compact"/>
              <w:jc w:val="center"/>
            </w:pPr>
            <w:r>
              <w:t xml:space="preserve">基础评审模式</w:t>
            </w:r>
          </w:p>
        </w:tc>
        <w:tc>
          <w:tcPr/>
          <w:p>
            <w:pPr>
              <w:pStyle w:val="Compact"/>
              <w:jc w:val="center"/>
            </w:pPr>
            <w:r>
              <w:t xml:space="preserve">基础评论@</w:t>
            </w:r>
          </w:p>
        </w:tc>
      </w:tr>
      <w:tr>
        <w:tc>
          <w:tcPr/>
          <w:p>
            <w:pPr>
              <w:pStyle w:val="Compact"/>
              <w:jc w:val="left"/>
            </w:pPr>
            <w:r>
              <w:t xml:space="preserve">版本历史</w:t>
            </w:r>
          </w:p>
        </w:tc>
        <w:tc>
          <w:tcPr/>
          <w:p>
            <w:pPr>
              <w:pStyle w:val="Compact"/>
              <w:jc w:val="center"/>
            </w:pPr>
            <w:r>
              <w:t xml:space="preserve">完整自动记录</w:t>
            </w:r>
            <w:r>
              <w:t xml:space="preserve"> </w:t>
            </w:r>
            <w:fldSimple w:instr="NOTEREF _Ref_Footnote_38 \h \f">
              <w:r>
                <w:rPr>
                  <w:vertAlign w:val="superscript"/>
                </w:rPr>
                <w:t>38</w:t>
              </w:r>
            </w:fldSimple>
          </w:p>
        </w:tc>
        <w:tc>
          <w:tcPr/>
          <w:p>
            <w:pPr>
              <w:pStyle w:val="Compact"/>
              <w:jc w:val="center"/>
            </w:pPr>
            <w:r>
              <w:t xml:space="preserve">Plus仅7天</w:t>
            </w:r>
            <w:r>
              <w:t xml:space="preserve"> </w:t>
            </w:r>
            <w:fldSimple w:instr="NOTEREF _Ref_Footnote_37 \h \f">
              <w:r>
                <w:rPr>
                  <w:vertAlign w:val="superscript"/>
                </w:rPr>
                <w:t>37</w:t>
              </w:r>
            </w:fldSimple>
          </w:p>
        </w:tc>
        <w:tc>
          <w:tcPr/>
          <w:p>
            <w:pPr>
              <w:pStyle w:val="Compact"/>
              <w:jc w:val="center"/>
            </w:pPr>
            <w:r>
              <w:t xml:space="preserve">无限页面历史</w:t>
            </w:r>
            <w:r>
              <w:t xml:space="preserve"> </w:t>
            </w:r>
            <w:fldSimple w:instr="NOTEREF _Ref_Footnote_37 \h \f">
              <w:r>
                <w:rPr>
                  <w:vertAlign w:val="superscript"/>
                </w:rPr>
                <w:t>37</w:t>
              </w:r>
            </w:fldSimple>
          </w:p>
        </w:tc>
        <w:tc>
          <w:tcPr/>
          <w:p>
            <w:pPr>
              <w:pStyle w:val="Compact"/>
              <w:jc w:val="center"/>
            </w:pPr>
            <w:r>
              <w:t xml:space="preserve">分钟级操作日志</w:t>
            </w:r>
            <w:r>
              <w:t xml:space="preserve"> </w:t>
            </w:r>
            <w:fldSimple w:instr="NOTEREF _Ref_Footnote_34 \h \f">
              <w:r>
                <w:rPr>
                  <w:vertAlign w:val="superscript"/>
                </w:rPr>
                <w:t>34</w:t>
              </w:r>
            </w:fldSimple>
          </w:p>
        </w:tc>
        <w:tc>
          <w:tcPr/>
          <w:p>
            <w:pPr>
              <w:pStyle w:val="Compact"/>
              <w:jc w:val="center"/>
            </w:pPr>
            <w:r>
              <w:t xml:space="preserve">基础版本历史</w:t>
            </w:r>
          </w:p>
        </w:tc>
      </w:tr>
      <w:tr>
        <w:tc>
          <w:tcPr/>
          <w:p>
            <w:pPr>
              <w:pStyle w:val="Compact"/>
              <w:jc w:val="left"/>
            </w:pPr>
            <w:r>
              <w:t xml:space="preserve">Markdown导出</w:t>
            </w:r>
          </w:p>
        </w:tc>
        <w:tc>
          <w:tcPr/>
          <w:p>
            <w:pPr>
              <w:pStyle w:val="Compact"/>
              <w:jc w:val="center"/>
            </w:pPr>
            <w:r>
              <w:t xml:space="preserve">✅ 原生（2026.5）</w:t>
            </w:r>
            <w:fldSimple w:instr="NOTEREF _Ref_Footnote_5 \h \f">
              <w:r>
                <w:rPr>
                  <w:vertAlign w:val="superscript"/>
                </w:rPr>
                <w:t>5</w:t>
              </w:r>
            </w:fldSimple>
          </w:p>
        </w:tc>
        <w:tc>
          <w:tcPr/>
          <w:p>
            <w:pPr>
              <w:pStyle w:val="Compact"/>
              <w:jc w:val="center"/>
            </w:pPr>
            <w:r>
              <w:t xml:space="preserve">✅ 支持</w:t>
            </w:r>
          </w:p>
        </w:tc>
        <w:tc>
          <w:tcPr/>
          <w:p>
            <w:pPr>
              <w:pStyle w:val="Compact"/>
              <w:jc w:val="center"/>
            </w:pPr>
            <w:r>
              <w:t xml:space="preserve">需插件</w:t>
            </w:r>
          </w:p>
        </w:tc>
        <w:tc>
          <w:tcPr/>
          <w:p>
            <w:pPr>
              <w:pStyle w:val="Compact"/>
              <w:jc w:val="center"/>
            </w:pPr>
            <w:r>
              <w:t xml:space="preserve">单篇导出</w:t>
            </w:r>
            <w:r>
              <w:t xml:space="preserve"> </w:t>
            </w:r>
            <w:fldSimple w:instr="NOTEREF _Ref_Footnote_58 \h \f">
              <w:r>
                <w:rPr>
                  <w:vertAlign w:val="superscript"/>
                </w:rPr>
                <w:t>58</w:t>
              </w:r>
            </w:fldSimple>
          </w:p>
        </w:tc>
        <w:tc>
          <w:tcPr/>
          <w:p>
            <w:pPr>
              <w:pStyle w:val="Compact"/>
              <w:jc w:val="center"/>
            </w:pPr>
            <w:r>
              <w:t xml:space="preserve">❌ 不支持</w:t>
            </w:r>
            <w:r>
              <w:t xml:space="preserve"> </w:t>
            </w:r>
            <w:fldSimple w:instr="NOTEREF _Ref_Footnote_58 \h \f">
              <w:r>
                <w:rPr>
                  <w:vertAlign w:val="superscript"/>
                </w:rPr>
                <w:t>58</w:t>
              </w:r>
            </w:fldSimple>
          </w:p>
        </w:tc>
      </w:tr>
      <w:tr>
        <w:tc>
          <w:tcPr/>
          <w:p>
            <w:pPr>
              <w:pStyle w:val="Compact"/>
              <w:jc w:val="left"/>
            </w:pPr>
            <w:r>
              <w:t xml:space="preserve">电子签名</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HMAC-SHA256</w:t>
            </w:r>
            <w:r>
              <w:t xml:space="preserve"> </w:t>
            </w:r>
            <w:fldSimple w:instr="NOTEREF _Ref_Footnote_43 \h \f">
              <w:r>
                <w:rPr>
                  <w:vertAlign w:val="superscript"/>
                </w:rPr>
                <w:t>43</w:t>
              </w:r>
            </w:fldSimple>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企业级权限</w:t>
            </w:r>
          </w:p>
        </w:tc>
        <w:tc>
          <w:tcPr/>
          <w:p>
            <w:pPr>
              <w:pStyle w:val="Compact"/>
              <w:jc w:val="center"/>
            </w:pPr>
            <w:r>
              <w:t xml:space="preserve">水印+离职自动回收</w:t>
            </w:r>
            <w:r>
              <w:t xml:space="preserve"> </w:t>
            </w:r>
            <w:fldSimple w:instr="NOTEREF _Ref_Footnote_44 \h \f">
              <w:r>
                <w:rPr>
                  <w:vertAlign w:val="superscript"/>
                </w:rPr>
                <w:t>44</w:t>
              </w:r>
            </w:fldSimple>
          </w:p>
        </w:tc>
        <w:tc>
          <w:tcPr/>
          <w:p>
            <w:pPr>
              <w:pStyle w:val="Compact"/>
              <w:jc w:val="center"/>
            </w:pPr>
            <w:r>
              <w:t xml:space="preserve">Business+</w:t>
            </w:r>
            <w:r>
              <w:t xml:space="preserve"> </w:t>
            </w:r>
            <w:fldSimple w:instr="NOTEREF _Ref_Footnote_54 \h \f">
              <w:r>
                <w:rPr>
                  <w:vertAlign w:val="superscript"/>
                </w:rPr>
                <w:t>54</w:t>
              </w:r>
            </w:fldSimple>
          </w:p>
        </w:tc>
        <w:tc>
          <w:tcPr/>
          <w:p>
            <w:pPr>
              <w:pStyle w:val="Compact"/>
              <w:jc w:val="center"/>
            </w:pPr>
            <w:r>
              <w:t xml:space="preserve">页面级+空间级</w:t>
            </w:r>
            <w:r>
              <w:t xml:space="preserve"> </w:t>
            </w:r>
            <w:r>
              <w:rPr>
                <w:vertAlign w:val="superscript"/>
              </w:rPr>
              <w:footnoteReference w:id="61"/>
            </w:r>
          </w:p>
        </w:tc>
        <w:tc>
          <w:tcPr/>
          <w:p>
            <w:pPr>
              <w:pStyle w:val="Compact"/>
              <w:jc w:val="center"/>
            </w:pPr>
            <w:r>
              <w:t xml:space="preserve">基础RBAC</w:t>
            </w:r>
          </w:p>
        </w:tc>
        <w:tc>
          <w:tcPr/>
          <w:p>
            <w:pPr>
              <w:pStyle w:val="Compact"/>
              <w:jc w:val="center"/>
            </w:pPr>
            <w:r>
              <w:t xml:space="preserve">企业版支持</w:t>
            </w:r>
          </w:p>
        </w:tc>
      </w:tr>
      <w:tr>
        <w:tc>
          <w:tcPr/>
          <w:p>
            <w:pPr>
              <w:pStyle w:val="Compact"/>
              <w:jc w:val="left"/>
            </w:pPr>
            <w:r>
              <w:t xml:space="preserve">与IM深度集成</w:t>
            </w:r>
          </w:p>
        </w:tc>
        <w:tc>
          <w:tcPr/>
          <w:p>
            <w:pPr>
              <w:pStyle w:val="Compact"/>
              <w:jc w:val="center"/>
            </w:pPr>
            <w:r>
              <w:t xml:space="preserve">飞书IM原生</w:t>
            </w:r>
          </w:p>
        </w:tc>
        <w:tc>
          <w:tcPr/>
          <w:p>
            <w:pPr>
              <w:pStyle w:val="Compact"/>
              <w:jc w:val="center"/>
            </w:pPr>
            <w:r>
              <w:t xml:space="preserve">Slack集成</w:t>
            </w:r>
          </w:p>
        </w:tc>
        <w:tc>
          <w:tcPr/>
          <w:p>
            <w:pPr>
              <w:pStyle w:val="Compact"/>
              <w:jc w:val="center"/>
            </w:pPr>
            <w:r>
              <w:t xml:space="preserve">Slack集成</w:t>
            </w:r>
          </w:p>
        </w:tc>
        <w:tc>
          <w:tcPr/>
          <w:p>
            <w:pPr>
              <w:pStyle w:val="Compact"/>
              <w:jc w:val="center"/>
            </w:pPr>
            <w:r>
              <w:t xml:space="preserve">无</w:t>
            </w:r>
          </w:p>
        </w:tc>
        <w:tc>
          <w:tcPr/>
          <w:p>
            <w:pPr>
              <w:pStyle w:val="Compact"/>
              <w:jc w:val="center"/>
            </w:pPr>
            <w:r>
              <w:t xml:space="preserve">企业微信原生</w:t>
            </w:r>
          </w:p>
        </w:tc>
      </w:tr>
      <w:tr>
        <w:tc>
          <w:tcPr/>
          <w:p>
            <w:pPr>
              <w:pStyle w:val="Compact"/>
              <w:jc w:val="left"/>
            </w:pPr>
            <w:r>
              <w:t xml:space="preserve">私有化部署</w:t>
            </w:r>
          </w:p>
        </w:tc>
        <w:tc>
          <w:tcPr/>
          <w:p>
            <w:pPr>
              <w:pStyle w:val="Compact"/>
              <w:jc w:val="center"/>
            </w:pPr>
            <w:r>
              <w:t xml:space="preserve">企业版支持</w:t>
            </w:r>
          </w:p>
        </w:tc>
        <w:tc>
          <w:tcPr/>
          <w:p>
            <w:pPr>
              <w:pStyle w:val="Compact"/>
              <w:jc w:val="center"/>
            </w:pPr>
            <w:r>
              <w:t xml:space="preserve">❌ 不支持</w:t>
            </w:r>
            <w:r>
              <w:t xml:space="preserve"> </w:t>
            </w:r>
            <w:r>
              <w:rPr>
                <w:vertAlign w:val="superscript"/>
              </w:rPr>
              <w:footnoteReference w:id="62"/>
            </w:r>
          </w:p>
        </w:tc>
        <w:tc>
          <w:tcPr/>
          <w:p>
            <w:pPr>
              <w:pStyle w:val="Compact"/>
              <w:jc w:val="center"/>
            </w:pPr>
            <w:r>
              <w:t xml:space="preserve">Data Center版</w:t>
            </w:r>
          </w:p>
        </w:tc>
        <w:tc>
          <w:tcPr/>
          <w:p>
            <w:pPr>
              <w:pStyle w:val="Compact"/>
              <w:jc w:val="center"/>
            </w:pPr>
            <w:r>
              <w:t xml:space="preserve">❌</w:t>
            </w:r>
          </w:p>
        </w:tc>
        <w:tc>
          <w:tcPr/>
          <w:p>
            <w:pPr>
              <w:pStyle w:val="Compact"/>
              <w:jc w:val="center"/>
            </w:pPr>
            <w:r>
              <w:t xml:space="preserve">500人起</w:t>
            </w:r>
            <w:r>
              <w:t xml:space="preserve"> </w:t>
            </w:r>
            <w:r>
              <w:rPr>
                <w:vertAlign w:val="superscript"/>
              </w:rPr>
              <w:footnoteReference w:id="63"/>
            </w:r>
          </w:p>
        </w:tc>
      </w:tr>
      <w:tr>
        <w:tc>
          <w:tcPr/>
          <w:p>
            <w:pPr>
              <w:pStyle w:val="Compact"/>
              <w:jc w:val="left"/>
            </w:pPr>
            <w:r>
              <w:t xml:space="preserve">50人团队年成本</w:t>
            </w:r>
          </w:p>
        </w:tc>
        <w:tc>
          <w:tcPr/>
          <w:p>
            <w:pPr>
              <w:pStyle w:val="Compact"/>
              <w:jc w:val="center"/>
            </w:pPr>
            <w:r>
              <w:t xml:space="preserve">~¥4.8万</w:t>
            </w:r>
          </w:p>
        </w:tc>
        <w:tc>
          <w:tcPr/>
          <w:p>
            <w:pPr>
              <w:pStyle w:val="Compact"/>
              <w:jc w:val="center"/>
            </w:pPr>
            <w:r>
              <w:t xml:space="preserve">~$1.2万</w:t>
            </w:r>
          </w:p>
        </w:tc>
        <w:tc>
          <w:tcPr/>
          <w:p>
            <w:pPr>
              <w:pStyle w:val="Compact"/>
              <w:jc w:val="center"/>
            </w:pPr>
            <w:r>
              <w:t xml:space="preserve">~$3{,}252</w:t>
            </w:r>
          </w:p>
        </w:tc>
        <w:tc>
          <w:tcPr/>
          <w:p>
            <w:pPr>
              <w:pStyle w:val="Compact"/>
              <w:jc w:val="center"/>
            </w:pPr>
            <w:r>
              <w:t xml:space="preserve">¥0.5-1万</w:t>
            </w:r>
          </w:p>
        </w:tc>
        <w:tc>
          <w:tcPr/>
          <w:p>
            <w:pPr>
              <w:pStyle w:val="Compact"/>
              <w:jc w:val="center"/>
            </w:pPr>
            <w:r>
              <w:t xml:space="preserve">¥1.3-1.5万</w:t>
            </w:r>
          </w:p>
        </w:tc>
      </w:tr>
    </w:tbl>
    <w:p>
      <w:pPr>
        <w:pStyle w:val="BodyText"/>
      </w:pPr>
      <w:r>
        <w:t xml:space="preserve">上表揭示了五平台在企业SOP场景中的能力分化。飞书文档和Confluence在审批工作流与合规审计维度形成双峰对峙——飞书以IM原生集成和AI能力见长，Confluence以合规深度和权限 granularity 领先。Notion在灵活性和用户满意度方面表现优异，但无内置审批流和规模化性能问题限制了其在大中型企业SOP管理中的应用。语雀和腾讯文档分别受限于导出锁定和Markdown缺失，在AI工作流集成的维度上存在结构性短板。</w:t>
      </w:r>
    </w:p>
    <w:p>
      <w:pPr>
        <w:pStyle w:val="CaptionedFigure"/>
      </w:pPr>
      <w:r>
        <w:drawing>
          <wp:inline>
            <wp:extent cx="5334000" cy="3030419"/>
            <wp:effectExtent b="0" l="0" r="0" t="0"/>
            <wp:docPr descr="五大文档协作平台十维度能力对比" title="" id="41" name="Picture"/>
            <a:graphic>
              <a:graphicData uri="http://schemas.openxmlformats.org/drawingml/2006/picture">
                <pic:pic>
                  <pic:nvPicPr>
                    <pic:cNvPr descr="platform_comparison_chart.png" id="42" name="Picture"/>
                    <pic:cNvPicPr>
                      <a:picLocks noChangeArrowheads="1" noChangeAspect="1"/>
                    </pic:cNvPicPr>
                  </pic:nvPicPr>
                  <pic:blipFill>
                    <a:blip r:embed="rId40"/>
                    <a:stretch>
                      <a:fillRect/>
                    </a:stretch>
                  </pic:blipFill>
                  <pic:spPr bwMode="auto">
                    <a:xfrm>
                      <a:off x="0" y="0"/>
                      <a:ext cx="5334000" cy="3030419"/>
                    </a:xfrm>
                    <a:prstGeom prst="rect">
                      <a:avLst/>
                    </a:prstGeom>
                    <a:noFill/>
                    <a:ln w="9525">
                      <a:noFill/>
                      <a:headEnd/>
                      <a:tailEnd/>
                    </a:ln>
                  </pic:spPr>
                </pic:pic>
              </a:graphicData>
            </a:graphic>
          </wp:inline>
        </w:drawing>
      </w:r>
    </w:p>
    <w:p>
      <w:pPr>
        <w:pStyle w:val="ImageCaption"/>
      </w:pPr>
      <w:r>
        <w:t xml:space="preserve">五大文档协作平台十维度能力对比</w:t>
      </w:r>
    </w:p>
    <w:p>
      <w:pPr>
        <w:pStyle w:val="BodyText"/>
      </w:pPr>
      <w:r>
        <w:t xml:space="preserve">上图基于SOP场景权重（编写体验15%、审批工作流15%、版本控制10%、权限审计10%、表格数据10%、导出互通10%、AI能力10%、IM集成10%、移动端5%、TCO成本5%）绘制。飞书文档以8.55分领先，主要优势集中在IM集成（10.0）、表格/数据（9.5）和AI能力（9.5）三个维度；Confluence以7.90分紧随其后，在审批工作流（10.0）和权限审计（10.0）上获得满分；Notion（6.58分）、腾讯文档（6.48分）和语雀（6.10分）的得分差距反映了它们在企业级SOP管理功能深度上的不足。</w:t>
      </w:r>
    </w:p>
    <w:bookmarkEnd w:id="43"/>
    <w:bookmarkEnd w:id="44"/>
    <w:bookmarkStart w:id="48" w:name="markdown编辑器生态"/>
    <w:p>
      <w:pPr>
        <w:pStyle w:val="Heading3"/>
      </w:pPr>
      <w:r>
        <w:t xml:space="preserve">2.2 Markdown编辑器生态</w:t>
      </w:r>
    </w:p>
    <w:p>
      <w:pPr>
        <w:pStyle w:val="FirstParagraph"/>
      </w:pPr>
      <w:r>
        <w:t xml:space="preserve">Markdown作为轻量级标记语言，在AI友好性方面具有天然优势——纯文本格式减少67-90%的token消耗，RAG（Retrieval-Augmented Generation，检索增强生成）准确率相比富文本格式提升约35%</w:t>
      </w:r>
      <w:r>
        <w:t xml:space="preserve"> </w:t>
      </w:r>
      <w:fldSimple w:instr="NOTEREF _Ref_Footnote_48 \h \f">
        <w:r>
          <w:rPr>
            <w:vertAlign w:val="superscript"/>
          </w:rPr>
          <w:t>48</w:t>
        </w:r>
      </w:fldSimple>
      <w:r>
        <w:t xml:space="preserve"> </w:t>
      </w:r>
      <w:fldSimple w:instr="NOTEREF _Ref_Footnote_50 \h \f">
        <w:r>
          <w:rPr>
            <w:vertAlign w:val="superscript"/>
          </w:rPr>
          <w:t>50</w:t>
        </w:r>
      </w:fldSimple>
      <w:r>
        <w:t xml:space="preserve">。然而，Markdown对人类编辑者（尤其需要图文并茂的SOP编写者）的友好度长期存在争议。原生Markdown表格语法被广泛认为是”糟糕的”（awful），列对齐和添加列操作极其繁琐；图片插入需要”截图→保存→写路径→验证”的多步工作流，friction较高</w:t>
      </w:r>
      <w:r>
        <w:t xml:space="preserve"> </w:t>
      </w:r>
      <w:fldSimple w:instr="NOTEREF _Ref_Footnote_4 \h \f">
        <w:r>
          <w:rPr>
            <w:vertAlign w:val="superscript"/>
          </w:rPr>
          <w:t>4</w:t>
        </w:r>
      </w:fldSimple>
      <w:r>
        <w:t xml:space="preserve">。</w:t>
      </w:r>
    </w:p>
    <w:bookmarkStart w:id="45" w:name="typora唯一真正无缝wysiwyg-markdown体验"/>
    <w:p>
      <w:pPr>
        <w:pStyle w:val="Heading4"/>
      </w:pPr>
      <w:r>
        <w:t xml:space="preserve">2.2.1 Typora：唯一真正无缝WYSIWYG Markdown体验</w:t>
      </w:r>
    </w:p>
    <w:p>
      <w:pPr>
        <w:pStyle w:val="FirstParagraph"/>
      </w:pPr>
      <w:r>
        <w:t xml:space="preserve">Typora在Markdown编辑器中占据独特地位——它是唯一实现”语法消失”的真正WYSIWYG体验的编辑器，输入</w:t>
      </w:r>
      <w:r>
        <w:rPr>
          <w:rStyle w:val="VerbatimChar"/>
        </w:rPr>
        <w:t xml:space="preserve">## Heading</w:t>
      </w:r>
      <w:r>
        <w:t xml:space="preserve">后立即变为格式化标题，用户在编辑过程中完全无需看到Markdown语法标记</w:t>
      </w:r>
      <w:r>
        <w:t xml:space="preserve"> </w:t>
      </w:r>
      <w:fldSimple w:instr="NOTEREF _Ref_Footnote_37 \h \f">
        <w:r>
          <w:rPr>
            <w:vertAlign w:val="superscript"/>
          </w:rPr>
          <w:t>37</w:t>
        </w:r>
      </w:fldSimple>
      <w:r>
        <w:t xml:space="preserve">。这一特性使非技术用户可以在不学习Markdown语法的情况下获得Markdown格式的全部优势。</w:t>
      </w:r>
    </w:p>
    <w:p>
      <w:pPr>
        <w:pStyle w:val="BodyText"/>
      </w:pPr>
      <w:r>
        <w:t xml:space="preserve">在SOP编写相关的功能维度，Typora的图形化表格编辑器支持右键菜单添加/删除行列和可视化调整列宽，表格编辑体验在所有Markdown编辑器中被评为”最佳”</w:t>
      </w:r>
      <w:r>
        <w:t xml:space="preserve"> </w:t>
      </w:r>
      <w:fldSimple w:instr="NOTEREF _Ref_Footnote_37 \h \f">
        <w:r>
          <w:rPr>
            <w:vertAlign w:val="superscript"/>
          </w:rPr>
          <w:t>37</w:t>
        </w:r>
      </w:fldSimple>
      <w:r>
        <w:t xml:space="preserve">。内置Mermaid图表渲染允许在文档中直接嵌入流程图和序列图，对设备SOP中的操作流程可视化极具价值。通过Pandoc集成，Typora可导出PDF、HTML、Word和LaTeX格式，其中导出Word质量评分8.5/10，仅次于VS Code+Pandoc组合的9.5/10</w:t>
      </w:r>
      <w:r>
        <w:t xml:space="preserve"> </w:t>
      </w:r>
      <w:r>
        <w:rPr>
          <w:vertAlign w:val="superscript"/>
        </w:rPr>
        <w:footnoteReference w:id="64"/>
      </w:r>
      <w:r>
        <w:t xml:space="preserve">。</w:t>
      </w:r>
    </w:p>
    <w:p>
      <w:pPr>
        <w:pStyle w:val="BodyText"/>
      </w:pPr>
      <w:r>
        <w:t xml:space="preserve">Typora的定价模式为一次性购买$14.99，支持3台设备，无订阅费用</w:t>
      </w:r>
      <w:r>
        <w:t xml:space="preserve"> </w:t>
      </w:r>
      <w:fldSimple w:instr="NOTEREF _Ref_Footnote_26 \h \f">
        <w:r>
          <w:rPr>
            <w:vertAlign w:val="superscript"/>
          </w:rPr>
          <w:t>26</w:t>
        </w:r>
      </w:fldSimple>
      <w:r>
        <w:t xml:space="preserve">。但其关键局限同样突出：无插件API（仅CSS主题自定义）、无版本控制UI（需外部Git管理）、无协作或同步功能（纯本地文件）、无移动端应用、VoiceOver屏幕阅读器完全不兼容</w:t>
      </w:r>
      <w:r>
        <w:t xml:space="preserve"> </w:t>
      </w:r>
      <w:fldSimple w:instr="NOTEREF _Ref_Footnote_37 \h \f">
        <w:r>
          <w:rPr>
            <w:vertAlign w:val="superscript"/>
          </w:rPr>
          <w:t>37</w:t>
        </w:r>
      </w:fldSimple>
      <w:r>
        <w:t xml:space="preserve"> </w:t>
      </w:r>
      <w:fldSimple w:instr="NOTEREF _Ref_Footnote_26 \h \f">
        <w:r>
          <w:rPr>
            <w:vertAlign w:val="superscript"/>
          </w:rPr>
          <w:t>26</w:t>
        </w:r>
      </w:fldSimple>
      <w:r>
        <w:t xml:space="preserve"> </w:t>
      </w:r>
      <w:fldSimple w:instr="NOTEREF _Ref_Footnote_41 \h \f">
        <w:r>
          <w:rPr>
            <w:vertAlign w:val="superscript"/>
          </w:rPr>
          <w:t>41</w:t>
        </w:r>
      </w:fldSimple>
      <w:r>
        <w:t xml:space="preserve">。Typora本质上是一个”编辑器”而非”笔记系统”或”协作平台”，适合个人SOP编写而非团队级SOP管理。</w:t>
      </w:r>
    </w:p>
    <w:bookmarkEnd w:id="45"/>
    <w:bookmarkStart w:id="46" w:name="obsidian与vs-code插件生态的强大与门槛"/>
    <w:p>
      <w:pPr>
        <w:pStyle w:val="Heading4"/>
      </w:pPr>
      <w:r>
        <w:t xml:space="preserve">2.2.2 Obsidian与VS Code：插件生态的强大与门槛</w:t>
      </w:r>
    </w:p>
    <w:p>
      <w:pPr>
        <w:pStyle w:val="FirstParagraph"/>
      </w:pPr>
      <w:r>
        <w:t xml:space="preserve">Obsidian以本地优先（local-first）架构和1{,}500+社区插件生态著称，数据完全存储于本地Markdown文件，确保用户对数据的完全所有权</w:t>
      </w:r>
      <w:r>
        <w:t xml:space="preserve"> </w:t>
      </w:r>
      <w:fldSimple w:instr="NOTEREF _Ref_Footnote_43 \h \f">
        <w:r>
          <w:rPr>
            <w:vertAlign w:val="superscript"/>
          </w:rPr>
          <w:t>43</w:t>
        </w:r>
      </w:fldSimple>
      <w:r>
        <w:t xml:space="preserve">。其核心功能包括双向链接、图谱视图和高度可定制的工作区。对于技术团队而言，Obsidian的纯文本存储格式与Git版本控制天然兼容——</w:t>
      </w:r>
      <w:r>
        <w:t xml:space="preserve">“</w:t>
      </w:r>
      <w:r>
        <w:t xml:space="preserve">因为Markdown是纯文本，git diff完美工作。你可以用与代码相同的工具来追踪变更、审查编辑和协作。试着用Word文档做这些</w:t>
      </w:r>
      <w:r>
        <w:t xml:space="preserve">”</w:t>
      </w:r>
      <w:r>
        <w:t xml:space="preserve"> </w:t>
      </w:r>
      <w:fldSimple w:instr="NOTEREF _Ref_Footnote_38 \h \f">
        <w:r>
          <w:rPr>
            <w:vertAlign w:val="superscript"/>
          </w:rPr>
          <w:t>38</w:t>
        </w:r>
      </w:fldSimple>
      <w:r>
        <w:t xml:space="preserve">。</w:t>
      </w:r>
    </w:p>
    <w:p>
      <w:pPr>
        <w:pStyle w:val="BodyText"/>
      </w:pPr>
      <w:r>
        <w:t xml:space="preserve">然而，Obsidian对非技术用户的学习曲线显著陡峭。多位用户反馈：</w:t>
      </w:r>
      <w:r>
        <w:t xml:space="preserve">“</w:t>
      </w:r>
      <w:r>
        <w:t xml:space="preserve">Obsidian依赖Markdown，需要一些时间来适应……图谱功能虽然有趣，但效果参差不齐</w:t>
      </w:r>
      <w:r>
        <w:t xml:space="preserve">”</w:t>
      </w:r>
      <w:r>
        <w:t xml:space="preserve"> </w:t>
      </w:r>
      <w:r>
        <w:rPr>
          <w:vertAlign w:val="superscript"/>
        </w:rPr>
        <w:footnoteReference w:id="65"/>
      </w:r>
      <w:r>
        <w:t xml:space="preserve">。图表功能对某些用户是”命中或失误”</w:t>
      </w:r>
      <w:r>
        <w:t xml:space="preserve"> </w:t>
      </w:r>
      <w:fldSimple w:instr="NOTEREF _Ref_Footnote_65 \h \f">
        <w:r>
          <w:rPr>
            <w:vertAlign w:val="superscript"/>
          </w:rPr>
          <w:t>65</w:t>
        </w:r>
      </w:fldSimple>
      <w:r>
        <w:t xml:space="preserve">。虽然Obsidian基础语法学习曲线仅15-30分钟，但表格、图片、图表等SOP常用功能将学习时间延长至1-2小时</w:t>
      </w:r>
      <w:r>
        <w:t xml:space="preserve"> </w:t>
      </w:r>
      <w:fldSimple w:instr="NOTEREF _Ref_Footnote_34 \h \f">
        <w:r>
          <w:rPr>
            <w:vertAlign w:val="superscript"/>
          </w:rPr>
          <w:t>34</w:t>
        </w:r>
      </w:fldSimple>
      <w:r>
        <w:t xml:space="preserve">。导出Word质量评分仅6.5/10，主要因为专有语法（wikilinks、embeds、callouts）转换不干净</w:t>
      </w:r>
      <w:r>
        <w:t xml:space="preserve"> </w:t>
      </w:r>
      <w:fldSimple w:instr="NOTEREF _Ref_Footnote_64 \h \f">
        <w:r>
          <w:rPr>
            <w:vertAlign w:val="superscript"/>
          </w:rPr>
          <w:t>64</w:t>
        </w:r>
      </w:fldSimple>
      <w:r>
        <w:t xml:space="preserve">。</w:t>
      </w:r>
    </w:p>
    <w:p>
      <w:pPr>
        <w:pStyle w:val="BodyText"/>
      </w:pPr>
      <w:r>
        <w:t xml:space="preserve">VS Code配合Pandoc插件的组合在技术团队中口碑最高（综合评分9.5/10），导出Word质量同样为9.5/10</w:t>
      </w:r>
      <w:r>
        <w:t xml:space="preserve"> </w:t>
      </w:r>
      <w:fldSimple w:instr="NOTEREF _Ref_Footnote_64 \h \f">
        <w:r>
          <w:rPr>
            <w:vertAlign w:val="superscript"/>
          </w:rPr>
          <w:t>64</w:t>
        </w:r>
      </w:fldSimple>
      <w:r>
        <w:t xml:space="preserve">。通过命令行参数可完全控制Pandoc选项，自定义参考模板和过滤器，生成的DOCX与手动格式化的Word文档几乎无法区分。但VS Code的学习曲线对所有非开发者用户都构成显著门槛——需要理解分屏预览、Pandoc配置、命令行操作等概念。</w:t>
      </w:r>
    </w:p>
    <w:bookmarkEnd w:id="46"/>
    <w:bookmarkStart w:id="47" w:name="X9057bcf8334eb7b9e0d3f65dabeccb83812e314"/>
    <w:p>
      <w:pPr>
        <w:pStyle w:val="Heading4"/>
      </w:pPr>
      <w:r>
        <w:t xml:space="preserve">2.2.3 Milkdown与Editor.md：WYSIWYG Markdown的双向绑定方案</w:t>
      </w:r>
    </w:p>
    <w:p>
      <w:pPr>
        <w:pStyle w:val="FirstParagraph"/>
      </w:pPr>
      <w:r>
        <w:t xml:space="preserve">Milkdown和Editor.md代表了”WYSIWYG编辑器 → Markdown存储 → 多格式输出”架构的技术前沿。两者均基于ProseMirror框架构建，通过Remark/Markdown-it实现Markdown解析，声称达到100%准确的Markdown双向绑定——即WYSIWYG编辑器的操作与Markdown源码之间实现无损转换</w:t>
      </w:r>
      <w:r>
        <w:t xml:space="preserve"> </w:t>
      </w:r>
      <w:fldSimple w:instr="NOTEREF _Ref_Footnote_46 \h \f">
        <w:r>
          <w:rPr>
            <w:vertAlign w:val="superscript"/>
          </w:rPr>
          <w:t>46</w:t>
        </w:r>
      </w:fldSimple>
      <w:r>
        <w:t xml:space="preserve">。</w:t>
      </w:r>
    </w:p>
    <w:p>
      <w:pPr>
        <w:pStyle w:val="BodyText"/>
      </w:pPr>
      <w:r>
        <w:t xml:space="preserve">这一架构的技术优势在于：编辑层使用富文本交互降低非技术用户门槛，存储层使用纯Markdown确保AI可读性和版本控制友好性，输出层通过统一转换管道生成Word、PDF、HTML等格式。2025年CKEditor团队发布的协作编辑状态报告显示，42%的受访者预测”与AI协作”将成为未来最重要的协作编辑功能，65%将协作工具评为”极其重要”或”非常重要”</w:t>
      </w:r>
      <w:r>
        <w:t xml:space="preserve"> </w:t>
      </w:r>
      <w:fldSimple w:instr="NOTEREF _Ref_Footnote_12 \h \f">
        <w:r>
          <w:rPr>
            <w:vertAlign w:val="superscript"/>
          </w:rPr>
          <w:t>12</w:t>
        </w:r>
      </w:fldSimple>
      <w:r>
        <w:t xml:space="preserve">。Milkdown等工具通过CRDT（Conflict-free Replicated Data Type，无冲突复制数据类型）技术（如Yjs库）使Markdown实时协作成为可行</w:t>
      </w:r>
      <w:r>
        <w:t xml:space="preserve"> </w:t>
      </w:r>
      <w:fldSimple w:instr="NOTEREF _Ref_Footnote_60 \h \f">
        <w:r>
          <w:rPr>
            <w:vertAlign w:val="superscript"/>
          </w:rPr>
          <w:t>60</w:t>
        </w:r>
      </w:fldSimple>
      <w:r>
        <w:t xml:space="preserve">，Shelf等新兴编辑器已提供Google Docs式的Markdown协作体验</w:t>
      </w:r>
      <w:r>
        <w:t xml:space="preserve"> </w:t>
      </w:r>
      <w:r>
        <w:rPr>
          <w:vertAlign w:val="superscript"/>
        </w:rPr>
        <w:footnoteReference w:id="66"/>
      </w:r>
      <w:r>
        <w:t xml:space="preserve">。</w:t>
      </w:r>
    </w:p>
    <w:p>
      <w:pPr>
        <w:pStyle w:val="BodyText"/>
      </w:pPr>
      <w:r>
        <w:t xml:space="preserve">但需注意，这些方案的企业级稳定性尚待验证。CRDT在富文本编辑中的实现极其复杂——CKEditor 5团队花了四年时间构建冲突解决系统，关闭了5{,}700+张工单，运行了12{,}500+项测试</w:t>
      </w:r>
      <w:r>
        <w:t xml:space="preserve"> </w:t>
      </w:r>
      <w:r>
        <w:rPr>
          <w:vertAlign w:val="superscript"/>
        </w:rPr>
        <w:footnoteReference w:id="67"/>
      </w:r>
      <w:r>
        <w:t xml:space="preserve">。Markdown的实时协作在技术上可行，但实际体验仍不如原生富文本协作平台成熟。</w:t>
      </w:r>
    </w:p>
    <w:p>
      <w:pPr>
        <w:pStyle w:val="BodyText"/>
      </w:pPr>
      <w:r>
        <w:rPr>
          <w:bCs/>
          <w:b/>
        </w:rPr>
        <w:t xml:space="preserve">表2 Markdown编辑器综合评测矩阵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评测维度</w:t>
            </w:r>
          </w:p>
        </w:tc>
        <w:tc>
          <w:tcPr/>
          <w:p>
            <w:pPr>
              <w:pStyle w:val="Compact"/>
              <w:jc w:val="center"/>
            </w:pPr>
            <w:r>
              <w:t xml:space="preserve">Typora</w:t>
            </w:r>
          </w:p>
        </w:tc>
        <w:tc>
          <w:tcPr/>
          <w:p>
            <w:pPr>
              <w:pStyle w:val="Compact"/>
              <w:jc w:val="center"/>
            </w:pPr>
            <w:r>
              <w:t xml:space="preserve">Obsidian</w:t>
            </w:r>
          </w:p>
        </w:tc>
        <w:tc>
          <w:tcPr/>
          <w:p>
            <w:pPr>
              <w:pStyle w:val="Compact"/>
              <w:jc w:val="center"/>
            </w:pPr>
            <w:r>
              <w:t xml:space="preserve">VS Code+Pandoc</w:t>
            </w:r>
          </w:p>
        </w:tc>
        <w:tc>
          <w:tcPr/>
          <w:p>
            <w:pPr>
              <w:pStyle w:val="Compact"/>
              <w:jc w:val="center"/>
            </w:pPr>
            <w:r>
              <w:t xml:space="preserve">Zettlr</w:t>
            </w:r>
          </w:p>
        </w:tc>
        <w:tc>
          <w:tcPr/>
          <w:p>
            <w:pPr>
              <w:pStyle w:val="Compact"/>
              <w:jc w:val="center"/>
            </w:pPr>
            <w:r>
              <w:t xml:space="preserve">Milkdown/Editor.md</w:t>
            </w:r>
          </w:p>
        </w:tc>
      </w:tr>
      <w:tr>
        <w:tc>
          <w:tcPr/>
          <w:p>
            <w:pPr>
              <w:pStyle w:val="Compact"/>
              <w:jc w:val="left"/>
            </w:pPr>
            <w:r>
              <w:t xml:space="preserve">WYSIWYG体验</w:t>
            </w:r>
          </w:p>
        </w:tc>
        <w:tc>
          <w:tcPr/>
          <w:p>
            <w:pPr>
              <w:pStyle w:val="Compact"/>
              <w:jc w:val="center"/>
            </w:pPr>
            <w:r>
              <w:t xml:space="preserve">真正无缝</w:t>
            </w:r>
            <w:r>
              <w:t xml:space="preserve"> </w:t>
            </w:r>
            <w:fldSimple w:instr="NOTEREF _Ref_Footnote_37 \h \f">
              <w:r>
                <w:rPr>
                  <w:vertAlign w:val="superscript"/>
                </w:rPr>
                <w:t>37</w:t>
              </w:r>
            </w:fldSimple>
          </w:p>
        </w:tc>
        <w:tc>
          <w:tcPr/>
          <w:p>
            <w:pPr>
              <w:pStyle w:val="Compact"/>
              <w:jc w:val="center"/>
            </w:pPr>
            <w:r>
              <w:t xml:space="preserve">实时预览</w:t>
            </w:r>
          </w:p>
        </w:tc>
        <w:tc>
          <w:tcPr/>
          <w:p>
            <w:pPr>
              <w:pStyle w:val="Compact"/>
              <w:jc w:val="center"/>
            </w:pPr>
            <w:r>
              <w:t xml:space="preserve">分屏预览</w:t>
            </w:r>
          </w:p>
        </w:tc>
        <w:tc>
          <w:tcPr/>
          <w:p>
            <w:pPr>
              <w:pStyle w:val="Compact"/>
              <w:jc w:val="center"/>
            </w:pPr>
            <w:r>
              <w:t xml:space="preserve">实时预览</w:t>
            </w:r>
          </w:p>
        </w:tc>
        <w:tc>
          <w:tcPr/>
          <w:p>
            <w:pPr>
              <w:pStyle w:val="Compact"/>
              <w:jc w:val="center"/>
            </w:pPr>
            <w:r>
              <w:t xml:space="preserve">基于ProseMirror</w:t>
            </w:r>
          </w:p>
        </w:tc>
      </w:tr>
      <w:tr>
        <w:tc>
          <w:tcPr/>
          <w:p>
            <w:pPr>
              <w:pStyle w:val="Compact"/>
              <w:jc w:val="left"/>
            </w:pPr>
            <w:r>
              <w:t xml:space="preserve">Word导出质量</w:t>
            </w:r>
          </w:p>
        </w:tc>
        <w:tc>
          <w:tcPr/>
          <w:p>
            <w:pPr>
              <w:pStyle w:val="Compact"/>
              <w:jc w:val="center"/>
            </w:pPr>
            <w:r>
              <w:t xml:space="preserve">8.5/10</w:t>
            </w:r>
            <w:r>
              <w:t xml:space="preserve"> </w:t>
            </w:r>
            <w:fldSimple w:instr="NOTEREF _Ref_Footnote_64 \h \f">
              <w:r>
                <w:rPr>
                  <w:vertAlign w:val="superscript"/>
                </w:rPr>
                <w:t>64</w:t>
              </w:r>
            </w:fldSimple>
          </w:p>
        </w:tc>
        <w:tc>
          <w:tcPr/>
          <w:p>
            <w:pPr>
              <w:pStyle w:val="Compact"/>
              <w:jc w:val="center"/>
            </w:pPr>
            <w:r>
              <w:t xml:space="preserve">6.5/10</w:t>
            </w:r>
            <w:r>
              <w:t xml:space="preserve"> </w:t>
            </w:r>
            <w:fldSimple w:instr="NOTEREF _Ref_Footnote_64 \h \f">
              <w:r>
                <w:rPr>
                  <w:vertAlign w:val="superscript"/>
                </w:rPr>
                <w:t>64</w:t>
              </w:r>
            </w:fldSimple>
          </w:p>
        </w:tc>
        <w:tc>
          <w:tcPr/>
          <w:p>
            <w:pPr>
              <w:pStyle w:val="Compact"/>
              <w:jc w:val="center"/>
            </w:pPr>
            <w:r>
              <w:rPr>
                <w:bCs/>
                <w:b/>
              </w:rPr>
              <w:t xml:space="preserve">9.5/10</w:t>
            </w:r>
            <w:r>
              <w:t xml:space="preserve"> </w:t>
            </w:r>
            <w:fldSimple w:instr="NOTEREF _Ref_Footnote_64 \h \f">
              <w:r>
                <w:rPr>
                  <w:vertAlign w:val="superscript"/>
                </w:rPr>
                <w:t>64</w:t>
              </w:r>
            </w:fldSimple>
          </w:p>
        </w:tc>
        <w:tc>
          <w:tcPr/>
          <w:p>
            <w:pPr>
              <w:pStyle w:val="Compact"/>
              <w:jc w:val="center"/>
            </w:pPr>
            <w:r>
              <w:t xml:space="preserve">8.8/10</w:t>
            </w:r>
            <w:r>
              <w:t xml:space="preserve"> </w:t>
            </w:r>
            <w:fldSimple w:instr="NOTEREF _Ref_Footnote_64 \h \f">
              <w:r>
                <w:rPr>
                  <w:vertAlign w:val="superscript"/>
                </w:rPr>
                <w:t>64</w:t>
              </w:r>
            </w:fldSimple>
          </w:p>
        </w:tc>
        <w:tc>
          <w:tcPr/>
          <w:p>
            <w:pPr>
              <w:pStyle w:val="Compact"/>
              <w:jc w:val="center"/>
            </w:pPr>
            <w:r>
              <w:t xml:space="preserve">依赖集成</w:t>
            </w:r>
          </w:p>
        </w:tc>
      </w:tr>
      <w:tr>
        <w:tc>
          <w:tcPr/>
          <w:p>
            <w:pPr>
              <w:pStyle w:val="Compact"/>
              <w:jc w:val="left"/>
            </w:pPr>
            <w:r>
              <w:t xml:space="preserve">表格编辑</w:t>
            </w:r>
          </w:p>
        </w:tc>
        <w:tc>
          <w:tcPr/>
          <w:p>
            <w:pPr>
              <w:pStyle w:val="Compact"/>
              <w:jc w:val="center"/>
            </w:pPr>
            <w:r>
              <w:t xml:space="preserve">图形化最佳</w:t>
            </w:r>
            <w:r>
              <w:t xml:space="preserve"> </w:t>
            </w:r>
            <w:fldSimple w:instr="NOTEREF _Ref_Footnote_37 \h \f">
              <w:r>
                <w:rPr>
                  <w:vertAlign w:val="superscript"/>
                </w:rPr>
                <w:t>37</w:t>
              </w:r>
            </w:fldSimple>
          </w:p>
        </w:tc>
        <w:tc>
          <w:tcPr/>
          <w:p>
            <w:pPr>
              <w:pStyle w:val="Compact"/>
              <w:jc w:val="center"/>
            </w:pPr>
            <w:r>
              <w:t xml:space="preserve">Advanced Tables插件</w:t>
            </w:r>
            <w:r>
              <w:t xml:space="preserve"> </w:t>
            </w:r>
            <w:fldSimple w:instr="NOTEREF _Ref_Footnote_62 \h \f">
              <w:r>
                <w:rPr>
                  <w:vertAlign w:val="superscript"/>
                </w:rPr>
                <w:t>62</w:t>
              </w:r>
            </w:fldSimple>
          </w:p>
        </w:tc>
        <w:tc>
          <w:tcPr/>
          <w:p>
            <w:pPr>
              <w:pStyle w:val="Compact"/>
              <w:jc w:val="center"/>
            </w:pPr>
            <w:r>
              <w:t xml:space="preserve">Table Editor插件</w:t>
            </w:r>
            <w:r>
              <w:t xml:space="preserve"> </w:t>
            </w:r>
            <w:r>
              <w:rPr>
                <w:vertAlign w:val="superscript"/>
              </w:rPr>
              <w:footnoteReference w:id="68"/>
            </w:r>
          </w:p>
        </w:tc>
        <w:tc>
          <w:tcPr/>
          <w:p>
            <w:pPr>
              <w:pStyle w:val="Compact"/>
              <w:jc w:val="center"/>
            </w:pPr>
            <w:r>
              <w:t xml:space="preserve">图形化</w:t>
            </w:r>
          </w:p>
        </w:tc>
        <w:tc>
          <w:tcPr/>
          <w:p>
            <w:pPr>
              <w:pStyle w:val="Compact"/>
              <w:jc w:val="center"/>
            </w:pPr>
            <w:r>
              <w:t xml:space="preserve">图形化</w:t>
            </w:r>
          </w:p>
        </w:tc>
      </w:tr>
      <w:tr>
        <w:tc>
          <w:tcPr/>
          <w:p>
            <w:pPr>
              <w:pStyle w:val="Compact"/>
              <w:jc w:val="left"/>
            </w:pPr>
            <w:r>
              <w:t xml:space="preserve">插件生态</w:t>
            </w:r>
          </w:p>
        </w:tc>
        <w:tc>
          <w:tcPr/>
          <w:p>
            <w:pPr>
              <w:pStyle w:val="Compact"/>
              <w:jc w:val="center"/>
            </w:pPr>
            <w:r>
              <w:t xml:space="preserve">仅CSS主题</w:t>
            </w:r>
            <w:r>
              <w:t xml:space="preserve"> </w:t>
            </w:r>
            <w:fldSimple w:instr="NOTEREF _Ref_Footnote_37 \h \f">
              <w:r>
                <w:rPr>
                  <w:vertAlign w:val="superscript"/>
                </w:rPr>
                <w:t>37</w:t>
              </w:r>
            </w:fldSimple>
          </w:p>
        </w:tc>
        <w:tc>
          <w:tcPr/>
          <w:p>
            <w:pPr>
              <w:pStyle w:val="Compact"/>
              <w:jc w:val="center"/>
            </w:pPr>
            <w:r>
              <w:t xml:space="preserve">1500+社区插件</w:t>
            </w:r>
          </w:p>
        </w:tc>
        <w:tc>
          <w:tcPr/>
          <w:p>
            <w:pPr>
              <w:pStyle w:val="Compact"/>
              <w:jc w:val="center"/>
            </w:pPr>
            <w:r>
              <w:t xml:space="preserve">50000+扩展</w:t>
            </w:r>
          </w:p>
        </w:tc>
        <w:tc>
          <w:tcPr/>
          <w:p>
            <w:pPr>
              <w:pStyle w:val="Compact"/>
              <w:jc w:val="center"/>
            </w:pPr>
            <w:r>
              <w:t xml:space="preserve">少量</w:t>
            </w:r>
          </w:p>
        </w:tc>
        <w:tc>
          <w:tcPr/>
          <w:p>
            <w:pPr>
              <w:pStyle w:val="Compact"/>
              <w:jc w:val="center"/>
            </w:pPr>
            <w:r>
              <w:t xml:space="preserve">可扩展</w:t>
            </w:r>
          </w:p>
        </w:tc>
      </w:tr>
      <w:tr>
        <w:tc>
          <w:tcPr/>
          <w:p>
            <w:pPr>
              <w:pStyle w:val="Compact"/>
              <w:jc w:val="left"/>
            </w:pPr>
            <w:r>
              <w:t xml:space="preserve">协作编辑</w:t>
            </w:r>
          </w:p>
        </w:tc>
        <w:tc>
          <w:tcPr/>
          <w:p>
            <w:pPr>
              <w:pStyle w:val="Compact"/>
              <w:jc w:val="center"/>
            </w:pPr>
            <w:r>
              <w:t xml:space="preserve">❌ 无</w:t>
            </w:r>
          </w:p>
        </w:tc>
        <w:tc>
          <w:tcPr/>
          <w:p>
            <w:pPr>
              <w:pStyle w:val="Compact"/>
              <w:jc w:val="center"/>
            </w:pPr>
            <w:r>
              <w:t xml:space="preserve">有限（需Sync）</w:t>
            </w:r>
          </w:p>
        </w:tc>
        <w:tc>
          <w:tcPr/>
          <w:p>
            <w:pPr>
              <w:pStyle w:val="Compact"/>
              <w:jc w:val="center"/>
            </w:pPr>
            <w:r>
              <w:t xml:space="preserve">需配置</w:t>
            </w:r>
          </w:p>
        </w:tc>
        <w:tc>
          <w:tcPr/>
          <w:p>
            <w:pPr>
              <w:pStyle w:val="Compact"/>
              <w:jc w:val="center"/>
            </w:pPr>
            <w:r>
              <w:t xml:space="preserve">❌ 无</w:t>
            </w:r>
          </w:p>
        </w:tc>
        <w:tc>
          <w:tcPr/>
          <w:p>
            <w:pPr>
              <w:pStyle w:val="Compact"/>
              <w:jc w:val="center"/>
            </w:pPr>
            <w:r>
              <w:t xml:space="preserve">CRDT实时协作</w:t>
            </w:r>
            <w:r>
              <w:t xml:space="preserve"> </w:t>
            </w:r>
            <w:fldSimple w:instr="NOTEREF _Ref_Footnote_60 \h \f">
              <w:r>
                <w:rPr>
                  <w:vertAlign w:val="superscript"/>
                </w:rPr>
                <w:t>60</w:t>
              </w:r>
            </w:fldSimple>
          </w:p>
        </w:tc>
      </w:tr>
      <w:tr>
        <w:tc>
          <w:tcPr/>
          <w:p>
            <w:pPr>
              <w:pStyle w:val="Compact"/>
              <w:jc w:val="left"/>
            </w:pPr>
            <w:r>
              <w:t xml:space="preserve">移动端</w:t>
            </w:r>
          </w:p>
        </w:tc>
        <w:tc>
          <w:tcPr/>
          <w:p>
            <w:pPr>
              <w:pStyle w:val="Compact"/>
              <w:jc w:val="center"/>
            </w:pPr>
            <w:r>
              <w:t xml:space="preserve">❌ 无</w:t>
            </w:r>
            <w:r>
              <w:t xml:space="preserve"> </w:t>
            </w:r>
            <w:fldSimple w:instr="NOTEREF _Ref_Footnote_26 \h \f">
              <w:r>
                <w:rPr>
                  <w:vertAlign w:val="superscript"/>
                </w:rPr>
                <w:t>26</w:t>
              </w:r>
            </w:fldSimple>
          </w:p>
        </w:tc>
        <w:tc>
          <w:tcPr/>
          <w:p>
            <w:pPr>
              <w:pStyle w:val="Compact"/>
              <w:jc w:val="center"/>
            </w:pPr>
            <w:r>
              <w:t xml:space="preserve">iOS+Android</w:t>
            </w:r>
          </w:p>
        </w:tc>
        <w:tc>
          <w:tcPr/>
          <w:p>
            <w:pPr>
              <w:pStyle w:val="Compact"/>
              <w:jc w:val="center"/>
            </w:pPr>
            <w:r>
              <w:t xml:space="preserve">❌ 无</w:t>
            </w:r>
          </w:p>
        </w:tc>
        <w:tc>
          <w:tcPr/>
          <w:p>
            <w:pPr>
              <w:pStyle w:val="Compact"/>
              <w:jc w:val="center"/>
            </w:pPr>
            <w:r>
              <w:t xml:space="preserve">❌ 无</w:t>
            </w:r>
          </w:p>
        </w:tc>
        <w:tc>
          <w:tcPr/>
          <w:p>
            <w:pPr>
              <w:pStyle w:val="Compact"/>
              <w:jc w:val="center"/>
            </w:pPr>
            <w:r>
              <w:t xml:space="preserve">依赖部署</w:t>
            </w:r>
          </w:p>
        </w:tc>
      </w:tr>
      <w:tr>
        <w:tc>
          <w:tcPr/>
          <w:p>
            <w:pPr>
              <w:pStyle w:val="Compact"/>
              <w:jc w:val="left"/>
            </w:pPr>
            <w:r>
              <w:t xml:space="preserve">版本控制</w:t>
            </w:r>
          </w:p>
        </w:tc>
        <w:tc>
          <w:tcPr/>
          <w:p>
            <w:pPr>
              <w:pStyle w:val="Compact"/>
              <w:jc w:val="center"/>
            </w:pPr>
            <w:r>
              <w:t xml:space="preserve">❌ 无UI</w:t>
            </w:r>
            <w:r>
              <w:t xml:space="preserve"> </w:t>
            </w:r>
            <w:fldSimple w:instr="NOTEREF _Ref_Footnote_37 \h \f">
              <w:r>
                <w:rPr>
                  <w:vertAlign w:val="superscript"/>
                </w:rPr>
                <w:t>37</w:t>
              </w:r>
            </w:fldSimple>
          </w:p>
        </w:tc>
        <w:tc>
          <w:tcPr/>
          <w:p>
            <w:pPr>
              <w:pStyle w:val="Compact"/>
              <w:jc w:val="center"/>
            </w:pPr>
            <w:r>
              <w:t xml:space="preserve">Git友好</w:t>
            </w:r>
          </w:p>
        </w:tc>
        <w:tc>
          <w:tcPr/>
          <w:p>
            <w:pPr>
              <w:pStyle w:val="Compact"/>
              <w:jc w:val="center"/>
            </w:pPr>
            <w:r>
              <w:t xml:space="preserve">Git原生</w:t>
            </w:r>
          </w:p>
        </w:tc>
        <w:tc>
          <w:tcPr/>
          <w:p>
            <w:pPr>
              <w:pStyle w:val="Compact"/>
              <w:jc w:val="center"/>
            </w:pPr>
            <w:r>
              <w:t xml:space="preserve">Git友好</w:t>
            </w:r>
          </w:p>
        </w:tc>
        <w:tc>
          <w:tcPr/>
          <w:p>
            <w:pPr>
              <w:pStyle w:val="Compact"/>
              <w:jc w:val="center"/>
            </w:pPr>
            <w:r>
              <w:t xml:space="preserve">Git友好</w:t>
            </w:r>
          </w:p>
        </w:tc>
      </w:tr>
      <w:tr>
        <w:tc>
          <w:tcPr/>
          <w:p>
            <w:pPr>
              <w:pStyle w:val="Compact"/>
              <w:jc w:val="left"/>
            </w:pPr>
            <w:r>
              <w:t xml:space="preserve">学习曲线</w:t>
            </w:r>
          </w:p>
        </w:tc>
        <w:tc>
          <w:tcPr/>
          <w:p>
            <w:pPr>
              <w:pStyle w:val="Compact"/>
              <w:jc w:val="center"/>
            </w:pPr>
            <w:r>
              <w:t xml:space="preserve">低（非技术友好）</w:t>
            </w:r>
          </w:p>
        </w:tc>
        <w:tc>
          <w:tcPr/>
          <w:p>
            <w:pPr>
              <w:pStyle w:val="Compact"/>
              <w:jc w:val="center"/>
            </w:pPr>
            <w:r>
              <w:t xml:space="preserve">中（需配置）</w:t>
            </w:r>
          </w:p>
        </w:tc>
        <w:tc>
          <w:tcPr/>
          <w:p>
            <w:pPr>
              <w:pStyle w:val="Compact"/>
              <w:jc w:val="center"/>
            </w:pPr>
            <w:r>
              <w:t xml:space="preserve">高（技术向）</w:t>
            </w:r>
          </w:p>
        </w:tc>
        <w:tc>
          <w:tcPr/>
          <w:p>
            <w:pPr>
              <w:pStyle w:val="Compact"/>
              <w:jc w:val="center"/>
            </w:pPr>
            <w:r>
              <w:t xml:space="preserve">低-中</w:t>
            </w:r>
          </w:p>
        </w:tc>
        <w:tc>
          <w:tcPr/>
          <w:p>
            <w:pPr>
              <w:pStyle w:val="Compact"/>
              <w:jc w:val="center"/>
            </w:pPr>
            <w:r>
              <w:t xml:space="preserve">低-中</w:t>
            </w:r>
          </w:p>
        </w:tc>
      </w:tr>
      <w:tr>
        <w:tc>
          <w:tcPr/>
          <w:p>
            <w:pPr>
              <w:pStyle w:val="Compact"/>
              <w:jc w:val="left"/>
            </w:pPr>
            <w:r>
              <w:t xml:space="preserve">定价</w:t>
            </w:r>
          </w:p>
        </w:tc>
        <w:tc>
          <w:tcPr/>
          <w:p>
            <w:pPr>
              <w:pStyle w:val="Compact"/>
              <w:jc w:val="center"/>
            </w:pPr>
            <w:r>
              <w:t xml:space="preserve">$14.99一次性</w:t>
            </w:r>
            <w:r>
              <w:t xml:space="preserve"> </w:t>
            </w:r>
            <w:fldSimple w:instr="NOTEREF _Ref_Footnote_26 \h \f">
              <w:r>
                <w:rPr>
                  <w:vertAlign w:val="superscript"/>
                </w:rPr>
                <w:t>26</w:t>
              </w:r>
            </w:fldSimple>
          </w:p>
        </w:tc>
        <w:tc>
          <w:tcPr/>
          <w:p>
            <w:pPr>
              <w:pStyle w:val="Compact"/>
              <w:jc w:val="center"/>
            </w:pPr>
            <w:r>
              <w:t xml:space="preserve">个人免费</w:t>
            </w:r>
          </w:p>
        </w:tc>
        <w:tc>
          <w:tcPr/>
          <w:p>
            <w:pPr>
              <w:pStyle w:val="Compact"/>
              <w:jc w:val="center"/>
            </w:pPr>
            <w:r>
              <w:t xml:space="preserve">免费</w:t>
            </w:r>
          </w:p>
        </w:tc>
        <w:tc>
          <w:tcPr/>
          <w:p>
            <w:pPr>
              <w:pStyle w:val="Compact"/>
              <w:jc w:val="center"/>
            </w:pPr>
            <w:r>
              <w:t xml:space="preserve">免费开源</w:t>
            </w:r>
          </w:p>
        </w:tc>
        <w:tc>
          <w:tcPr/>
          <w:p>
            <w:pPr>
              <w:pStyle w:val="Compact"/>
              <w:jc w:val="center"/>
            </w:pPr>
            <w:r>
              <w:t xml:space="preserve">开源</w:t>
            </w:r>
          </w:p>
        </w:tc>
      </w:tr>
      <w:tr>
        <w:tc>
          <w:tcPr/>
          <w:p>
            <w:pPr>
              <w:pStyle w:val="Compact"/>
              <w:jc w:val="left"/>
            </w:pPr>
            <w:r>
              <w:t xml:space="preserve">综合评分</w:t>
            </w:r>
          </w:p>
        </w:tc>
        <w:tc>
          <w:tcPr/>
          <w:p>
            <w:pPr>
              <w:pStyle w:val="Compact"/>
              <w:jc w:val="center"/>
            </w:pPr>
            <w:r>
              <w:t xml:space="preserve">9.0/10</w:t>
            </w:r>
          </w:p>
        </w:tc>
        <w:tc>
          <w:tcPr/>
          <w:p>
            <w:pPr>
              <w:pStyle w:val="Compact"/>
              <w:jc w:val="center"/>
            </w:pPr>
            <w:r>
              <w:t xml:space="preserve">8.7/10</w:t>
            </w:r>
          </w:p>
        </w:tc>
        <w:tc>
          <w:tcPr/>
          <w:p>
            <w:pPr>
              <w:pStyle w:val="Compact"/>
              <w:jc w:val="center"/>
            </w:pPr>
            <w:r>
              <w:rPr>
                <w:bCs/>
                <w:b/>
              </w:rPr>
              <w:t xml:space="preserve">9.5/10</w:t>
            </w:r>
          </w:p>
        </w:tc>
        <w:tc>
          <w:tcPr/>
          <w:p>
            <w:pPr>
              <w:pStyle w:val="Compact"/>
              <w:jc w:val="center"/>
            </w:pPr>
            <w:r>
              <w:t xml:space="preserve">8.3/10</w:t>
            </w:r>
          </w:p>
        </w:tc>
        <w:tc>
          <w:tcPr/>
          <w:p>
            <w:pPr>
              <w:pStyle w:val="Compact"/>
              <w:jc w:val="center"/>
            </w:pPr>
            <w:r>
              <w:t xml:space="preserve">待验证</w:t>
            </w:r>
          </w:p>
        </w:tc>
      </w:tr>
    </w:tbl>
    <w:p>
      <w:pPr>
        <w:pStyle w:val="BodyText"/>
      </w:pPr>
      <w:r>
        <w:t xml:space="preserve">上表对比显示，Markdown编辑器生态呈现出清晰的能力梯度。VS Code+Pandoc在技术团队中表现最优，但门槛最高；Typora在WYSIWYG体验维度独一无二，但功能孤立；Obsidian在知识管理维度最强，但导出和协作能力有限。Milkdown等新一代工具试图弥合”人类友好”与”AI友好”之间的鸿沟，但企业级成熟度仍需时间验证。对于需要图文并茂SOP的工程师团队，Markdown编辑器的核心痛点——图片管理、表格编辑、多人协作——已有补偿方案但尚未达到富文本平台的即开即用水平。</w:t>
      </w:r>
    </w:p>
    <w:bookmarkEnd w:id="47"/>
    <w:bookmarkEnd w:id="48"/>
    <w:bookmarkStart w:id="51" w:name="microsoft-word的持久优势与局限"/>
    <w:p>
      <w:pPr>
        <w:pStyle w:val="Heading3"/>
      </w:pPr>
      <w:r>
        <w:t xml:space="preserve">2.3 Microsoft Word的持久优势与局限</w:t>
      </w:r>
    </w:p>
    <w:bookmarkStart w:id="49" w:name="track-changes修订模式在企业审阅中仍无可替代"/>
    <w:p>
      <w:pPr>
        <w:pStyle w:val="Heading4"/>
      </w:pPr>
      <w:r>
        <w:t xml:space="preserve">2.3.1 Track Changes修订模式在企业审阅中仍无可替代</w:t>
      </w:r>
    </w:p>
    <w:p>
      <w:pPr>
        <w:pStyle w:val="FirstParagraph"/>
      </w:pPr>
      <w:r>
        <w:t xml:space="preserve">Microsoft Word在企业文档审阅流程中的地位至今未被任何协作平台完全取代，其核心护城河是Track Changes（修订模式）与Comments（批注）的深度集成。在SOP审批场景中，修订模式允许审阅者对文档进行逐行修改，每条修改都附带作者身份、时间戳和修改理由，后续审批者可逐一接受或拒绝变更。这一工作流在受监管行业（医药、制造、航空）中已成为事实标准，其精细化程度远超富文本协作平台的评论功能。</w:t>
      </w:r>
    </w:p>
    <w:p>
      <w:pPr>
        <w:pStyle w:val="BodyText"/>
      </w:pPr>
      <w:r>
        <w:t xml:space="preserve">Word的样式系统（Style System）是另一项被低估的企业级功能。通过预定义标题样式、正文样式和列表样式，企业可以强制SOP文档的结构一致性——这直接影响后续AI处理的质量。结构化的Word文档（正确使用Heading 1/2/3样式而非手动加粗）转换为Markdown后，标题层级信息完整保留，配合结构感知分块（structure-aware chunking）可使RAG检索准确率达到87%，相比固定大小分块的60-65%提升显著</w:t>
      </w:r>
      <w:r>
        <w:t xml:space="preserve"> </w:t>
      </w:r>
      <w:fldSimple w:instr="NOTEREF _Ref_Footnote_8 \h \f">
        <w:r>
          <w:rPr>
            <w:vertAlign w:val="superscript"/>
          </w:rPr>
          <w:t>8</w:t>
        </w:r>
      </w:fldSimple>
      <w:r>
        <w:t xml:space="preserve">。</w:t>
      </w:r>
    </w:p>
    <w:p>
      <w:pPr>
        <w:pStyle w:val="BodyText"/>
      </w:pPr>
      <w:r>
        <w:t xml:space="preserve">然而，Word格式对AI系统的友好度长期偏低。DOCX虽然是开放XML格式，但内部结构复杂，浮动对象、复杂表格和样式继承等问题使得解析难度显著高于Markdown。Microsoft MarkItDown工具可将DOCX转换为Markdown，F1评分约82%，处理速度约12秒/百页</w:t>
      </w:r>
      <w:r>
        <w:t xml:space="preserve"> </w:t>
      </w:r>
      <w:fldSimple w:instr="NOTEREF _Ref_Footnote_11 \h \f">
        <w:r>
          <w:rPr>
            <w:vertAlign w:val="superscript"/>
          </w:rPr>
          <w:t>11</w:t>
        </w:r>
      </w:fldSimple>
      <w:r>
        <w:t xml:space="preserve">。IBM Docling在复杂表格检测上达到97.9%准确率</w:t>
      </w:r>
      <w:r>
        <w:t xml:space="preserve"> </w:t>
      </w:r>
      <w:fldSimple w:instr="NOTEREF _Ref_Footnote_12 \h \f">
        <w:r>
          <w:rPr>
            <w:vertAlign w:val="superscript"/>
          </w:rPr>
          <w:t>12</w:t>
        </w:r>
      </w:fldSimple>
      <w:r>
        <w:t xml:space="preserve">，Marker-PDF处理速度达25页/秒</w:t>
      </w:r>
      <w:r>
        <w:t xml:space="preserve"> </w:t>
      </w:r>
      <w:r>
        <w:rPr>
          <w:vertAlign w:val="superscript"/>
        </w:rPr>
        <w:footnoteReference w:id="69"/>
      </w:r>
      <w:r>
        <w:t xml:space="preserve">。这些工具使Word→Markdown的转换管道日趋成熟，但转换质量仍依赖原文档的结构规范性。</w:t>
      </w:r>
    </w:p>
    <w:bookmarkEnd w:id="49"/>
    <w:bookmarkStart w:id="50" w:name="版本分散无法全文搜索与移动端体验差的结构性问题"/>
    <w:p>
      <w:pPr>
        <w:pStyle w:val="Heading4"/>
      </w:pPr>
      <w:r>
        <w:t xml:space="preserve">2.3.2 版本分散、无法全文搜索与移动端体验差的结构性问题</w:t>
      </w:r>
    </w:p>
    <w:p>
      <w:pPr>
        <w:pStyle w:val="FirstParagraph"/>
      </w:pPr>
      <w:r>
        <w:t xml:space="preserve">Word在企业环境中的结构性问题随着组织规模扩大而急剧放大。</w:t>
      </w:r>
      <w:r>
        <w:rPr>
          <w:bCs/>
          <w:b/>
        </w:rPr>
        <w:t xml:space="preserve">版本分散</w:t>
      </w:r>
      <w:r>
        <w:t xml:space="preserve">是最普遍的痛点——同一SOP文档以</w:t>
      </w:r>
      <w:r>
        <w:rPr>
          <w:rStyle w:val="VerbatimChar"/>
        </w:rPr>
        <w:t xml:space="preserve">设备操作手册_v1.docx</w:t>
      </w:r>
      <w:r>
        <w:t xml:space="preserve">、</w:t>
      </w:r>
      <w:r>
        <w:rPr>
          <w:rStyle w:val="VerbatimChar"/>
        </w:rPr>
        <w:t xml:space="preserve">设备操作手册_v1_最终版.docx</w:t>
      </w:r>
      <w:r>
        <w:t xml:space="preserve">、</w:t>
      </w:r>
      <w:r>
        <w:rPr>
          <w:rStyle w:val="VerbatimChar"/>
        </w:rPr>
        <w:t xml:space="preserve">设备操作手册_v1_最终版_审核后.docx</w:t>
      </w:r>
      <w:r>
        <w:t xml:space="preserve">等变体分散在不同员工的本地硬盘和邮件附件中，形成”版本迷宫”。</w:t>
      </w:r>
      <w:r>
        <w:rPr>
          <w:bCs/>
          <w:b/>
        </w:rPr>
        <w:t xml:space="preserve">全文搜索</w:t>
      </w:r>
      <w:r>
        <w:t xml:space="preserve">在大量Word文档集合中效率低下，即使配合SharePoint或Windows Search，跨文档的语义搜索能力仍远逊于飞书、Confluence等具备AI知识库问答功能的平台</w:t>
      </w:r>
      <w:r>
        <w:t xml:space="preserve"> </w:t>
      </w:r>
      <w:fldSimple w:instr="NOTEREF _Ref_Footnote_68 \h \f">
        <w:r>
          <w:rPr>
            <w:vertAlign w:val="superscript"/>
          </w:rPr>
          <w:t>68</w:t>
        </w:r>
      </w:fldSimple>
      <w:r>
        <w:t xml:space="preserve">。</w:t>
      </w:r>
      <w:r>
        <w:rPr>
          <w:bCs/>
          <w:b/>
        </w:rPr>
        <w:t xml:space="preserve">移动端体验</w:t>
      </w:r>
      <w:r>
        <w:t xml:space="preserve">方面，Microsoft Word移动版功能相对桌面版大幅缩水，表格编辑和审阅功能在触屏设备上操作困难。</w:t>
      </w:r>
    </w:p>
    <w:p>
      <w:pPr>
        <w:pStyle w:val="BodyText"/>
      </w:pPr>
      <w:r>
        <w:t xml:space="preserve">这些结构性问题使得Word在SOP生命周期管理中的角色正从”唯一载体”转变为”输出格式之一”——即在富文本协作平台或Markdown编辑器中完成编写、审阅和版本管理，最终导出为Word格式供特定场景（如外部审计、离线阅读）使用。</w:t>
      </w:r>
    </w:p>
    <w:p>
      <w:pPr>
        <w:pStyle w:val="BodyText"/>
      </w:pPr>
      <w:r>
        <w:t xml:space="preserve">以下综合评分矩阵整合五大平台在SOP相关维度的量化评估，权重按企业SOP场景优先级分配：</w:t>
      </w:r>
    </w:p>
    <w:p>
      <w:pPr>
        <w:pStyle w:val="BodyText"/>
      </w:pPr>
      <w:r>
        <w:rPr>
          <w:bCs/>
          <w:b/>
        </w:rPr>
        <w:t xml:space="preserve">表3 五平台SOP场景综合评分矩阵（加权总分）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评估维度（权重）</w:t>
            </w:r>
          </w:p>
        </w:tc>
        <w:tc>
          <w:tcPr/>
          <w:p>
            <w:pPr>
              <w:pStyle w:val="Compact"/>
              <w:jc w:val="center"/>
            </w:pPr>
            <w:r>
              <w:t xml:space="preserve">飞书文档</w:t>
            </w:r>
          </w:p>
        </w:tc>
        <w:tc>
          <w:tcPr/>
          <w:p>
            <w:pPr>
              <w:pStyle w:val="Compact"/>
              <w:jc w:val="center"/>
            </w:pPr>
            <w:r>
              <w:t xml:space="preserve">Notion</w:t>
            </w:r>
          </w:p>
        </w:tc>
        <w:tc>
          <w:tcPr/>
          <w:p>
            <w:pPr>
              <w:pStyle w:val="Compact"/>
              <w:jc w:val="center"/>
            </w:pPr>
            <w:r>
              <w:t xml:space="preserve">Confluence</w:t>
            </w:r>
          </w:p>
        </w:tc>
        <w:tc>
          <w:tcPr/>
          <w:p>
            <w:pPr>
              <w:pStyle w:val="Compact"/>
              <w:jc w:val="center"/>
            </w:pPr>
            <w:r>
              <w:t xml:space="preserve">语雀</w:t>
            </w:r>
          </w:p>
        </w:tc>
        <w:tc>
          <w:tcPr/>
          <w:p>
            <w:pPr>
              <w:pStyle w:val="Compact"/>
              <w:jc w:val="center"/>
            </w:pPr>
            <w:r>
              <w:t xml:space="preserve">腾讯文档</w:t>
            </w:r>
          </w:p>
        </w:tc>
      </w:tr>
      <w:tr>
        <w:tc>
          <w:tcPr/>
          <w:p>
            <w:pPr>
              <w:pStyle w:val="Compact"/>
              <w:jc w:val="left"/>
            </w:pPr>
            <w:r>
              <w:t xml:space="preserve">SOP编写体验（15%）</w:t>
            </w:r>
          </w:p>
        </w:tc>
        <w:tc>
          <w:tcPr/>
          <w:p>
            <w:pPr>
              <w:pStyle w:val="Compact"/>
              <w:jc w:val="center"/>
            </w:pPr>
            <w:r>
              <w:t xml:space="preserve">8.5</w:t>
            </w:r>
          </w:p>
        </w:tc>
        <w:tc>
          <w:tcPr/>
          <w:p>
            <w:pPr>
              <w:pStyle w:val="Compact"/>
              <w:jc w:val="center"/>
            </w:pPr>
            <w:r>
              <w:rPr>
                <w:bCs/>
                <w:b/>
              </w:rPr>
              <w:t xml:space="preserve">9.0</w:t>
            </w:r>
          </w:p>
        </w:tc>
        <w:tc>
          <w:tcPr/>
          <w:p>
            <w:pPr>
              <w:pStyle w:val="Compact"/>
              <w:jc w:val="center"/>
            </w:pPr>
            <w:r>
              <w:t xml:space="preserve">7.0</w:t>
            </w:r>
          </w:p>
        </w:tc>
        <w:tc>
          <w:tcPr/>
          <w:p>
            <w:pPr>
              <w:pStyle w:val="Compact"/>
              <w:jc w:val="center"/>
            </w:pPr>
            <w:r>
              <w:t xml:space="preserve">8.0</w:t>
            </w:r>
          </w:p>
        </w:tc>
        <w:tc>
          <w:tcPr/>
          <w:p>
            <w:pPr>
              <w:pStyle w:val="Compact"/>
              <w:jc w:val="center"/>
            </w:pPr>
            <w:r>
              <w:t xml:space="preserve">7.5</w:t>
            </w:r>
          </w:p>
        </w:tc>
      </w:tr>
      <w:tr>
        <w:tc>
          <w:tcPr/>
          <w:p>
            <w:pPr>
              <w:pStyle w:val="Compact"/>
              <w:jc w:val="left"/>
            </w:pPr>
            <w:r>
              <w:t xml:space="preserve">审批工作流（15%）</w:t>
            </w:r>
          </w:p>
        </w:tc>
        <w:tc>
          <w:tcPr/>
          <w:p>
            <w:pPr>
              <w:pStyle w:val="Compact"/>
              <w:jc w:val="center"/>
            </w:pPr>
            <w:r>
              <w:t xml:space="preserve">7.5</w:t>
            </w:r>
          </w:p>
        </w:tc>
        <w:tc>
          <w:tcPr/>
          <w:p>
            <w:pPr>
              <w:pStyle w:val="Compact"/>
              <w:jc w:val="center"/>
            </w:pPr>
            <w:r>
              <w:t xml:space="preserve">3.0</w:t>
            </w:r>
          </w:p>
        </w:tc>
        <w:tc>
          <w:tcPr/>
          <w:p>
            <w:pPr>
              <w:pStyle w:val="Compact"/>
              <w:jc w:val="center"/>
            </w:pPr>
            <w:r>
              <w:rPr>
                <w:bCs/>
                <w:b/>
              </w:rPr>
              <w:t xml:space="preserve">10.0</w:t>
            </w:r>
          </w:p>
        </w:tc>
        <w:tc>
          <w:tcPr/>
          <w:p>
            <w:pPr>
              <w:pStyle w:val="Compact"/>
              <w:jc w:val="center"/>
            </w:pPr>
            <w:r>
              <w:t xml:space="preserve">5.0</w:t>
            </w:r>
          </w:p>
        </w:tc>
        <w:tc>
          <w:tcPr/>
          <w:p>
            <w:pPr>
              <w:pStyle w:val="Compact"/>
              <w:jc w:val="center"/>
            </w:pPr>
            <w:r>
              <w:t xml:space="preserve">4.0</w:t>
            </w:r>
          </w:p>
        </w:tc>
      </w:tr>
      <w:tr>
        <w:tc>
          <w:tcPr/>
          <w:p>
            <w:pPr>
              <w:pStyle w:val="Compact"/>
              <w:jc w:val="left"/>
            </w:pPr>
            <w:r>
              <w:t xml:space="preserve">版本控制（10%）</w:t>
            </w:r>
          </w:p>
        </w:tc>
        <w:tc>
          <w:tcPr/>
          <w:p>
            <w:pPr>
              <w:pStyle w:val="Compact"/>
              <w:jc w:val="center"/>
            </w:pPr>
            <w:r>
              <w:t xml:space="preserve">8.0</w:t>
            </w:r>
          </w:p>
        </w:tc>
        <w:tc>
          <w:tcPr/>
          <w:p>
            <w:pPr>
              <w:pStyle w:val="Compact"/>
              <w:jc w:val="center"/>
            </w:pPr>
            <w:r>
              <w:t xml:space="preserve">5.0</w:t>
            </w:r>
          </w:p>
        </w:tc>
        <w:tc>
          <w:tcPr/>
          <w:p>
            <w:pPr>
              <w:pStyle w:val="Compact"/>
              <w:jc w:val="center"/>
            </w:pPr>
            <w:r>
              <w:rPr>
                <w:bCs/>
                <w:b/>
              </w:rPr>
              <w:t xml:space="preserve">9.5</w:t>
            </w:r>
          </w:p>
        </w:tc>
        <w:tc>
          <w:tcPr/>
          <w:p>
            <w:pPr>
              <w:pStyle w:val="Compact"/>
              <w:jc w:val="center"/>
            </w:pPr>
            <w:r>
              <w:t xml:space="preserve">8.0</w:t>
            </w:r>
          </w:p>
        </w:tc>
        <w:tc>
          <w:tcPr/>
          <w:p>
            <w:pPr>
              <w:pStyle w:val="Compact"/>
              <w:jc w:val="center"/>
            </w:pPr>
            <w:r>
              <w:t xml:space="preserve">7.5</w:t>
            </w:r>
          </w:p>
        </w:tc>
      </w:tr>
      <w:tr>
        <w:tc>
          <w:tcPr/>
          <w:p>
            <w:pPr>
              <w:pStyle w:val="Compact"/>
              <w:jc w:val="left"/>
            </w:pPr>
            <w:r>
              <w:t xml:space="preserve">权限审计（10%）</w:t>
            </w:r>
          </w:p>
        </w:tc>
        <w:tc>
          <w:tcPr/>
          <w:p>
            <w:pPr>
              <w:pStyle w:val="Compact"/>
              <w:jc w:val="center"/>
            </w:pPr>
            <w:r>
              <w:t xml:space="preserve">8.5</w:t>
            </w:r>
          </w:p>
        </w:tc>
        <w:tc>
          <w:tcPr/>
          <w:p>
            <w:pPr>
              <w:pStyle w:val="Compact"/>
              <w:jc w:val="center"/>
            </w:pPr>
            <w:r>
              <w:t xml:space="preserve">7.0</w:t>
            </w:r>
          </w:p>
        </w:tc>
        <w:tc>
          <w:tcPr/>
          <w:p>
            <w:pPr>
              <w:pStyle w:val="Compact"/>
              <w:jc w:val="center"/>
            </w:pPr>
            <w:r>
              <w:rPr>
                <w:bCs/>
                <w:b/>
              </w:rPr>
              <w:t xml:space="preserve">10.0</w:t>
            </w:r>
          </w:p>
        </w:tc>
        <w:tc>
          <w:tcPr/>
          <w:p>
            <w:pPr>
              <w:pStyle w:val="Compact"/>
              <w:jc w:val="center"/>
            </w:pPr>
            <w:r>
              <w:t xml:space="preserve">6.0</w:t>
            </w:r>
          </w:p>
        </w:tc>
        <w:tc>
          <w:tcPr/>
          <w:p>
            <w:pPr>
              <w:pStyle w:val="Compact"/>
              <w:jc w:val="center"/>
            </w:pPr>
            <w:r>
              <w:t xml:space="preserve">7.0</w:t>
            </w:r>
          </w:p>
        </w:tc>
      </w:tr>
      <w:tr>
        <w:tc>
          <w:tcPr/>
          <w:p>
            <w:pPr>
              <w:pStyle w:val="Compact"/>
              <w:jc w:val="left"/>
            </w:pPr>
            <w:r>
              <w:t xml:space="preserve">表格/数据（10%）</w:t>
            </w:r>
          </w:p>
        </w:tc>
        <w:tc>
          <w:tcPr/>
          <w:p>
            <w:pPr>
              <w:pStyle w:val="Compact"/>
              <w:jc w:val="center"/>
            </w:pPr>
            <w:r>
              <w:rPr>
                <w:bCs/>
                <w:b/>
              </w:rPr>
              <w:t xml:space="preserve">9.5</w:t>
            </w:r>
          </w:p>
        </w:tc>
        <w:tc>
          <w:tcPr/>
          <w:p>
            <w:pPr>
              <w:pStyle w:val="Compact"/>
              <w:jc w:val="center"/>
            </w:pPr>
            <w:r>
              <w:t xml:space="preserve">7.0</w:t>
            </w:r>
          </w:p>
        </w:tc>
        <w:tc>
          <w:tcPr/>
          <w:p>
            <w:pPr>
              <w:pStyle w:val="Compact"/>
              <w:jc w:val="center"/>
            </w:pPr>
            <w:r>
              <w:t xml:space="preserve">6.5</w:t>
            </w:r>
          </w:p>
        </w:tc>
        <w:tc>
          <w:tcPr/>
          <w:p>
            <w:pPr>
              <w:pStyle w:val="Compact"/>
              <w:jc w:val="center"/>
            </w:pPr>
            <w:r>
              <w:t xml:space="preserve">7.0</w:t>
            </w:r>
          </w:p>
        </w:tc>
        <w:tc>
          <w:tcPr/>
          <w:p>
            <w:pPr>
              <w:pStyle w:val="Compact"/>
              <w:jc w:val="center"/>
            </w:pPr>
            <w:r>
              <w:t xml:space="preserve">8.0</w:t>
            </w:r>
          </w:p>
        </w:tc>
      </w:tr>
      <w:tr>
        <w:tc>
          <w:tcPr/>
          <w:p>
            <w:pPr>
              <w:pStyle w:val="Compact"/>
              <w:jc w:val="left"/>
            </w:pPr>
            <w:r>
              <w:t xml:space="preserve">导出互通（10%）</w:t>
            </w:r>
          </w:p>
        </w:tc>
        <w:tc>
          <w:tcPr/>
          <w:p>
            <w:pPr>
              <w:pStyle w:val="Compact"/>
              <w:jc w:val="center"/>
            </w:pPr>
            <w:r>
              <w:t xml:space="preserve">8.0</w:t>
            </w:r>
          </w:p>
        </w:tc>
        <w:tc>
          <w:tcPr/>
          <w:p>
            <w:pPr>
              <w:pStyle w:val="Compact"/>
              <w:jc w:val="center"/>
            </w:pPr>
            <w:r>
              <w:t xml:space="preserve">8.0</w:t>
            </w:r>
          </w:p>
        </w:tc>
        <w:tc>
          <w:tcPr/>
          <w:p>
            <w:pPr>
              <w:pStyle w:val="Compact"/>
              <w:jc w:val="center"/>
            </w:pPr>
            <w:r>
              <w:rPr>
                <w:bCs/>
                <w:b/>
              </w:rPr>
              <w:t xml:space="preserve">9.0</w:t>
            </w:r>
          </w:p>
        </w:tc>
        <w:tc>
          <w:tcPr/>
          <w:p>
            <w:pPr>
              <w:pStyle w:val="Compact"/>
              <w:jc w:val="center"/>
            </w:pPr>
            <w:r>
              <w:t xml:space="preserve">4.0</w:t>
            </w:r>
          </w:p>
        </w:tc>
        <w:tc>
          <w:tcPr/>
          <w:p>
            <w:pPr>
              <w:pStyle w:val="Compact"/>
              <w:jc w:val="center"/>
            </w:pPr>
            <w:r>
              <w:t xml:space="preserve">5.0</w:t>
            </w:r>
          </w:p>
        </w:tc>
      </w:tr>
      <w:tr>
        <w:tc>
          <w:tcPr/>
          <w:p>
            <w:pPr>
              <w:pStyle w:val="Compact"/>
              <w:jc w:val="left"/>
            </w:pPr>
            <w:r>
              <w:t xml:space="preserve">AI能力（10%）</w:t>
            </w:r>
          </w:p>
        </w:tc>
        <w:tc>
          <w:tcPr/>
          <w:p>
            <w:pPr>
              <w:pStyle w:val="Compact"/>
              <w:jc w:val="center"/>
            </w:pPr>
            <w:r>
              <w:rPr>
                <w:bCs/>
                <w:b/>
              </w:rPr>
              <w:t xml:space="preserve">9.5</w:t>
            </w:r>
          </w:p>
        </w:tc>
        <w:tc>
          <w:tcPr/>
          <w:p>
            <w:pPr>
              <w:pStyle w:val="Compact"/>
              <w:jc w:val="center"/>
            </w:pPr>
            <w:r>
              <w:t xml:space="preserve">9.0</w:t>
            </w:r>
          </w:p>
        </w:tc>
        <w:tc>
          <w:tcPr/>
          <w:p>
            <w:pPr>
              <w:pStyle w:val="Compact"/>
              <w:jc w:val="center"/>
            </w:pPr>
            <w:r>
              <w:t xml:space="preserve">8.0</w:t>
            </w:r>
          </w:p>
        </w:tc>
        <w:tc>
          <w:tcPr/>
          <w:p>
            <w:pPr>
              <w:pStyle w:val="Compact"/>
              <w:jc w:val="center"/>
            </w:pPr>
            <w:r>
              <w:t xml:space="preserve">6.0</w:t>
            </w:r>
          </w:p>
        </w:tc>
        <w:tc>
          <w:tcPr/>
          <w:p>
            <w:pPr>
              <w:pStyle w:val="Compact"/>
              <w:jc w:val="center"/>
            </w:pPr>
            <w:r>
              <w:t xml:space="preserve">4.0</w:t>
            </w:r>
          </w:p>
        </w:tc>
      </w:tr>
      <w:tr>
        <w:tc>
          <w:tcPr/>
          <w:p>
            <w:pPr>
              <w:pStyle w:val="Compact"/>
              <w:jc w:val="left"/>
            </w:pPr>
            <w:r>
              <w:t xml:space="preserve">IM集成（10%）</w:t>
            </w:r>
          </w:p>
        </w:tc>
        <w:tc>
          <w:tcPr/>
          <w:p>
            <w:pPr>
              <w:pStyle w:val="Compact"/>
              <w:jc w:val="center"/>
            </w:pPr>
            <w:r>
              <w:rPr>
                <w:bCs/>
                <w:b/>
              </w:rPr>
              <w:t xml:space="preserve">10.0</w:t>
            </w:r>
          </w:p>
        </w:tc>
        <w:tc>
          <w:tcPr/>
          <w:p>
            <w:pPr>
              <w:pStyle w:val="Compact"/>
              <w:jc w:val="center"/>
            </w:pPr>
            <w:r>
              <w:t xml:space="preserve">5.0</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8.0</w:t>
            </w:r>
          </w:p>
        </w:tc>
      </w:tr>
      <w:tr>
        <w:tc>
          <w:tcPr/>
          <w:p>
            <w:pPr>
              <w:pStyle w:val="Compact"/>
              <w:jc w:val="left"/>
            </w:pPr>
            <w:r>
              <w:t xml:space="preserve">移动端（5%）</w:t>
            </w:r>
          </w:p>
        </w:tc>
        <w:tc>
          <w:tcPr/>
          <w:p>
            <w:pPr>
              <w:pStyle w:val="Compact"/>
              <w:jc w:val="center"/>
            </w:pPr>
            <w:r>
              <w:rPr>
                <w:bCs/>
                <w:b/>
              </w:rPr>
              <w:t xml:space="preserve">9.0</w:t>
            </w:r>
          </w:p>
        </w:tc>
        <w:tc>
          <w:tcPr/>
          <w:p>
            <w:pPr>
              <w:pStyle w:val="Compact"/>
              <w:jc w:val="center"/>
            </w:pPr>
            <w:r>
              <w:t xml:space="preserve">8.0</w:t>
            </w:r>
          </w:p>
        </w:tc>
        <w:tc>
          <w:tcPr/>
          <w:p>
            <w:pPr>
              <w:pStyle w:val="Compact"/>
              <w:jc w:val="center"/>
            </w:pPr>
            <w:r>
              <w:t xml:space="preserve">6.0</w:t>
            </w:r>
          </w:p>
        </w:tc>
        <w:tc>
          <w:tcPr/>
          <w:p>
            <w:pPr>
              <w:pStyle w:val="Compact"/>
              <w:jc w:val="center"/>
            </w:pPr>
            <w:r>
              <w:t xml:space="preserve">6.5</w:t>
            </w:r>
          </w:p>
        </w:tc>
        <w:tc>
          <w:tcPr/>
          <w:p>
            <w:pPr>
              <w:pStyle w:val="Compact"/>
              <w:jc w:val="center"/>
            </w:pPr>
            <w:r>
              <w:t xml:space="preserve">8.0</w:t>
            </w:r>
          </w:p>
        </w:tc>
      </w:tr>
      <w:tr>
        <w:tc>
          <w:tcPr/>
          <w:p>
            <w:pPr>
              <w:pStyle w:val="Compact"/>
              <w:jc w:val="left"/>
            </w:pPr>
            <w:r>
              <w:t xml:space="preserve">TCO成本（5%）</w:t>
            </w:r>
          </w:p>
        </w:tc>
        <w:tc>
          <w:tcPr/>
          <w:p>
            <w:pPr>
              <w:pStyle w:val="Compact"/>
              <w:jc w:val="center"/>
            </w:pPr>
            <w:r>
              <w:t xml:space="preserve">7.0</w:t>
            </w:r>
          </w:p>
        </w:tc>
        <w:tc>
          <w:tcPr/>
          <w:p>
            <w:pPr>
              <w:pStyle w:val="Compact"/>
              <w:jc w:val="center"/>
            </w:pPr>
            <w:r>
              <w:t xml:space="preserve">5.5</w:t>
            </w:r>
          </w:p>
        </w:tc>
        <w:tc>
          <w:tcPr/>
          <w:p>
            <w:pPr>
              <w:pStyle w:val="Compact"/>
              <w:jc w:val="center"/>
            </w:pPr>
            <w:r>
              <w:t xml:space="preserve">7.0</w:t>
            </w:r>
          </w:p>
        </w:tc>
        <w:tc>
          <w:tcPr/>
          <w:p>
            <w:pPr>
              <w:pStyle w:val="Compact"/>
              <w:jc w:val="center"/>
            </w:pPr>
            <w:r>
              <w:rPr>
                <w:bCs/>
                <w:b/>
              </w:rPr>
              <w:t xml:space="preserve">8.5</w:t>
            </w:r>
          </w:p>
        </w:tc>
        <w:tc>
          <w:tcPr/>
          <w:p>
            <w:pPr>
              <w:pStyle w:val="Compact"/>
              <w:jc w:val="center"/>
            </w:pPr>
            <w:r>
              <w:t xml:space="preserve">8.0</w:t>
            </w:r>
          </w:p>
        </w:tc>
      </w:tr>
      <w:tr>
        <w:tc>
          <w:tcPr/>
          <w:p>
            <w:pPr>
              <w:pStyle w:val="Compact"/>
              <w:jc w:val="left"/>
            </w:pPr>
            <w:r>
              <w:rPr>
                <w:bCs/>
                <w:b/>
              </w:rPr>
              <w:t xml:space="preserve">加权总分</w:t>
            </w:r>
          </w:p>
        </w:tc>
        <w:tc>
          <w:tcPr/>
          <w:p>
            <w:pPr>
              <w:pStyle w:val="Compact"/>
              <w:jc w:val="center"/>
            </w:pPr>
            <w:r>
              <w:rPr>
                <w:bCs/>
                <w:b/>
              </w:rPr>
              <w:t xml:space="preserve">8.50</w:t>
            </w:r>
          </w:p>
        </w:tc>
        <w:tc>
          <w:tcPr/>
          <w:p>
            <w:pPr>
              <w:pStyle w:val="Compact"/>
              <w:jc w:val="center"/>
            </w:pPr>
            <w:r>
              <w:t xml:space="preserve">6.58</w:t>
            </w:r>
          </w:p>
        </w:tc>
        <w:tc>
          <w:tcPr/>
          <w:p>
            <w:pPr>
              <w:pStyle w:val="Compact"/>
              <w:jc w:val="center"/>
            </w:pPr>
            <w:r>
              <w:rPr>
                <w:bCs/>
                <w:b/>
              </w:rPr>
              <w:t xml:space="preserve">7.90</w:t>
            </w:r>
          </w:p>
        </w:tc>
        <w:tc>
          <w:tcPr/>
          <w:p>
            <w:pPr>
              <w:pStyle w:val="Compact"/>
              <w:jc w:val="center"/>
            </w:pPr>
            <w:r>
              <w:t xml:space="preserve">6.10</w:t>
            </w:r>
          </w:p>
        </w:tc>
        <w:tc>
          <w:tcPr/>
          <w:p>
            <w:pPr>
              <w:pStyle w:val="Compact"/>
              <w:jc w:val="center"/>
            </w:pPr>
            <w:r>
              <w:t xml:space="preserve">6.48</w:t>
            </w:r>
          </w:p>
        </w:tc>
      </w:tr>
    </w:tbl>
    <w:p>
      <w:pPr>
        <w:pStyle w:val="BodyText"/>
      </w:pPr>
      <w:r>
        <w:t xml:space="preserve">评分矩阵揭示了企业SOP平台选型的核心权衡。飞书文档以8.50分的加权总分位居首位，其优势分布反映了”协作优先”的产品哲学——在IM集成、AI能力、表格/数据和移动端四个维度获得最高分，这些能力直接服务于SOP的编写、分发和执行环节。Confluence以7.90分位居第二，优势集中在审批工作流、版本控制和权限审计三个维度，体现了”合规优先”的产品定位，是医药、制造等受监管行业的首选。Notion（6.58分）和腾讯文档（6.48分）的综合得分接近，但短板分布不同——Notion在审批工作流（3.0分）和版本控制（5.0分）上严重失分，腾讯文档在AI能力（4.0分）和导出互通（5.0分）上存在结构性短板。语雀以6.10分排名末位，主要受导出互通（4.0分）和IM集成（3.0分）两项能力的拖累。</w:t>
      </w:r>
    </w:p>
    <w:p>
      <w:pPr>
        <w:pStyle w:val="BodyText"/>
      </w:pPr>
      <w:r>
        <w:t xml:space="preserve">需要强调的是，Confluence+Comala在审批工作流维度获得的满分（10.0）并非仅基于功能丰富度，而是基于其在全球受监管行业中的合规验证深度——21 CFR Part 11电子签名、内容过期管理、阅读确认（read confirmations）和每页详细审计日志构成了完整的SOP合规功能栈</w:t>
      </w:r>
      <w:r>
        <w:t xml:space="preserve"> </w:t>
      </w:r>
      <w:fldSimple w:instr="NOTEREF _Ref_Footnote_42 \h \f">
        <w:r>
          <w:rPr>
            <w:vertAlign w:val="superscript"/>
          </w:rPr>
          <w:t>42</w:t>
        </w:r>
      </w:fldSimple>
      <w:r>
        <w:t xml:space="preserve"> </w:t>
      </w:r>
      <w:fldSimple w:instr="NOTEREF _Ref_Footnote_55 \h \f">
        <w:r>
          <w:rPr>
            <w:vertAlign w:val="superscript"/>
          </w:rPr>
          <w:t>55</w:t>
        </w:r>
      </w:fldSimple>
      <w:r>
        <w:t xml:space="preserve">。对于需要通过FDA、ISO或GMP（Good Manufacturing Practice，良好生产规范）审计的企业，这一能力具有不可替代性。</w:t>
      </w:r>
    </w:p>
    <w:p>
      <w:pPr>
        <w:pStyle w:val="BodyText"/>
      </w:pPr>
      <w:r>
        <w:t xml:space="preserve">从AI工作流集成的视角审视，五平台的Markdown导出能力直接决定了”人编辑→AI处理”管道的通畅度。飞书2026年5月原生Markdown导出</w:t>
      </w:r>
      <w:r>
        <w:t xml:space="preserve"> </w:t>
      </w:r>
      <w:fldSimple w:instr="NOTEREF _Ref_Footnote_5 \h \f">
        <w:r>
          <w:rPr>
            <w:vertAlign w:val="superscript"/>
          </w:rPr>
          <w:t>5</w:t>
        </w:r>
      </w:fldSimple>
      <w:r>
        <w:t xml:space="preserve">、Notion内置Markdown导出、Confluence通过插件支持、语雀单篇导出</w:t>
      </w:r>
      <w:r>
        <w:t xml:space="preserve"> </w:t>
      </w:r>
      <w:fldSimple w:instr="NOTEREF _Ref_Footnote_58 \h \f">
        <w:r>
          <w:rPr>
            <w:vertAlign w:val="superscript"/>
          </w:rPr>
          <w:t>58</w:t>
        </w:r>
      </w:fldSimple>
      <w:r>
        <w:t xml:space="preserve">、腾讯文档不支持</w:t>
      </w:r>
      <w:r>
        <w:t xml:space="preserve"> </w:t>
      </w:r>
      <w:fldSimple w:instr="NOTEREF _Ref_Footnote_58 \h \f">
        <w:r>
          <w:rPr>
            <w:vertAlign w:val="superscript"/>
          </w:rPr>
          <w:t>58</w:t>
        </w:r>
      </w:fldSimple>
      <w:r>
        <w:t xml:space="preserve">——这一能力梯度与平台在AI能力维度的得分高度吻合，印证了”格式开放性是AI就绪度的前置条件”这一判断。</w:t>
      </w:r>
    </w:p>
    <w:p>
      <w:r>
        <w:pict>
          <v:rect style="width:0;height:1.5pt" o:hralign="center" o:hrstd="t" o:hr="t"/>
        </w:pict>
      </w:r>
    </w:p>
    <w:bookmarkEnd w:id="50"/>
    <w:bookmarkEnd w:id="51"/>
    <w:bookmarkEnd w:id="52"/>
    <w:bookmarkStart w:id="70" w:name="airag友好性技术分析"/>
    <w:p>
      <w:pPr>
        <w:pStyle w:val="Heading2"/>
      </w:pPr>
      <w:r>
        <w:t xml:space="preserve">3. AI/RAG友好性技术分析</w:t>
      </w:r>
    </w:p>
    <w:p>
      <w:pPr>
        <w:pStyle w:val="FirstParagraph"/>
      </w:pPr>
      <w:r>
        <w:t xml:space="preserve">企业SOP文档的最终价值在于被AI系统准确理解和高效检索。本章从技术视角出发，系统分析文档格式、分块策略与元数据设计对RAG（Retrieval-Augmented Generation，检索增强生成）系统效果的影响，为”人编辑—AI消费”双轨场景提供量化依据。基于40余篇学术论文与技术文档的实验数据，分块策略对RAG最终答案准确率的贡献度高达35%，超过重排序（28%）和上下文增强（22%），是RAG系统中最大的单一影响因素</w:t>
      </w:r>
      <w:r>
        <w:t xml:space="preserve"> </w:t>
      </w:r>
      <w:fldSimple w:instr="NOTEREF _Ref_Footnote_7 \h \f">
        <w:r>
          <w:rPr>
            <w:vertAlign w:val="superscript"/>
          </w:rPr>
          <w:t>7</w:t>
        </w:r>
      </w:fldSimple>
      <w:r>
        <w:t xml:space="preserve">。</w:t>
      </w:r>
    </w:p>
    <w:bookmarkStart w:id="56" w:name="文档格式对rag效果的影响"/>
    <w:p>
      <w:pPr>
        <w:pStyle w:val="Heading3"/>
      </w:pPr>
      <w:r>
        <w:t xml:space="preserve">3.1 文档格式对RAG效果的影响</w:t>
      </w:r>
    </w:p>
    <w:bookmarkStart w:id="53" w:name="markdown-vs-html的token消耗与准确率差异"/>
    <w:p>
      <w:pPr>
        <w:pStyle w:val="Heading4"/>
      </w:pPr>
      <w:r>
        <w:t xml:space="preserve">3.1.1 Markdown vs HTML的Token消耗与准确率差异</w:t>
      </w:r>
    </w:p>
    <w:p>
      <w:pPr>
        <w:pStyle w:val="FirstParagraph"/>
      </w:pPr>
      <w:r>
        <w:t xml:space="preserve">文档格式直接决定AI处理阶段的Token效率。Markdown作为轻量级标记语言，相比HTML在RAG流程中具有显著的Token经济性。多项独立研究表明，相同内容下Markdown可减少67–90%的Token消耗</w:t>
      </w:r>
      <w:r>
        <w:t xml:space="preserve"> </w:t>
      </w:r>
      <w:fldSimple w:instr="NOTEREF _Ref_Footnote_48 \h \f">
        <w:r>
          <w:rPr>
            <w:vertAlign w:val="superscript"/>
          </w:rPr>
          <w:t>48</w:t>
        </w:r>
      </w:fldSimple>
      <w:r>
        <w:t xml:space="preserve"> </w:t>
      </w:r>
      <w:fldSimple w:instr="NOTEREF _Ref_Footnote_49 \h \f">
        <w:r>
          <w:rPr>
            <w:vertAlign w:val="superscript"/>
          </w:rPr>
          <w:t>49</w:t>
        </w:r>
      </w:fldSimple>
      <w:r>
        <w:t xml:space="preserve">。这一差异源于HTML携带大量表现层标签（如</w:t>
      </w:r>
      <w:r>
        <w:rPr>
          <w:rStyle w:val="VerbatimChar"/>
        </w:rPr>
        <w:t xml:space="preserve">&lt;div&gt;</w:t>
      </w:r>
      <w:r>
        <w:t xml:space="preserve">、</w:t>
      </w:r>
      <w:r>
        <w:rPr>
          <w:rStyle w:val="VerbatimChar"/>
        </w:rPr>
        <w:t xml:space="preserve">&lt;span&gt;</w:t>
      </w:r>
      <w:r>
        <w:t xml:space="preserve">、</w:t>
      </w:r>
      <w:r>
        <w:rPr>
          <w:rStyle w:val="VerbatimChar"/>
        </w:rPr>
        <w:t xml:space="preserve">style</w:t>
      </w:r>
      <w:r>
        <w:t xml:space="preserve">属性），这些标记对人类阅读无信息量，却在嵌入阶段占用大量Token预算，稀释语义密度。</w:t>
      </w:r>
    </w:p>
    <w:p>
      <w:pPr>
        <w:pStyle w:val="BodyText"/>
      </w:pPr>
      <w:r>
        <w:t xml:space="preserve">Token消耗的降低并非仅带来成本节约。实验表明，以Markdown作为RAG输入格式可将检索准确率提升35%</w:t>
      </w:r>
      <w:r>
        <w:t xml:space="preserve"> </w:t>
      </w:r>
      <w:fldSimple w:instr="NOTEREF _Ref_Footnote_50 \h \f">
        <w:r>
          <w:rPr>
            <w:vertAlign w:val="superscript"/>
          </w:rPr>
          <w:t>50</w:t>
        </w:r>
      </w:fldSimple>
      <w:r>
        <w:t xml:space="preserve">。其机制在于：Markdown的结构性标记（</w:t>
      </w:r>
      <w:r>
        <w:rPr>
          <w:rStyle w:val="VerbatimChar"/>
        </w:rPr>
        <w:t xml:space="preserve">#</w:t>
      </w:r>
      <w:r>
        <w:t xml:space="preserve">标题、</w:t>
      </w:r>
      <w:r>
        <w:rPr>
          <w:rStyle w:val="VerbatimChar"/>
        </w:rPr>
        <w:t xml:space="preserve">-</w:t>
      </w:r>
      <w:r>
        <w:t xml:space="preserve">列表、</w:t>
      </w:r>
      <w:r>
        <w:rPr>
          <w:rStyle w:val="VerbatimChar"/>
        </w:rPr>
        <w:t xml:space="preserve">&gt;</w:t>
      </w:r>
      <w:r>
        <w:t xml:space="preserve">引用）与语义边界高度对齐，使嵌入向量更聚焦于内容本身而非格式噪音。对于SOP文档而言，这一优势尤为突出——操作步骤、警示信息、参数表格在Markdown中均有明确语法对应，便于结构感知分块器精准识别边界。</w:t>
      </w:r>
    </w:p>
    <w:p>
      <w:pPr>
        <w:pStyle w:val="BodyText"/>
      </w:pPr>
      <w:r>
        <w:t xml:space="preserve">然而，Markdown并非在所有维度上均优于富文本格式。表格编辑体验被评价为”awful”</w:t>
      </w:r>
      <w:r>
        <w:t xml:space="preserve"> </w:t>
      </w:r>
      <w:fldSimple w:instr="NOTEREF _Ref_Footnote_4 \h \f">
        <w:r>
          <w:rPr>
            <w:vertAlign w:val="superscript"/>
          </w:rPr>
          <w:t>4</w:t>
        </w:r>
      </w:fldSimple>
      <w:r>
        <w:t xml:space="preserve">，图片插入的”摩擦成本高”</w:t>
      </w:r>
      <w:r>
        <w:t xml:space="preserve"> </w:t>
      </w:r>
      <w:fldSimple w:instr="NOTEREF _Ref_Footnote_4 \h \f">
        <w:r>
          <w:rPr>
            <w:vertAlign w:val="superscript"/>
          </w:rPr>
          <w:t>4</w:t>
        </w:r>
      </w:fldSimple>
      <w:r>
        <w:t xml:space="preserve">，且非技术用户的学习曲线较陡。这意味着企业需要在”人类编辑体验”与”AI处理效率”之间寻找平衡——飞书2026年5月原生支持Markdown导出</w:t>
      </w:r>
      <w:r>
        <w:t xml:space="preserve"> </w:t>
      </w:r>
      <w:fldSimple w:instr="NOTEREF _Ref_Footnote_5 \h \f">
        <w:r>
          <w:rPr>
            <w:vertAlign w:val="superscript"/>
          </w:rPr>
          <w:t>5</w:t>
        </w:r>
      </w:fldSimple>
      <w:r>
        <w:t xml:space="preserve">，恰好为这一平衡提供了技术路径：人用富文本编辑，AI消费Markdown导出。</w:t>
      </w:r>
    </w:p>
    <w:bookmarkEnd w:id="53"/>
    <w:bookmarkStart w:id="54" w:name="文档结构分块准确率远超固定分块"/>
    <w:p>
      <w:pPr>
        <w:pStyle w:val="Heading4"/>
      </w:pPr>
      <w:r>
        <w:t xml:space="preserve">3.1.2 文档结构分块准确率远超固定分块</w:t>
      </w:r>
    </w:p>
    <w:p>
      <w:pPr>
        <w:pStyle w:val="FirstParagraph"/>
      </w:pPr>
      <w:r>
        <w:t xml:space="preserve">文档是否具备清晰的结构层级，对分块质量具有决定性影响。基于Markdown标题层级的结构感知分块（Structure-Aware Chunking）在结构化文档上准确率可达87%，而固定分块（Fixed-Size Chunking）基线仅为60–65%</w:t>
      </w:r>
      <w:r>
        <w:t xml:space="preserve"> </w:t>
      </w:r>
      <w:fldSimple w:instr="NOTEREF _Ref_Footnote_8 \h \f">
        <w:r>
          <w:rPr>
            <w:vertAlign w:val="superscript"/>
          </w:rPr>
          <w:t>8</w:t>
        </w:r>
      </w:fldSimple>
      <w:r>
        <w:t xml:space="preserve"> </w:t>
      </w:r>
      <w:r>
        <w:rPr>
          <w:vertAlign w:val="superscript"/>
        </w:rPr>
        <w:footnoteReference w:id="70"/>
      </w:r>
      <w:r>
        <w:t xml:space="preserve">——两者差距在p=0.001水平统计显著</w:t>
      </w:r>
      <w:r>
        <w:t xml:space="preserve"> </w:t>
      </w:r>
      <w:fldSimple w:instr="NOTEREF _Ref_Footnote_70 \h \f">
        <w:r>
          <w:rPr>
            <w:vertAlign w:val="superscript"/>
          </w:rPr>
          <w:t>70</w:t>
        </w:r>
      </w:fldSimple>
      <w:r>
        <w:t xml:space="preserve">。</w:t>
      </w:r>
    </w:p>
    <w:p>
      <w:pPr>
        <w:pStyle w:val="BodyText"/>
      </w:pPr>
      <w:r>
        <w:t xml:space="preserve">这一差距的成因在于固定分块的”结构性盲目”。固定分块按预定Token数机械切分文本，无视段落边界、标题层级和语义完整性，导致三种典型错误：一是句子中部分块（Sentence Mid-Cut），如将”将配置文件复制到/etc/nginx/目录下”切分为”将配置文件复制到”和”/etc/nginx/目录下”；二是步骤碎片化（Step Fragmentation），一个三步骤操作被分散到五个Chunk中；三是标题与内容分离（Header-Content Separation），章节标题在一个Chunk中而正文内容在另一个Chunk中</w:t>
      </w:r>
      <w:r>
        <w:t xml:space="preserve"> </w:t>
      </w:r>
      <w:r>
        <w:rPr>
          <w:vertAlign w:val="superscript"/>
        </w:rPr>
        <w:footnoteReference w:id="71"/>
      </w:r>
      <w:r>
        <w:t xml:space="preserve"> </w:t>
      </w:r>
      <w:r>
        <w:rPr>
          <w:vertAlign w:val="superscript"/>
        </w:rPr>
        <w:footnoteReference w:id="72"/>
      </w:r>
      <w:r>
        <w:t xml:space="preserve">。</w:t>
      </w:r>
    </w:p>
    <w:p>
      <w:pPr>
        <w:pStyle w:val="BodyText"/>
      </w:pPr>
      <w:r>
        <w:t xml:space="preserve">结构感知分块通过三阶段处理流水线避免上述错误</w:t>
      </w:r>
      <w:r>
        <w:t xml:space="preserve"> </w:t>
      </w:r>
      <w:r>
        <w:rPr>
          <w:vertAlign w:val="superscript"/>
        </w:rPr>
        <w:footnoteReference w:id="73"/>
      </w:r>
      <w:r>
        <w:t xml:space="preserve">：第一阶段基于文档物理结构（空行、标题标记）进行层次化分割；第二阶段在段落内部基于Embedding相似度检测主题转换点；第三阶段进行上下文连续性检查，判断相邻Chunk之间的依赖关系。基于Markdown标题的语义分块还可减少42%的LLM幻觉</w:t>
      </w:r>
      <w:r>
        <w:t xml:space="preserve"> </w:t>
      </w:r>
      <w:r>
        <w:rPr>
          <w:vertAlign w:val="superscript"/>
        </w:rPr>
        <w:footnoteReference w:id="74"/>
      </w:r>
      <w:r>
        <w:t xml:space="preserve">，因为每个Chunk都保留了完整的结构上下文。</w:t>
      </w:r>
    </w:p>
    <w:bookmarkEnd w:id="54"/>
    <w:bookmarkStart w:id="55" w:name="语义分块的准确率与成本权衡"/>
    <w:p>
      <w:pPr>
        <w:pStyle w:val="Heading4"/>
      </w:pPr>
      <w:r>
        <w:t xml:space="preserve">3.1.3 语义分块的准确率与成本权衡</w:t>
      </w:r>
    </w:p>
    <w:p>
      <w:pPr>
        <w:pStyle w:val="FirstParagraph"/>
      </w:pPr>
      <w:r>
        <w:t xml:space="preserve">语义分块（Semantic Chunking）基于Embedding相似度检测主题转换点，理论上最接近人类对”段落”的直觉划分。然而，2026年2月Vecta基准测试（50篇学术论文）显示语义分块准确率仅为54%，且产生平均43 Token的碎片Chunk</w:t>
      </w:r>
      <w:r>
        <w:t xml:space="preserve"> </w:t>
      </w:r>
      <w:fldSimple w:instr="NOTEREF _Ref_Footnote_70 \h \f">
        <w:r>
          <w:rPr>
            <w:vertAlign w:val="superscript"/>
          </w:rPr>
          <w:t>70</w:t>
        </w:r>
      </w:fldSimple>
      <w:r>
        <w:t xml:space="preserve">。在AWS IAM文档语料库（2,400页结构化文档）的对比实验中，语义分块的Recall@5为68.5%，低于递归分块的71.0%，且分块处理时间长达45分钟，比递归分块慢180倍</w:t>
      </w:r>
      <w:r>
        <w:t xml:space="preserve"> </w:t>
      </w:r>
      <w:r>
        <w:rPr>
          <w:vertAlign w:val="superscript"/>
        </w:rPr>
        <w:footnoteReference w:id="75"/>
      </w:r>
      <w:r>
        <w:t xml:space="preserve">。</w:t>
      </w:r>
    </w:p>
    <w:p>
      <w:pPr>
        <w:pStyle w:val="BodyText"/>
      </w:pPr>
      <w:r>
        <w:t xml:space="preserve">语义分块的成本劣势源于其计算密集性：每对相邻句子需计算Embedding相似度，大文档集上计算开销呈线性增长。此外，语义分块在非结构化内容（如金融论坛帖子、自由格式笔记）上表现优于结构化文档</w:t>
      </w:r>
      <w:r>
        <w:t xml:space="preserve"> </w:t>
      </w:r>
      <w:fldSimple w:instr="NOTEREF _Ref_Footnote_75 \h \f">
        <w:r>
          <w:rPr>
            <w:vertAlign w:val="superscript"/>
          </w:rPr>
          <w:t>75</w:t>
        </w:r>
      </w:fldSimple>
      <w:r>
        <w:t xml:space="preserve">，而企业SOP文档通常具有高度标准化的结构（目的→适用范围→操作步骤→注意事项→附录），更适合结构感知方法。</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固定分块</w:t>
            </w:r>
          </w:p>
        </w:tc>
        <w:tc>
          <w:tcPr/>
          <w:p>
            <w:pPr>
              <w:pStyle w:val="Compact"/>
              <w:jc w:val="left"/>
            </w:pPr>
            <w:r>
              <w:t xml:space="preserve">递归分块</w:t>
            </w:r>
          </w:p>
        </w:tc>
        <w:tc>
          <w:tcPr/>
          <w:p>
            <w:pPr>
              <w:pStyle w:val="Compact"/>
              <w:jc w:val="left"/>
            </w:pPr>
            <w:r>
              <w:t xml:space="preserve">语义分块</w:t>
            </w:r>
          </w:p>
        </w:tc>
        <w:tc>
          <w:tcPr/>
          <w:p>
            <w:pPr>
              <w:pStyle w:val="Compact"/>
              <w:jc w:val="left"/>
            </w:pPr>
            <w:r>
              <w:t xml:space="preserve">结构感知分块</w:t>
            </w:r>
          </w:p>
        </w:tc>
        <w:tc>
          <w:tcPr/>
          <w:p>
            <w:pPr>
              <w:pStyle w:val="Compact"/>
              <w:jc w:val="left"/>
            </w:pPr>
            <w:r>
              <w:t xml:space="preserve">Agentic分块</w:t>
            </w:r>
          </w:p>
        </w:tc>
      </w:tr>
      <w:tr>
        <w:tc>
          <w:tcPr/>
          <w:p>
            <w:pPr>
              <w:pStyle w:val="Compact"/>
              <w:jc w:val="left"/>
            </w:pPr>
            <w:r>
              <w:rPr>
                <w:bCs/>
                <w:b/>
              </w:rPr>
              <w:t xml:space="preserve">Answer Accuracy</w:t>
            </w:r>
          </w:p>
        </w:tc>
        <w:tc>
          <w:tcPr/>
          <w:p>
            <w:pPr>
              <w:pStyle w:val="Compact"/>
              <w:jc w:val="left"/>
            </w:pPr>
            <w:r>
              <w:t xml:space="preserve">58.0–62.5%</w:t>
            </w:r>
            <w:r>
              <w:t xml:space="preserve"> </w:t>
            </w:r>
            <w:fldSimple w:instr="NOTEREF _Ref_Footnote_75 \h \f">
              <w:r>
                <w:rPr>
                  <w:vertAlign w:val="superscript"/>
                </w:rPr>
                <w:t>75</w:t>
              </w:r>
            </w:fldSimple>
          </w:p>
        </w:tc>
        <w:tc>
          <w:tcPr/>
          <w:p>
            <w:pPr>
              <w:pStyle w:val="Compact"/>
              <w:jc w:val="left"/>
            </w:pPr>
            <w:r>
              <w:t xml:space="preserve">67.5%</w:t>
            </w:r>
            <w:r>
              <w:t xml:space="preserve"> </w:t>
            </w:r>
            <w:fldSimple w:instr="NOTEREF _Ref_Footnote_75 \h \f">
              <w:r>
                <w:rPr>
                  <w:vertAlign w:val="superscript"/>
                </w:rPr>
                <w:t>75</w:t>
              </w:r>
            </w:fldSimple>
          </w:p>
        </w:tc>
        <w:tc>
          <w:tcPr/>
          <w:p>
            <w:pPr>
              <w:pStyle w:val="Compact"/>
              <w:jc w:val="left"/>
            </w:pPr>
            <w:r>
              <w:t xml:space="preserve">54.0–65.0%</w:t>
            </w:r>
            <w:r>
              <w:t xml:space="preserve"> </w:t>
            </w:r>
            <w:fldSimple w:instr="NOTEREF _Ref_Footnote_70 \h \f">
              <w:r>
                <w:rPr>
                  <w:vertAlign w:val="superscript"/>
                </w:rPr>
                <w:t>70</w:t>
              </w:r>
            </w:fldSimple>
            <w:r>
              <w:t xml:space="preserve"> </w:t>
            </w:r>
            <w:fldSimple w:instr="NOTEREF _Ref_Footnote_75 \h \f">
              <w:r>
                <w:rPr>
                  <w:vertAlign w:val="superscript"/>
                </w:rPr>
                <w:t>75</w:t>
              </w:r>
            </w:fldSimple>
          </w:p>
        </w:tc>
        <w:tc>
          <w:tcPr/>
          <w:p>
            <w:pPr>
              <w:pStyle w:val="Compact"/>
              <w:jc w:val="left"/>
            </w:pPr>
            <w:r>
              <w:t xml:space="preserve">87.0%</w:t>
            </w:r>
            <w:r>
              <w:t xml:space="preserve"> </w:t>
            </w:r>
            <w:fldSimple w:instr="NOTEREF _Ref_Footnote_70 \h \f">
              <w:r>
                <w:rPr>
                  <w:vertAlign w:val="superscript"/>
                </w:rPr>
                <w:t>70</w:t>
              </w:r>
            </w:fldSimple>
          </w:p>
        </w:tc>
        <w:tc>
          <w:tcPr/>
          <w:p>
            <w:pPr>
              <w:pStyle w:val="Compact"/>
              <w:jc w:val="left"/>
            </w:pPr>
            <w:r>
              <w:t xml:space="preserve">94.5%</w:t>
            </w:r>
            <w:r>
              <w:t xml:space="preserve"> </w:t>
            </w:r>
            <w:r>
              <w:rPr>
                <w:vertAlign w:val="superscript"/>
              </w:rPr>
              <w:footnoteReference w:id="76"/>
            </w:r>
          </w:p>
        </w:tc>
      </w:tr>
      <w:tr>
        <w:tc>
          <w:tcPr/>
          <w:p>
            <w:pPr>
              <w:pStyle w:val="Compact"/>
              <w:jc w:val="left"/>
            </w:pPr>
            <w:r>
              <w:rPr>
                <w:bCs/>
                <w:b/>
              </w:rPr>
              <w:t xml:space="preserve">Recall@5</w:t>
            </w:r>
          </w:p>
        </w:tc>
        <w:tc>
          <w:tcPr/>
          <w:p>
            <w:pPr>
              <w:pStyle w:val="Compact"/>
              <w:jc w:val="left"/>
            </w:pPr>
            <w:r>
              <w:t xml:space="preserve">62.5%</w:t>
            </w:r>
            <w:r>
              <w:t xml:space="preserve"> </w:t>
            </w:r>
            <w:fldSimple w:instr="NOTEREF _Ref_Footnote_75 \h \f">
              <w:r>
                <w:rPr>
                  <w:vertAlign w:val="superscript"/>
                </w:rPr>
                <w:t>75</w:t>
              </w:r>
            </w:fldSimple>
          </w:p>
        </w:tc>
        <w:tc>
          <w:tcPr/>
          <w:p>
            <w:pPr>
              <w:pStyle w:val="Compact"/>
              <w:jc w:val="left"/>
            </w:pPr>
            <w:r>
              <w:t xml:space="preserve">71.0%</w:t>
            </w:r>
            <w:r>
              <w:t xml:space="preserve"> </w:t>
            </w:r>
            <w:fldSimple w:instr="NOTEREF _Ref_Footnote_75 \h \f">
              <w:r>
                <w:rPr>
                  <w:vertAlign w:val="superscript"/>
                </w:rPr>
                <w:t>75</w:t>
              </w:r>
            </w:fldSimple>
          </w:p>
        </w:tc>
        <w:tc>
          <w:tcPr/>
          <w:p>
            <w:pPr>
              <w:pStyle w:val="Compact"/>
              <w:jc w:val="left"/>
            </w:pPr>
            <w:r>
              <w:t xml:space="preserve">68.5%</w:t>
            </w:r>
            <w:r>
              <w:t xml:space="preserve"> </w:t>
            </w:r>
            <w:fldSimple w:instr="NOTEREF _Ref_Footnote_75 \h \f">
              <w:r>
                <w:rPr>
                  <w:vertAlign w:val="superscript"/>
                </w:rPr>
                <w:t>75</w:t>
              </w:r>
            </w:fldSimple>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处理速度</w:t>
            </w:r>
          </w:p>
        </w:tc>
        <w:tc>
          <w:tcPr/>
          <w:p>
            <w:pPr>
              <w:pStyle w:val="Compact"/>
              <w:jc w:val="left"/>
            </w:pPr>
            <w:r>
              <w:t xml:space="preserve">最快（4秒）</w:t>
            </w:r>
          </w:p>
        </w:tc>
        <w:tc>
          <w:tcPr/>
          <w:p>
            <w:pPr>
              <w:pStyle w:val="Compact"/>
              <w:jc w:val="left"/>
            </w:pPr>
            <w:r>
              <w:t xml:space="preserve">快（15秒）</w:t>
            </w:r>
          </w:p>
        </w:tc>
        <w:tc>
          <w:tcPr/>
          <w:p>
            <w:pPr>
              <w:pStyle w:val="Compact"/>
              <w:jc w:val="left"/>
            </w:pPr>
            <w:r>
              <w:t xml:space="preserve">极慢（45分钟）</w:t>
            </w:r>
          </w:p>
        </w:tc>
        <w:tc>
          <w:tcPr/>
          <w:p>
            <w:pPr>
              <w:pStyle w:val="Compact"/>
              <w:jc w:val="left"/>
            </w:pPr>
            <w:r>
              <w:t xml:space="preserve">中等</w:t>
            </w:r>
          </w:p>
        </w:tc>
        <w:tc>
          <w:tcPr/>
          <w:p>
            <w:pPr>
              <w:pStyle w:val="Compact"/>
              <w:jc w:val="left"/>
            </w:pPr>
            <w:r>
              <w:t xml:space="preserve">最慢（LLM调用）</w:t>
            </w:r>
          </w:p>
        </w:tc>
      </w:tr>
      <w:tr>
        <w:tc>
          <w:tcPr/>
          <w:p>
            <w:pPr>
              <w:pStyle w:val="Compact"/>
              <w:jc w:val="left"/>
            </w:pPr>
            <w:r>
              <w:rPr>
                <w:bCs/>
                <w:b/>
              </w:rPr>
              <w:t xml:space="preserve">结构感知</w:t>
            </w:r>
          </w:p>
        </w:tc>
        <w:tc>
          <w:tcPr/>
          <w:p>
            <w:pPr>
              <w:pStyle w:val="Compact"/>
              <w:jc w:val="left"/>
            </w:pPr>
            <w:r>
              <w:t xml:space="preserve">无</w:t>
            </w:r>
          </w:p>
        </w:tc>
        <w:tc>
          <w:tcPr/>
          <w:p>
            <w:pPr>
              <w:pStyle w:val="Compact"/>
              <w:jc w:val="left"/>
            </w:pPr>
            <w:r>
              <w:t xml:space="preserve">有</w:t>
            </w:r>
          </w:p>
        </w:tc>
        <w:tc>
          <w:tcPr/>
          <w:p>
            <w:pPr>
              <w:pStyle w:val="Compact"/>
              <w:jc w:val="left"/>
            </w:pPr>
            <w:r>
              <w:t xml:space="preserve">有</w:t>
            </w:r>
          </w:p>
        </w:tc>
        <w:tc>
          <w:tcPr/>
          <w:p>
            <w:pPr>
              <w:pStyle w:val="Compact"/>
              <w:jc w:val="left"/>
            </w:pPr>
            <w:r>
              <w:t xml:space="preserve">强</w:t>
            </w:r>
          </w:p>
        </w:tc>
        <w:tc>
          <w:tcPr/>
          <w:p>
            <w:pPr>
              <w:pStyle w:val="Compact"/>
              <w:jc w:val="left"/>
            </w:pPr>
            <w:r>
              <w:t xml:space="preserve">最强</w:t>
            </w:r>
          </w:p>
        </w:tc>
      </w:tr>
      <w:tr>
        <w:tc>
          <w:tcPr/>
          <w:p>
            <w:pPr>
              <w:pStyle w:val="Compact"/>
              <w:jc w:val="left"/>
            </w:pPr>
            <w:r>
              <w:rPr>
                <w:bCs/>
                <w:b/>
              </w:rPr>
              <w:t xml:space="preserve">成本</w:t>
            </w:r>
          </w:p>
        </w:tc>
        <w:tc>
          <w:tcPr/>
          <w:p>
            <w:pPr>
              <w:pStyle w:val="Compact"/>
              <w:jc w:val="left"/>
            </w:pPr>
            <w:r>
              <w:t xml:space="preserve">最低</w:t>
            </w:r>
          </w:p>
        </w:tc>
        <w:tc>
          <w:tcPr/>
          <w:p>
            <w:pPr>
              <w:pStyle w:val="Compact"/>
              <w:jc w:val="left"/>
            </w:pPr>
            <w:r>
              <w:t xml:space="preserve">低</w:t>
            </w:r>
          </w:p>
        </w:tc>
        <w:tc>
          <w:tcPr/>
          <w:p>
            <w:pPr>
              <w:pStyle w:val="Compact"/>
              <w:jc w:val="left"/>
            </w:pPr>
            <w:r>
              <w:t xml:space="preserve">高（3–5×）</w:t>
            </w:r>
          </w:p>
        </w:tc>
        <w:tc>
          <w:tcPr/>
          <w:p>
            <w:pPr>
              <w:pStyle w:val="Compact"/>
              <w:jc w:val="left"/>
            </w:pPr>
            <w:r>
              <w:t xml:space="preserve">中等</w:t>
            </w:r>
          </w:p>
        </w:tc>
        <w:tc>
          <w:tcPr/>
          <w:p>
            <w:pPr>
              <w:pStyle w:val="Compact"/>
              <w:jc w:val="left"/>
            </w:pPr>
            <w:r>
              <w:t xml:space="preserve">最高</w:t>
            </w:r>
          </w:p>
        </w:tc>
      </w:tr>
      <w:tr>
        <w:tc>
          <w:tcPr/>
          <w:p>
            <w:pPr>
              <w:pStyle w:val="Compact"/>
              <w:jc w:val="left"/>
            </w:pPr>
            <w:r>
              <w:rPr>
                <w:bCs/>
                <w:b/>
              </w:rPr>
              <w:t xml:space="preserve">SOP适配度</w:t>
            </w:r>
          </w:p>
        </w:tc>
        <w:tc>
          <w:tcPr/>
          <w:p>
            <w:pPr>
              <w:pStyle w:val="Compact"/>
              <w:jc w:val="left"/>
            </w:pPr>
            <w:r>
              <w:t xml:space="preserve">低</w:t>
            </w:r>
          </w:p>
        </w:tc>
        <w:tc>
          <w:tcPr/>
          <w:p>
            <w:pPr>
              <w:pStyle w:val="Compact"/>
              <w:jc w:val="left"/>
            </w:pPr>
            <w:r>
              <w:rPr>
                <w:bCs/>
                <w:b/>
              </w:rPr>
              <w:t xml:space="preserve">高</w:t>
            </w:r>
          </w:p>
        </w:tc>
        <w:tc>
          <w:tcPr/>
          <w:p>
            <w:pPr>
              <w:pStyle w:val="Compact"/>
              <w:jc w:val="left"/>
            </w:pPr>
            <w:r>
              <w:t xml:space="preserve">中</w:t>
            </w:r>
          </w:p>
        </w:tc>
        <w:tc>
          <w:tcPr/>
          <w:p>
            <w:pPr>
              <w:pStyle w:val="Compact"/>
              <w:jc w:val="left"/>
            </w:pPr>
            <w:r>
              <w:rPr>
                <w:bCs/>
                <w:b/>
              </w:rPr>
              <w:t xml:space="preserve">最高</w:t>
            </w:r>
          </w:p>
        </w:tc>
        <w:tc>
          <w:tcPr/>
          <w:p>
            <w:pPr>
              <w:pStyle w:val="Compact"/>
              <w:jc w:val="left"/>
            </w:pPr>
            <w:r>
              <w:t xml:space="preserve">高（静态语料）</w:t>
            </w:r>
          </w:p>
        </w:tc>
      </w:tr>
    </w:tbl>
    <w:p>
      <w:pPr>
        <w:pStyle w:val="BodyText"/>
      </w:pPr>
      <w:r>
        <w:t xml:space="preserve">表3-1展示了五种主流分块策略在SOP场景下的多维对比。递归分块与结构感知分块在SOP场景中展现出最佳的综合性价比：递归分块速度比语义分块快180倍且质量更优，结构感知分块则利用SOP固有的标题层级实现87%的准确率。语义分块虽然理论优雅，但在结构化文档上呈现出”成本高、收益低”的特征，更适合高价值静态语料库（如法律合同、药品文档）的场景。Agentic分块（使用LLM动态决定分块边界）达到94.5%的整体准确率</w:t>
      </w:r>
      <w:r>
        <w:t xml:space="preserve"> </w:t>
      </w:r>
      <w:fldSimple w:instr="NOTEREF _Ref_Footnote_76 \h \f">
        <w:r>
          <w:rPr>
            <w:vertAlign w:val="superscript"/>
          </w:rPr>
          <w:t>76</w:t>
        </w:r>
      </w:fldSimple>
      <w:r>
        <w:t xml:space="preserve">，但每10,000字文档约需50次LLM调用（成本约$0.01–0.03/文档）</w:t>
      </w:r>
      <w:r>
        <w:rPr>
          <w:vertAlign w:val="superscript"/>
        </w:rPr>
        <w:footnoteReference w:id="77"/>
      </w:r>
      <w:r>
        <w:t xml:space="preserve">，仅适用于对准确率要求极高且更新频率低的合规级SOP。</w:t>
      </w:r>
    </w:p>
    <w:bookmarkEnd w:id="55"/>
    <w:bookmarkEnd w:id="56"/>
    <w:bookmarkStart w:id="66" w:name="最优分块策略"/>
    <w:p>
      <w:pPr>
        <w:pStyle w:val="Heading3"/>
      </w:pPr>
      <w:r>
        <w:t xml:space="preserve">3.2 最优分块策略</w:t>
      </w:r>
    </w:p>
    <w:bookmarkStart w:id="60" w:name="结构感知递归分块markdown标题层级的充分利用"/>
    <w:p>
      <w:pPr>
        <w:pStyle w:val="Heading4"/>
      </w:pPr>
      <w:r>
        <w:t xml:space="preserve">3.2.1 结构感知递归分块：Markdown标题层级的充分利用</w:t>
      </w:r>
    </w:p>
    <w:p>
      <w:pPr>
        <w:pStyle w:val="FirstParagraph"/>
      </w:pPr>
      <w:r>
        <w:t xml:space="preserve">结构感知递归分块（Structure-Aware Recursive Chunking）是当前SOP场景的最佳默认选择。该方法结合递归字符分割与Markdown标题层级感知，通过LangChain的</w:t>
      </w:r>
      <w:r>
        <w:rPr>
          <w:rStyle w:val="VerbatimChar"/>
        </w:rPr>
        <w:t xml:space="preserve">MarkdownHeaderTextSplitter</w:t>
      </w:r>
      <w:r>
        <w:t xml:space="preserve">实现</w:t>
      </w:r>
      <w:r>
        <w:t xml:space="preserve"> </w:t>
      </w:r>
      <w:fldSimple w:instr="NOTEREF _Ref_Footnote_72 \h \f">
        <w:r>
          <w:rPr>
            <w:vertAlign w:val="superscript"/>
          </w:rPr>
          <w:t>72</w:t>
        </w:r>
      </w:fldSimple>
      <w:r>
        <w:t xml:space="preserve"> </w:t>
      </w:r>
      <w:r>
        <w:rPr>
          <w:vertAlign w:val="superscript"/>
        </w:rPr>
        <w:footnoteReference w:id="78"/>
      </w:r>
      <w:r>
        <w:t xml:space="preserve">：首先按</w:t>
      </w:r>
      <w:r>
        <w:rPr>
          <w:rStyle w:val="VerbatimChar"/>
        </w:rPr>
        <w:t xml:space="preserve">#</w:t>
      </w:r>
      <w:r>
        <w:t xml:space="preserve">（H1）、</w:t>
      </w:r>
      <w:r>
        <w:rPr>
          <w:rStyle w:val="VerbatimChar"/>
        </w:rPr>
        <w:t xml:space="preserve">##</w:t>
      </w:r>
      <w:r>
        <w:t xml:space="preserve">（H2）、</w:t>
      </w:r>
      <w:r>
        <w:rPr>
          <w:rStyle w:val="VerbatimChar"/>
        </w:rPr>
        <w:t xml:space="preserve">###</w:t>
      </w:r>
      <w:r>
        <w:t xml:space="preserve">（H3）标记建立层级树，在每个标题组内再使用</w:t>
      </w:r>
      <w:r>
        <w:rPr>
          <w:rStyle w:val="VerbatimChar"/>
        </w:rPr>
        <w:t xml:space="preserve">RecursiveCharacterTextSplitter</w:t>
      </w:r>
      <w:r>
        <w:t xml:space="preserve">按段落（</w:t>
      </w:r>
      <w:r>
        <w:rPr>
          <w:rStyle w:val="VerbatimChar"/>
        </w:rPr>
        <w:t xml:space="preserve">\n\n</w:t>
      </w:r>
      <w:r>
        <w:t xml:space="preserve">）、行（</w:t>
      </w:r>
      <w:r>
        <w:rPr>
          <w:rStyle w:val="VerbatimChar"/>
        </w:rPr>
        <w:t xml:space="preserve">\n</w:t>
      </w:r>
      <w:r>
        <w:t xml:space="preserve">）、句子（</w:t>
      </w:r>
      <w:r>
        <w:rPr>
          <w:rStyle w:val="VerbatimChar"/>
        </w:rPr>
        <w:t xml:space="preserve">.</w:t>
      </w:r>
      <w:r>
        <w:t xml:space="preserve">）的优先级递归分割</w:t>
      </w:r>
      <w:r>
        <w:t xml:space="preserve"> </w:t>
      </w:r>
      <w:fldSimple w:instr="NOTEREF _Ref_Footnote_71 \h \f">
        <w:r>
          <w:rPr>
            <w:vertAlign w:val="superscript"/>
          </w:rPr>
          <w:t>71</w:t>
        </w:r>
      </w:fldSimple>
      <w:r>
        <w:t xml:space="preserve">。</w:t>
      </w:r>
    </w:p>
    <w:p>
      <w:pPr>
        <w:pStyle w:val="CaptionedFigure"/>
      </w:pPr>
      <w:r>
        <w:drawing>
          <wp:inline>
            <wp:extent cx="5334000" cy="3177126"/>
            <wp:effectExtent b="0" l="0" r="0" t="0"/>
            <wp:docPr descr="图3-1 五种分块策略在结构化文档上的准确率对比" title="" id="58" name="Picture"/>
            <a:graphic>
              <a:graphicData uri="http://schemas.openxmlformats.org/drawingml/2006/picture">
                <pic:pic>
                  <pic:nvPicPr>
                    <pic:cNvPr descr="chart_3_1_chunking_strategies.png" id="59" name="Picture"/>
                    <pic:cNvPicPr>
                      <a:picLocks noChangeArrowheads="1" noChangeAspect="1"/>
                    </pic:cNvPicPr>
                  </pic:nvPicPr>
                  <pic:blipFill>
                    <a:blip r:embed="rId57"/>
                    <a:stretch>
                      <a:fillRect/>
                    </a:stretch>
                  </pic:blipFill>
                  <pic:spPr bwMode="auto">
                    <a:xfrm>
                      <a:off x="0" y="0"/>
                      <a:ext cx="5334000" cy="3177126"/>
                    </a:xfrm>
                    <a:prstGeom prst="rect">
                      <a:avLst/>
                    </a:prstGeom>
                    <a:noFill/>
                    <a:ln w="9525">
                      <a:noFill/>
                      <a:headEnd/>
                      <a:tailEnd/>
                    </a:ln>
                  </pic:spPr>
                </pic:pic>
              </a:graphicData>
            </a:graphic>
          </wp:inline>
        </w:drawing>
      </w:r>
    </w:p>
    <w:p>
      <w:pPr>
        <w:pStyle w:val="ImageCaption"/>
      </w:pPr>
      <w:r>
        <w:t xml:space="preserve">图3-1 五种分块策略在结构化文档上的准确率对比</w:t>
      </w:r>
    </w:p>
    <w:p>
      <w:pPr>
        <w:pStyle w:val="BodyText"/>
      </w:pPr>
      <w:r>
        <w:t xml:space="preserve">图3-1对比了五种分块策略在结构化文档上的Answer Accuracy与Recall@5。结构感知分块以87.0%的准确率领先，较固定分块提升24.5个百分点。递归分块以71.0%的Recall@5位居第二，且在处理速度上显著优于语义分块。Agentic分块虽然准确率最高（94.5%），但其在生产环境中的大规模部署受限于LLM调用成本。</w:t>
      </w:r>
    </w:p>
    <w:p>
      <w:pPr>
        <w:pStyle w:val="BodyText"/>
      </w:pPr>
      <w:r>
        <w:t xml:space="preserve">对于SOP文档，结构感知分块的优势具有天然适配性。SOP文档具有高度标准化的结构特征——目的、适用范围、职责定义、操作步骤、注意事项等章节构成固定模板。每个操作步骤具有高内聚、低耦合的语义特征：步骤描述（包含操作动作、输入、输出）应完整保留在同一Chunk内，步骤间存在顺序依赖但可在Overlap区域保留边界上下文。结构感知分块恰好将</w:t>
      </w:r>
      <w:r>
        <w:rPr>
          <w:rStyle w:val="VerbatimChar"/>
        </w:rPr>
        <w:t xml:space="preserve">## 操作步骤</w:t>
      </w:r>
      <w:r>
        <w:t xml:space="preserve">作为分块边界，将</w:t>
      </w:r>
      <w:r>
        <w:rPr>
          <w:rStyle w:val="VerbatimChar"/>
        </w:rPr>
        <w:t xml:space="preserve">### 步骤5.1</w:t>
      </w:r>
      <w:r>
        <w:t xml:space="preserve">作为子边界，保证每个步骤的完整性。</w:t>
      </w:r>
    </w:p>
    <w:bookmarkEnd w:id="60"/>
    <w:bookmarkStart w:id="64" w:name="chunk-size最优区间sop场景推荐256512-tokens"/>
    <w:p>
      <w:pPr>
        <w:pStyle w:val="Heading4"/>
      </w:pPr>
      <w:r>
        <w:t xml:space="preserve">3.2.2 Chunk Size最优区间：SOP场景推荐256–512 Tokens</w:t>
      </w:r>
    </w:p>
    <w:p>
      <w:pPr>
        <w:pStyle w:val="FirstParagraph"/>
      </w:pPr>
      <w:r>
        <w:t xml:space="preserve">Chunk Size是RAG系统中需要精细调优的核心超参数。过小的Chunk缺乏足够上下文，过大的Chunk则引入噪声稀释相关性。AWS IAM文档语料库（2,400页结构化文档）的系统性消融实验提供了最可靠的定量依据</w:t>
      </w:r>
      <w:r>
        <w:t xml:space="preserve"> </w:t>
      </w:r>
      <w:fldSimple w:instr="NOTEREF _Ref_Footnote_75 \h \f">
        <w:r>
          <w:rPr>
            <w:vertAlign w:val="superscript"/>
          </w:rPr>
          <w:t>75</w:t>
        </w:r>
      </w:fldSimple>
      <w:r>
        <w:t xml:space="preserve">：</w:t>
      </w:r>
    </w:p>
    <w:p>
      <w:pPr>
        <w:pStyle w:val="CaptionedFigure"/>
      </w:pPr>
      <w:r>
        <w:drawing>
          <wp:inline>
            <wp:extent cx="5334000" cy="3173838"/>
            <wp:effectExtent b="0" l="0" r="0" t="0"/>
            <wp:docPr descr="图3-2 Chunk Size对RAG检索效果的影响" title="" id="62" name="Picture"/>
            <a:graphic>
              <a:graphicData uri="http://schemas.openxmlformats.org/drawingml/2006/picture">
                <pic:pic>
                  <pic:nvPicPr>
                    <pic:cNvPr descr="chart_3_2_chunk_size_impact.png" id="63" name="Picture"/>
                    <pic:cNvPicPr>
                      <a:picLocks noChangeArrowheads="1" noChangeAspect="1"/>
                    </pic:cNvPicPr>
                  </pic:nvPicPr>
                  <pic:blipFill>
                    <a:blip r:embed="rId61"/>
                    <a:stretch>
                      <a:fillRect/>
                    </a:stretch>
                  </pic:blipFill>
                  <pic:spPr bwMode="auto">
                    <a:xfrm>
                      <a:off x="0" y="0"/>
                      <a:ext cx="5334000" cy="3173838"/>
                    </a:xfrm>
                    <a:prstGeom prst="rect">
                      <a:avLst/>
                    </a:prstGeom>
                    <a:noFill/>
                    <a:ln w="9525">
                      <a:noFill/>
                      <a:headEnd/>
                      <a:tailEnd/>
                    </a:ln>
                  </pic:spPr>
                </pic:pic>
              </a:graphicData>
            </a:graphic>
          </wp:inline>
        </w:drawing>
      </w:r>
    </w:p>
    <w:p>
      <w:pPr>
        <w:pStyle w:val="ImageCaption"/>
      </w:pPr>
      <w:r>
        <w:t xml:space="preserve">图3-2 Chunk Size对RAG检索效果的影响</w:t>
      </w:r>
    </w:p>
    <w:p>
      <w:pPr>
        <w:pStyle w:val="BodyText"/>
      </w:pPr>
      <w:r>
        <w:t xml:space="preserve">图3-2显示，Chunk Size从128 Token增长至512 Token的过程中，Recall@5从53.0%提升至71.0%，Answer Accuracy从48.5%提升至67.5%。超过512 Token后，两项指标均出现下降：768 Token时Recall@5降至69.0%，1,024 Token时进一步降至64.5%。原因在于较大Chunk包含更多不相关信息，Embedding向量在语义空间中变得”稀释”，降低了检索区分度</w:t>
      </w:r>
      <w:r>
        <w:t xml:space="preserve"> </w:t>
      </w:r>
      <w:r>
        <w:rPr>
          <w:vertAlign w:val="superscript"/>
        </w:rPr>
        <w:footnoteReference w:id="79"/>
      </w:r>
      <w:r>
        <w:t xml:space="preserve">。</w:t>
      </w:r>
    </w:p>
    <w:p>
      <w:pPr>
        <w:pStyle w:val="BodyText"/>
      </w:pPr>
      <w:r>
        <w:rPr>
          <w:bCs/>
          <w:b/>
        </w:rPr>
        <w:t xml:space="preserve">表3-2 不同Chunk Size配置下RAG检索效果对比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Chunk Size</w:t>
            </w:r>
          </w:p>
        </w:tc>
        <w:tc>
          <w:tcPr/>
          <w:p>
            <w:pPr>
              <w:pStyle w:val="Compact"/>
              <w:jc w:val="left"/>
            </w:pPr>
            <w:r>
              <w:t xml:space="preserve">Recall@5</w:t>
            </w:r>
          </w:p>
        </w:tc>
        <w:tc>
          <w:tcPr/>
          <w:p>
            <w:pPr>
              <w:pStyle w:val="Compact"/>
              <w:jc w:val="left"/>
            </w:pPr>
            <w:r>
              <w:t xml:space="preserve">Answer Accuracy</w:t>
            </w:r>
          </w:p>
        </w:tc>
        <w:tc>
          <w:tcPr/>
          <w:p>
            <w:pPr>
              <w:pStyle w:val="Compact"/>
              <w:jc w:val="left"/>
            </w:pPr>
            <w:r>
              <w:t xml:space="preserve">分块数（18,400页基线）</w:t>
            </w:r>
          </w:p>
        </w:tc>
        <w:tc>
          <w:tcPr/>
          <w:p>
            <w:pPr>
              <w:pStyle w:val="Compact"/>
              <w:jc w:val="left"/>
            </w:pPr>
            <w:r>
              <w:t xml:space="preserve">评价</w:t>
            </w:r>
          </w:p>
        </w:tc>
      </w:tr>
      <w:tr>
        <w:tc>
          <w:tcPr/>
          <w:p>
            <w:pPr>
              <w:pStyle w:val="Compact"/>
              <w:jc w:val="left"/>
            </w:pPr>
            <w:r>
              <w:t xml:space="preserve">128 tokens</w:t>
            </w:r>
          </w:p>
        </w:tc>
        <w:tc>
          <w:tcPr/>
          <w:p>
            <w:pPr>
              <w:pStyle w:val="Compact"/>
              <w:jc w:val="left"/>
            </w:pPr>
            <w:r>
              <w:t xml:space="preserve">53.0%</w:t>
            </w:r>
            <w:r>
              <w:t xml:space="preserve"> </w:t>
            </w:r>
            <w:fldSimple w:instr="NOTEREF _Ref_Footnote_75 \h \f">
              <w:r>
                <w:rPr>
                  <w:vertAlign w:val="superscript"/>
                </w:rPr>
                <w:t>75</w:t>
              </w:r>
            </w:fldSimple>
          </w:p>
        </w:tc>
        <w:tc>
          <w:tcPr/>
          <w:p>
            <w:pPr>
              <w:pStyle w:val="Compact"/>
              <w:jc w:val="left"/>
            </w:pPr>
            <w:r>
              <w:t xml:space="preserve">48.5%</w:t>
            </w:r>
            <w:r>
              <w:t xml:space="preserve"> </w:t>
            </w:r>
            <w:fldSimple w:instr="NOTEREF _Ref_Footnote_75 \h \f">
              <w:r>
                <w:rPr>
                  <w:vertAlign w:val="superscript"/>
                </w:rPr>
                <w:t>75</w:t>
              </w:r>
            </w:fldSimple>
          </w:p>
        </w:tc>
        <w:tc>
          <w:tcPr/>
          <w:p>
            <w:pPr>
              <w:pStyle w:val="Compact"/>
              <w:jc w:val="left"/>
            </w:pPr>
            <w:r>
              <w:t xml:space="preserve">~73,600</w:t>
            </w:r>
          </w:p>
        </w:tc>
        <w:tc>
          <w:tcPr/>
          <w:p>
            <w:pPr>
              <w:pStyle w:val="Compact"/>
              <w:jc w:val="left"/>
            </w:pPr>
            <w:r>
              <w:t xml:space="preserve">太短，缺乏上下文</w:t>
            </w:r>
          </w:p>
        </w:tc>
      </w:tr>
      <w:tr>
        <w:tc>
          <w:tcPr/>
          <w:p>
            <w:pPr>
              <w:pStyle w:val="Compact"/>
              <w:jc w:val="left"/>
            </w:pPr>
            <w:r>
              <w:t xml:space="preserve">256 tokens</w:t>
            </w:r>
          </w:p>
        </w:tc>
        <w:tc>
          <w:tcPr/>
          <w:p>
            <w:pPr>
              <w:pStyle w:val="Compact"/>
              <w:jc w:val="left"/>
            </w:pPr>
            <w:r>
              <w:t xml:space="preserve">64.5%</w:t>
            </w:r>
            <w:r>
              <w:t xml:space="preserve"> </w:t>
            </w:r>
            <w:fldSimple w:instr="NOTEREF _Ref_Footnote_75 \h \f">
              <w:r>
                <w:rPr>
                  <w:vertAlign w:val="superscript"/>
                </w:rPr>
                <w:t>75</w:t>
              </w:r>
            </w:fldSimple>
          </w:p>
        </w:tc>
        <w:tc>
          <w:tcPr/>
          <w:p>
            <w:pPr>
              <w:pStyle w:val="Compact"/>
              <w:jc w:val="left"/>
            </w:pPr>
            <w:r>
              <w:t xml:space="preserve">60.0%</w:t>
            </w:r>
            <w:r>
              <w:t xml:space="preserve"> </w:t>
            </w:r>
            <w:fldSimple w:instr="NOTEREF _Ref_Footnote_75 \h \f">
              <w:r>
                <w:rPr>
                  <w:vertAlign w:val="superscript"/>
                </w:rPr>
                <w:t>75</w:t>
              </w:r>
            </w:fldSimple>
          </w:p>
        </w:tc>
        <w:tc>
          <w:tcPr/>
          <w:p>
            <w:pPr>
              <w:pStyle w:val="Compact"/>
              <w:jc w:val="left"/>
            </w:pPr>
            <w:r>
              <w:t xml:space="preserve">~36,800</w:t>
            </w:r>
          </w:p>
        </w:tc>
        <w:tc>
          <w:tcPr/>
          <w:p>
            <w:pPr>
              <w:pStyle w:val="Compact"/>
              <w:jc w:val="left"/>
            </w:pPr>
            <w:r>
              <w:t xml:space="preserve">可用，适合简单SOP</w:t>
            </w:r>
          </w:p>
        </w:tc>
      </w:tr>
      <w:tr>
        <w:tc>
          <w:tcPr/>
          <w:p>
            <w:pPr>
              <w:pStyle w:val="Compact"/>
              <w:jc w:val="left"/>
            </w:pPr>
            <w:r>
              <w:rPr>
                <w:bCs/>
                <w:b/>
              </w:rPr>
              <w:t xml:space="preserve">512 tokens</w:t>
            </w:r>
          </w:p>
        </w:tc>
        <w:tc>
          <w:tcPr/>
          <w:p>
            <w:pPr>
              <w:pStyle w:val="Compact"/>
              <w:jc w:val="left"/>
            </w:pPr>
            <w:r>
              <w:rPr>
                <w:bCs/>
                <w:b/>
              </w:rPr>
              <w:t xml:space="preserve">71.0%</w:t>
            </w:r>
            <w:r>
              <w:t xml:space="preserve"> </w:t>
            </w:r>
            <w:fldSimple w:instr="NOTEREF _Ref_Footnote_75 \h \f">
              <w:r>
                <w:rPr>
                  <w:vertAlign w:val="superscript"/>
                </w:rPr>
                <w:t>75</w:t>
              </w:r>
            </w:fldSimple>
          </w:p>
        </w:tc>
        <w:tc>
          <w:tcPr/>
          <w:p>
            <w:pPr>
              <w:pStyle w:val="Compact"/>
              <w:jc w:val="left"/>
            </w:pPr>
            <w:r>
              <w:rPr>
                <w:bCs/>
                <w:b/>
              </w:rPr>
              <w:t xml:space="preserve">67.5%</w:t>
            </w:r>
            <w:r>
              <w:t xml:space="preserve"> </w:t>
            </w:r>
            <w:fldSimple w:instr="NOTEREF _Ref_Footnote_75 \h \f">
              <w:r>
                <w:rPr>
                  <w:vertAlign w:val="superscript"/>
                </w:rPr>
                <w:t>75</w:t>
              </w:r>
            </w:fldSimple>
          </w:p>
        </w:tc>
        <w:tc>
          <w:tcPr/>
          <w:p>
            <w:pPr>
              <w:pStyle w:val="Compact"/>
              <w:jc w:val="left"/>
            </w:pPr>
            <w:r>
              <w:rPr>
                <w:bCs/>
                <w:b/>
              </w:rPr>
              <w:t xml:space="preserve">~18,400</w:t>
            </w:r>
          </w:p>
        </w:tc>
        <w:tc>
          <w:tcPr/>
          <w:p>
            <w:pPr>
              <w:pStyle w:val="Compact"/>
              <w:jc w:val="left"/>
            </w:pPr>
            <w:r>
              <w:rPr>
                <w:bCs/>
                <w:b/>
              </w:rPr>
              <w:t xml:space="preserve">最佳平衡点</w:t>
            </w:r>
          </w:p>
        </w:tc>
      </w:tr>
      <w:tr>
        <w:tc>
          <w:tcPr/>
          <w:p>
            <w:pPr>
              <w:pStyle w:val="Compact"/>
              <w:jc w:val="left"/>
            </w:pPr>
            <w:r>
              <w:t xml:space="preserve">768 tokens</w:t>
            </w:r>
          </w:p>
        </w:tc>
        <w:tc>
          <w:tcPr/>
          <w:p>
            <w:pPr>
              <w:pStyle w:val="Compact"/>
              <w:jc w:val="left"/>
            </w:pPr>
            <w:r>
              <w:t xml:space="preserve">69.0%</w:t>
            </w:r>
            <w:r>
              <w:t xml:space="preserve"> </w:t>
            </w:r>
            <w:fldSimple w:instr="NOTEREF _Ref_Footnote_75 \h \f">
              <w:r>
                <w:rPr>
                  <w:vertAlign w:val="superscript"/>
                </w:rPr>
                <w:t>75</w:t>
              </w:r>
            </w:fldSimple>
          </w:p>
        </w:tc>
        <w:tc>
          <w:tcPr/>
          <w:p>
            <w:pPr>
              <w:pStyle w:val="Compact"/>
              <w:jc w:val="left"/>
            </w:pPr>
            <w:r>
              <w:t xml:space="preserve">66.0%</w:t>
            </w:r>
            <w:r>
              <w:t xml:space="preserve"> </w:t>
            </w:r>
            <w:fldSimple w:instr="NOTEREF _Ref_Footnote_75 \h \f">
              <w:r>
                <w:rPr>
                  <w:vertAlign w:val="superscript"/>
                </w:rPr>
                <w:t>75</w:t>
              </w:r>
            </w:fldSimple>
          </w:p>
        </w:tc>
        <w:tc>
          <w:tcPr/>
          <w:p>
            <w:pPr>
              <w:pStyle w:val="Compact"/>
              <w:jc w:val="left"/>
            </w:pPr>
            <w:r>
              <w:t xml:space="preserve">~12,267</w:t>
            </w:r>
          </w:p>
        </w:tc>
        <w:tc>
          <w:tcPr/>
          <w:p>
            <w:pPr>
              <w:pStyle w:val="Compact"/>
              <w:jc w:val="left"/>
            </w:pPr>
            <w:r>
              <w:t xml:space="preserve">相关性开始稀释</w:t>
            </w:r>
          </w:p>
        </w:tc>
      </w:tr>
      <w:tr>
        <w:tc>
          <w:tcPr/>
          <w:p>
            <w:pPr>
              <w:pStyle w:val="Compact"/>
              <w:jc w:val="left"/>
            </w:pPr>
            <w:r>
              <w:t xml:space="preserve">1,024 tokens</w:t>
            </w:r>
          </w:p>
        </w:tc>
        <w:tc>
          <w:tcPr/>
          <w:p>
            <w:pPr>
              <w:pStyle w:val="Compact"/>
              <w:jc w:val="left"/>
            </w:pPr>
            <w:r>
              <w:t xml:space="preserve">64.5%</w:t>
            </w:r>
            <w:r>
              <w:t xml:space="preserve"> </w:t>
            </w:r>
            <w:fldSimple w:instr="NOTEREF _Ref_Footnote_75 \h \f">
              <w:r>
                <w:rPr>
                  <w:vertAlign w:val="superscript"/>
                </w:rPr>
                <w:t>75</w:t>
              </w:r>
            </w:fldSimple>
          </w:p>
        </w:tc>
        <w:tc>
          <w:tcPr/>
          <w:p>
            <w:pPr>
              <w:pStyle w:val="Compact"/>
              <w:jc w:val="left"/>
            </w:pPr>
            <w:r>
              <w:t xml:space="preserve">62.0%</w:t>
            </w:r>
            <w:r>
              <w:t xml:space="preserve"> </w:t>
            </w:r>
            <w:fldSimple w:instr="NOTEREF _Ref_Footnote_75 \h \f">
              <w:r>
                <w:rPr>
                  <w:vertAlign w:val="superscript"/>
                </w:rPr>
                <w:t>75</w:t>
              </w:r>
            </w:fldSimple>
          </w:p>
        </w:tc>
        <w:tc>
          <w:tcPr/>
          <w:p>
            <w:pPr>
              <w:pStyle w:val="Compact"/>
              <w:jc w:val="left"/>
            </w:pPr>
            <w:r>
              <w:t xml:space="preserve">~9,200</w:t>
            </w:r>
          </w:p>
        </w:tc>
        <w:tc>
          <w:tcPr/>
          <w:p>
            <w:pPr>
              <w:pStyle w:val="Compact"/>
              <w:jc w:val="left"/>
            </w:pPr>
            <w:r>
              <w:t xml:space="preserve">噪声过多</w:t>
            </w:r>
          </w:p>
        </w:tc>
      </w:tr>
    </w:tbl>
    <w:p>
      <w:pPr>
        <w:pStyle w:val="BodyText"/>
      </w:pPr>
      <w:r>
        <w:t xml:space="preserve">表3-2的数据清晰表明512 Token是大多数场景的最优平衡点。但SOP场景需进一步细化：简单SOP（单步骤短）推荐256 Token，减少噪声；标准SOP（多子步骤）推荐512 Token；复杂SOP（含详细参数说明和表格）推荐768–1,024 Token以保留充分上下文</w:t>
      </w:r>
      <w:r>
        <w:t xml:space="preserve"> </w:t>
      </w:r>
      <w:fldSimple w:instr="NOTEREF _Ref_Footnote_75 \h \f">
        <w:r>
          <w:rPr>
            <w:vertAlign w:val="superscript"/>
          </w:rPr>
          <w:t>75</w:t>
        </w:r>
      </w:fldSimple>
      <w:r>
        <w:t xml:space="preserve"> </w:t>
      </w:r>
      <w:r>
        <w:rPr>
          <w:vertAlign w:val="superscript"/>
        </w:rPr>
        <w:footnoteReference w:id="80"/>
      </w:r>
      <w:r>
        <w:t xml:space="preserve">。Databricks的行业指南建议通用文本采用200–500 Token、叙述性内容采用500–1,000 Token</w:t>
      </w:r>
      <w:r>
        <w:t xml:space="preserve"> </w:t>
      </w:r>
      <w:fldSimple w:instr="NOTEREF _Ref_Footnote_80 \h \f">
        <w:r>
          <w:rPr>
            <w:vertAlign w:val="superscript"/>
          </w:rPr>
          <w:t>80</w:t>
        </w:r>
      </w:fldSimple>
      <w:r>
        <w:t xml:space="preserve">，与实验数据基本一致。</w:t>
      </w:r>
    </w:p>
    <w:p>
      <w:pPr>
        <w:pStyle w:val="BodyText"/>
      </w:pPr>
      <w:r>
        <w:t xml:space="preserve">Chunk Overlap（重叠区域）是另一个关键参数。行业共识认为10–20%的Overlap是最佳起点</w:t>
      </w:r>
      <w:r>
        <w:t xml:space="preserve"> </w:t>
      </w:r>
      <w:fldSimple w:instr="NOTEREF _Ref_Footnote_77 \h \f">
        <w:r>
          <w:rPr>
            <w:vertAlign w:val="superscript"/>
          </w:rPr>
          <w:t>77</w:t>
        </w:r>
      </w:fldSimple>
      <w:r>
        <w:t xml:space="preserve"> </w:t>
      </w:r>
      <w:fldSimple w:instr="NOTEREF _Ref_Footnote_80 \h \f">
        <w:r>
          <w:rPr>
            <w:vertAlign w:val="superscript"/>
          </w:rPr>
          <w:t>80</w:t>
        </w:r>
      </w:fldSimple>
      <w:r>
        <w:t xml:space="preserve">。AWS IAM语料库的消融实验显示，50 Token Overlap（约10%的512 Token Chunk）将Recall@5从65.0%提升至71.0%，恢复约60–70%的边界信息损失</w:t>
      </w:r>
      <w:r>
        <w:t xml:space="preserve"> </w:t>
      </w:r>
      <w:fldSimple w:instr="NOTEREF _Ref_Footnote_77 \h \f">
        <w:r>
          <w:rPr>
            <w:vertAlign w:val="superscript"/>
          </w:rPr>
          <w:t>77</w:t>
        </w:r>
      </w:fldSimple>
      <w:r>
        <w:t xml:space="preserve">。对于SOP文档，Overlap策略需特别考虑步骤边界保护：当前Chunk的Overlap应包含上一步骤的”输出/结果”部分，下一步骤的”前提条件”应在当前Chunk中有所体现。标准SOP推荐10–15% Overlap（512 Token Chunk使用50–75 Token），含强顺序依赖的SOP推荐15–20%</w:t>
      </w:r>
      <w:r>
        <w:t xml:space="preserve"> </w:t>
      </w:r>
      <w:fldSimple w:instr="NOTEREF _Ref_Footnote_80 \h \f">
        <w:r>
          <w:rPr>
            <w:vertAlign w:val="superscript"/>
          </w:rPr>
          <w:t>80</w:t>
        </w:r>
      </w:fldSimple>
      <w:r>
        <w:t xml:space="preserve">。</w:t>
      </w:r>
    </w:p>
    <w:bookmarkEnd w:id="64"/>
    <w:bookmarkStart w:id="65" w:name="parent-child检索20252026生产环境默认配置"/>
    <w:p>
      <w:pPr>
        <w:pStyle w:val="Heading4"/>
      </w:pPr>
      <w:r>
        <w:t xml:space="preserve">3.2.3 Parent-Child检索：2025–2026生产环境默认配置</w:t>
      </w:r>
    </w:p>
    <w:p>
      <w:pPr>
        <w:pStyle w:val="FirstParagraph"/>
      </w:pPr>
      <w:r>
        <w:t xml:space="preserve">Parent-Child检索（又称Small-to-Big或Parent-Document Retrieval）是一种解耦检索Chunk与生成Chunk的策略，已被业界采纳为2025–2026年生产环境的默认配置</w:t>
      </w:r>
      <w:r>
        <w:t xml:space="preserve"> </w:t>
      </w:r>
      <w:r>
        <w:rPr>
          <w:vertAlign w:val="superscript"/>
        </w:rPr>
        <w:footnoteReference w:id="81"/>
      </w:r>
      <w:r>
        <w:t xml:space="preserve">。其核心机制为：Child Chunks（小，100–300 Token）用于Embedding和相似性搜索，精确且主题聚焦；Parent Chunks（大，1,000–2,000 Token）用于LLM生成上下文，每个Parent包含多个Children。当查询到达时，系统在Child Chunk Embeddings上搜索，匹配后返回其Parent Chunk给LLM</w:t>
      </w:r>
      <w:r>
        <w:t xml:space="preserve"> </w:t>
      </w:r>
      <w:r>
        <w:rPr>
          <w:vertAlign w:val="superscript"/>
        </w:rPr>
        <w:footnoteReference w:id="82"/>
      </w:r>
      <w:r>
        <w:t xml:space="preserve"> </w:t>
      </w:r>
      <w:fldSimple w:instr="NOTEREF _Ref_Footnote_81 \h \f">
        <w:r>
          <w:rPr>
            <w:vertAlign w:val="superscript"/>
          </w:rPr>
          <w:t>81</w:t>
        </w:r>
      </w:fldSimple>
      <w:r>
        <w:t xml:space="preserve">。</w:t>
      </w:r>
    </w:p>
    <w:p>
      <w:pPr>
        <w:pStyle w:val="BodyText"/>
      </w:pPr>
      <w:r>
        <w:t xml:space="preserve">PwC在SEC文件分析上的实验显示，Small-to-Big Retrieval达到65%胜率，仅增加0.2秒延迟</w:t>
      </w:r>
      <w:r>
        <w:t xml:space="preserve"> </w:t>
      </w:r>
      <w:fldSimple w:instr="NOTEREF _Ref_Footnote_74 \h \f">
        <w:r>
          <w:rPr>
            <w:vertAlign w:val="superscript"/>
          </w:rPr>
          <w:t>74</w:t>
        </w:r>
      </w:fldSimple>
      <w:r>
        <w:t xml:space="preserve">。对于SOP文档，Parent-Child策略具有特别价值：Child Chunk可精确匹配到具体步骤（如”步骤3.2：配置数据库连接”），Parent Chunk则提供完整操作流程、前置条件和注意事项，避免步骤碎片化</w:t>
      </w:r>
      <w:r>
        <w:t xml:space="preserve"> </w:t>
      </w:r>
      <w:fldSimple w:instr="NOTEREF _Ref_Footnote_82 \h \f">
        <w:r>
          <w:rPr>
            <w:vertAlign w:val="superscript"/>
          </w:rPr>
          <w:t>82</w:t>
        </w:r>
      </w:fldSimple>
      <w:r>
        <w:t xml:space="preserve">。</w:t>
      </w:r>
    </w:p>
    <w:p>
      <w:pPr>
        <w:pStyle w:val="BodyText"/>
      </w:pPr>
      <w:r>
        <w:t xml:space="preserve">LangChain通过</w:t>
      </w:r>
      <w:r>
        <w:rPr>
          <w:rStyle w:val="VerbatimChar"/>
        </w:rPr>
        <w:t xml:space="preserve">ParentDocumentRetriever</w:t>
      </w:r>
      <w:r>
        <w:t xml:space="preserve">实现该策略</w:t>
      </w:r>
      <w:r>
        <w:t xml:space="preserve"> </w:t>
      </w:r>
      <w:fldSimple w:instr="NOTEREF _Ref_Footnote_81 \h \f">
        <w:r>
          <w:rPr>
            <w:vertAlign w:val="superscript"/>
          </w:rPr>
          <w:t>81</w:t>
        </w:r>
      </w:fldSimple>
      <w:r>
        <w:t xml:space="preserve">，LlamaIndex通过</w:t>
      </w:r>
      <w:r>
        <w:rPr>
          <w:rStyle w:val="VerbatimChar"/>
        </w:rPr>
        <w:t xml:space="preserve">HierarchicalNodeParser</w:t>
      </w:r>
      <w:r>
        <w:t xml:space="preserve"> </w:t>
      </w:r>
      <w:r>
        <w:t xml:space="preserve">+</w:t>
      </w:r>
      <w:r>
        <w:t xml:space="preserve"> </w:t>
      </w:r>
      <w:r>
        <w:rPr>
          <w:rStyle w:val="VerbatimChar"/>
        </w:rPr>
        <w:t xml:space="preserve">AutoMergingRetriever</w:t>
      </w:r>
      <w:r>
        <w:t xml:space="preserve">实现等效功能。技术文档场景的推荐尺寸为Parent 1,500 Token / Child 200 Token，法律合同为2,000/300，支持对话为1,000/150</w:t>
      </w:r>
      <w:r>
        <w:t xml:space="preserve"> </w:t>
      </w:r>
      <w:fldSimple w:instr="NOTEREF _Ref_Footnote_82 \h \f">
        <w:r>
          <w:rPr>
            <w:vertAlign w:val="superscript"/>
          </w:rPr>
          <w:t>82</w:t>
        </w:r>
      </w:fldSimple>
      <w:r>
        <w:t xml:space="preserve">。SOP文档建议采用Parent 1,500–2,000 Token / Child 200–300 Token的配置，在精确检索与完整上下文之间取得平衡。</w:t>
      </w:r>
    </w:p>
    <w:bookmarkEnd w:id="65"/>
    <w:bookmarkEnd w:id="66"/>
    <w:bookmarkStart w:id="69" w:name="元数据与索引策略"/>
    <w:p>
      <w:pPr>
        <w:pStyle w:val="Heading3"/>
      </w:pPr>
      <w:r>
        <w:t xml:space="preserve">3.3 元数据与索引策略</w:t>
      </w:r>
    </w:p>
    <w:bookmarkStart w:id="67" w:name="元数据集成rag效果的关键杠杆"/>
    <w:p>
      <w:pPr>
        <w:pStyle w:val="Heading4"/>
      </w:pPr>
      <w:r>
        <w:t xml:space="preserve">3.3.1 元数据集成：RAG效果的关键杠杆</w:t>
      </w:r>
    </w:p>
    <w:p>
      <w:pPr>
        <w:pStyle w:val="FirstParagraph"/>
      </w:pPr>
      <w:r>
        <w:t xml:space="preserve">元数据（Metadata）是RAG系统中被低估但至关重要的性能杠杆。Mishra等人2025年12月发表于IEEE CAI 2026的系统性研究，采用3×3实验矩阵比较了三种分块策略与三种嵌入技术，通过消融分析隔离了每个组件的贡献</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。核心结论为：元数据丰富的方法在所有配置中始终优于纯内容基线。</w:t>
      </w:r>
    </w:p>
    <w:p>
      <w:pPr>
        <w:pStyle w:val="BodyText"/>
      </w:pPr>
      <w:r>
        <w:t xml:space="preserve">具体而言，朴素分块配合前缀融合（Prefix-Fusion）嵌入达到最高Hit Rate@10（0.925）和NDCG（0.813）；递归分块配合TF-IDF加权嵌入达到最高精度（82.5%）；所有配置均保持亚30ms的P95延迟</w:t>
      </w:r>
      <w:r>
        <w:t xml:space="preserve"> </w:t>
      </w:r>
      <w:fldSimple w:instr="NOTEREF _Ref_Footnote_9 \h \f">
        <w:r>
          <w:rPr>
            <w:vertAlign w:val="superscript"/>
          </w:rPr>
          <w:t>9</w:t>
        </w:r>
      </w:fldSimple>
      <w:r>
        <w:t xml:space="preserve">。前缀融合策略将结构化元数据直接注入文档文本作为格式化前缀（如</w:t>
      </w:r>
      <w:r>
        <w:rPr>
          <w:rStyle w:val="VerbatimChar"/>
        </w:rPr>
        <w:t xml:space="preserve">[Category: AWS S3] [Type: API Reference]</w:t>
      </w:r>
      <w:r>
        <w:t xml:space="preserve">），允许编码器在编码过程中学习元数据与内容之间的上下文关系</w:t>
      </w:r>
      <w:r>
        <w:t xml:space="preserve"> </w:t>
      </w:r>
      <w:fldSimple w:instr="NOTEREF _Ref_Footnote_10 \h \f">
        <w:r>
          <w:rPr>
            <w:vertAlign w:val="superscript"/>
          </w:rPr>
          <w:t>10</w:t>
        </w:r>
      </w:fldSimple>
      <w:r>
        <w:t xml:space="preserve">。</w:t>
      </w:r>
    </w:p>
    <w:p>
      <w:pPr>
        <w:pStyle w:val="BodyText"/>
      </w:pPr>
      <w:r>
        <w:t xml:space="preserve">金融领域的数据进一步验证了元数据的杠杆效应。MimirRAG通过元数据集成在金融基准上达到89.3%端到端准确率，Hit@1从0.53提升至0.65，平均检索文档数从14.23降至2.02，显著减少噪声</w:t>
      </w:r>
      <w:r>
        <w:t xml:space="preserve"> </w:t>
      </w:r>
      <w:r>
        <w:rPr>
          <w:vertAlign w:val="superscript"/>
        </w:rPr>
        <w:footnoteReference w:id="83"/>
      </w:r>
      <w:r>
        <w:t xml:space="preserve">。消融研究表明，元数据主要通过在Chunk级检索前限制候选文档集来提升答案质量，从而减少歧义和无关证据</w:t>
      </w:r>
      <w:r>
        <w:t xml:space="preserve"> </w:t>
      </w:r>
      <w:fldSimple w:instr="NOTEREF _Ref_Footnote_83 \h \f">
        <w:r>
          <w:rPr>
            <w:vertAlign w:val="superscript"/>
          </w:rPr>
          <w:t>83</w:t>
        </w:r>
      </w:fldSimple>
      <w:r>
        <w:t xml:space="preserve">。</w:t>
      </w:r>
    </w:p>
    <w:p>
      <w:pPr>
        <w:pStyle w:val="BodyText"/>
      </w:pPr>
      <w:r>
        <w:t xml:space="preserve">统一嵌入（Unified Embeddings）是元数据集成中最具工程实用性的方案。Virginia Tech与Vectorize.io的研究提出双编码器架构：元数据和内容独立嵌入后融合为单一索引向量</w:t>
      </w:r>
      <w:r>
        <w:t xml:space="preserve"> </w:t>
      </w:r>
      <w:r>
        <w:rPr>
          <w:vertAlign w:val="superscript"/>
        </w:rPr>
        <w:footnoteReference w:id="84"/>
      </w:r>
      <w:r>
        <w:t xml:space="preserve"> </w:t>
      </w:r>
      <w:r>
        <w:rPr>
          <w:vertAlign w:val="superscript"/>
        </w:rPr>
        <w:footnoteReference w:id="85"/>
      </w:r>
      <w:r>
        <w:t xml:space="preserve">。该方案的优势在于元数据变化时只需重新计算元数据嵌入，无需重新嵌入整个语料库，同时达到与前缀方法相当或更好的精度。Late Fusion的最佳权重α约为0.3–0.6，确认元数据应补充而非主导内容信号</w:t>
      </w:r>
      <w:r>
        <w:t xml:space="preserve"> </w:t>
      </w:r>
      <w:fldSimple w:instr="NOTEREF _Ref_Footnote_85 \h \f">
        <w:r>
          <w:rPr>
            <w:vertAlign w:val="superscript"/>
          </w:rPr>
          <w:t>85</w:t>
        </w:r>
      </w:fldSimple>
      <w:r>
        <w:t xml:space="preserve">。</w:t>
      </w:r>
    </w:p>
    <w:p>
      <w:pPr>
        <w:pStyle w:val="BodyText"/>
      </w:pPr>
      <w:r>
        <w:t xml:space="preserve">元数据集成对SOP文档检索效果提升尤为显著的原因在于SOP本身的高度结构化特征：设备型号、版本号、适用部门、有效期等字段天然构成高质量的过滤维度。当用户查询”R750服务器备份步骤”时，</w:t>
      </w:r>
      <w:r>
        <w:rPr>
          <w:rStyle w:val="VerbatimChar"/>
        </w:rPr>
        <w:t xml:space="preserve">equipment_model: "Dell R750"</w:t>
      </w:r>
      <w:r>
        <w:t xml:space="preserve">的元数据过滤可将搜索空间缩小90%以上，避免返回其他设备型号的无关SOP。</w:t>
      </w:r>
    </w:p>
    <w:bookmarkEnd w:id="67"/>
    <w:bookmarkStart w:id="68" w:name="sop文档元数据schema设计"/>
    <w:p>
      <w:pPr>
        <w:pStyle w:val="Heading4"/>
      </w:pPr>
      <w:r>
        <w:t xml:space="preserve">3.3.2 SOP文档元数据Schema设计</w:t>
      </w:r>
    </w:p>
    <w:p>
      <w:pPr>
        <w:pStyle w:val="FirstParagraph"/>
      </w:pPr>
      <w:r>
        <w:t xml:space="preserve">企业SOP文档的元数据Schema应同时服务人类导航需求与AI检索需求。基于ITIL最佳实践和Umbrex为CMC（化学、制造和控制）部门构建的生成式AI Copilot案例</w:t>
      </w:r>
      <w:r>
        <w:t xml:space="preserve"> </w:t>
      </w:r>
      <w:r>
        <w:rPr>
          <w:vertAlign w:val="superscript"/>
        </w:rPr>
        <w:footnoteReference w:id="86"/>
      </w:r>
      <w:r>
        <w:t xml:space="preserve"> </w:t>
      </w:r>
      <w:r>
        <w:rPr>
          <w:vertAlign w:val="superscript"/>
        </w:rPr>
        <w:footnoteReference w:id="87"/>
      </w:r>
      <w:r>
        <w:t xml:space="preserve">，结合MimirRAG的金融RAG元数据经验</w:t>
      </w:r>
      <w:r>
        <w:t xml:space="preserve"> </w:t>
      </w:r>
      <w:fldSimple w:instr="NOTEREF _Ref_Footnote_83 \h \f">
        <w:r>
          <w:rPr>
            <w:vertAlign w:val="superscript"/>
          </w:rPr>
          <w:t>83</w:t>
        </w:r>
      </w:fldSimple>
      <w:r>
        <w:t xml:space="preserve">，SOP文档的推荐元数据Schema包含五个维度：</w:t>
      </w:r>
    </w:p>
    <w:p>
      <w:pPr>
        <w:pStyle w:val="BodyText"/>
      </w:pPr>
      <w:r>
        <w:rPr>
          <w:bCs/>
          <w:b/>
        </w:rPr>
        <w:t xml:space="preserve">表3-3 SOP文档元数据Schema设计</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类别</w:t>
            </w:r>
          </w:p>
        </w:tc>
        <w:tc>
          <w:tcPr/>
          <w:p>
            <w:pPr>
              <w:pStyle w:val="Compact"/>
              <w:jc w:val="left"/>
            </w:pPr>
            <w:r>
              <w:t xml:space="preserve">字段名</w:t>
            </w:r>
          </w:p>
        </w:tc>
        <w:tc>
          <w:tcPr/>
          <w:p>
            <w:pPr>
              <w:pStyle w:val="Compact"/>
              <w:jc w:val="left"/>
            </w:pPr>
            <w:r>
              <w:t xml:space="preserve">说明</w:t>
            </w:r>
          </w:p>
        </w:tc>
        <w:tc>
          <w:tcPr/>
          <w:p>
            <w:pPr>
              <w:pStyle w:val="Compact"/>
              <w:jc w:val="left"/>
            </w:pPr>
            <w:r>
              <w:t xml:space="preserve">示例值</w:t>
            </w:r>
          </w:p>
        </w:tc>
        <w:tc>
          <w:tcPr/>
          <w:p>
            <w:pPr>
              <w:pStyle w:val="Compact"/>
              <w:jc w:val="left"/>
            </w:pPr>
            <w:r>
              <w:t xml:space="preserve">检索作用</w:t>
            </w:r>
          </w:p>
        </w:tc>
      </w:tr>
      <w:tr>
        <w:tc>
          <w:tcPr/>
          <w:p>
            <w:pPr>
              <w:pStyle w:val="Compact"/>
              <w:jc w:val="left"/>
            </w:pPr>
            <w:r>
              <w:rPr>
                <w:bCs/>
                <w:b/>
              </w:rPr>
              <w:t xml:space="preserve">标识信息</w:t>
            </w:r>
          </w:p>
        </w:tc>
        <w:tc>
          <w:tcPr/>
          <w:p>
            <w:pPr>
              <w:pStyle w:val="Compact"/>
              <w:jc w:val="left"/>
            </w:pPr>
            <w:r>
              <w:t xml:space="preserve">doc_id</w:t>
            </w:r>
          </w:p>
        </w:tc>
        <w:tc>
          <w:tcPr/>
          <w:p>
            <w:pPr>
              <w:pStyle w:val="Compact"/>
              <w:jc w:val="left"/>
            </w:pPr>
            <w:r>
              <w:t xml:space="preserve">文档唯一标识</w:t>
            </w:r>
          </w:p>
        </w:tc>
        <w:tc>
          <w:tcPr/>
          <w:p>
            <w:pPr>
              <w:pStyle w:val="Compact"/>
              <w:jc w:val="left"/>
            </w:pPr>
            <w:r>
              <w:t xml:space="preserve">SOP-IT-001</w:t>
            </w:r>
          </w:p>
        </w:tc>
        <w:tc>
          <w:tcPr/>
          <w:p>
            <w:pPr>
              <w:pStyle w:val="Compact"/>
              <w:jc w:val="left"/>
            </w:pPr>
            <w:r>
              <w:t xml:space="preserve">精确检索</w:t>
            </w:r>
          </w:p>
        </w:tc>
      </w:tr>
      <w:tr>
        <w:tc>
          <w:tcPr/>
          <w:p>
            <w:pPr>
              <w:pStyle w:val="Compact"/>
            </w:pPr>
          </w:p>
        </w:tc>
        <w:tc>
          <w:tcPr/>
          <w:p>
            <w:pPr>
              <w:pStyle w:val="Compact"/>
              <w:jc w:val="left"/>
            </w:pPr>
            <w:r>
              <w:t xml:space="preserve">version</w:t>
            </w:r>
          </w:p>
        </w:tc>
        <w:tc>
          <w:tcPr/>
          <w:p>
            <w:pPr>
              <w:pStyle w:val="Compact"/>
              <w:jc w:val="left"/>
            </w:pPr>
            <w:r>
              <w:t xml:space="preserve">版本号（语义化）</w:t>
            </w:r>
          </w:p>
        </w:tc>
        <w:tc>
          <w:tcPr/>
          <w:p>
            <w:pPr>
              <w:pStyle w:val="Compact"/>
              <w:jc w:val="left"/>
            </w:pPr>
            <w:r>
              <w:t xml:space="preserve">v2.3</w:t>
            </w:r>
          </w:p>
        </w:tc>
        <w:tc>
          <w:tcPr/>
          <w:p>
            <w:pPr>
              <w:pStyle w:val="Compact"/>
              <w:jc w:val="left"/>
            </w:pPr>
            <w:r>
              <w:t xml:space="preserve">过滤过期文档</w:t>
            </w:r>
          </w:p>
        </w:tc>
      </w:tr>
      <w:tr>
        <w:tc>
          <w:tcPr/>
          <w:p>
            <w:pPr>
              <w:pStyle w:val="Compact"/>
            </w:pPr>
          </w:p>
        </w:tc>
        <w:tc>
          <w:tcPr/>
          <w:p>
            <w:pPr>
              <w:pStyle w:val="Compact"/>
              <w:jc w:val="left"/>
            </w:pPr>
            <w:r>
              <w:t xml:space="preserve">status</w:t>
            </w:r>
          </w:p>
        </w:tc>
        <w:tc>
          <w:tcPr/>
          <w:p>
            <w:pPr>
              <w:pStyle w:val="Compact"/>
              <w:jc w:val="left"/>
            </w:pPr>
            <w:r>
              <w:t xml:space="preserve">文档状态</w:t>
            </w:r>
          </w:p>
        </w:tc>
        <w:tc>
          <w:tcPr/>
          <w:p>
            <w:pPr>
              <w:pStyle w:val="Compact"/>
              <w:jc w:val="left"/>
            </w:pPr>
            <w:r>
              <w:t xml:space="preserve">approved/draft/obsolete</w:t>
            </w:r>
          </w:p>
        </w:tc>
        <w:tc>
          <w:tcPr/>
          <w:p>
            <w:pPr>
              <w:pStyle w:val="Compact"/>
              <w:jc w:val="left"/>
            </w:pPr>
            <w:r>
              <w:t xml:space="preserve">排除未生效文档</w:t>
            </w:r>
          </w:p>
        </w:tc>
      </w:tr>
      <w:tr>
        <w:tc>
          <w:tcPr/>
          <w:p>
            <w:pPr>
              <w:pStyle w:val="Compact"/>
              <w:jc w:val="left"/>
            </w:pPr>
            <w:r>
              <w:rPr>
                <w:bCs/>
                <w:b/>
              </w:rPr>
              <w:t xml:space="preserve">责任信息</w:t>
            </w:r>
          </w:p>
        </w:tc>
        <w:tc>
          <w:tcPr/>
          <w:p>
            <w:pPr>
              <w:pStyle w:val="Compact"/>
              <w:jc w:val="left"/>
            </w:pPr>
            <w:r>
              <w:t xml:space="preserve">owner</w:t>
            </w:r>
          </w:p>
        </w:tc>
        <w:tc>
          <w:tcPr/>
          <w:p>
            <w:pPr>
              <w:pStyle w:val="Compact"/>
              <w:jc w:val="left"/>
            </w:pPr>
            <w:r>
              <w:t xml:space="preserve">文档负责人</w:t>
            </w:r>
          </w:p>
        </w:tc>
        <w:tc>
          <w:tcPr/>
          <w:p>
            <w:pPr>
              <w:pStyle w:val="Compact"/>
              <w:jc w:val="left"/>
            </w:pPr>
            <w:r>
              <w:t xml:space="preserve">张三</w:t>
            </w:r>
          </w:p>
        </w:tc>
        <w:tc>
          <w:tcPr/>
          <w:p>
            <w:pPr>
              <w:pStyle w:val="Compact"/>
              <w:jc w:val="left"/>
            </w:pPr>
            <w:r>
              <w:t xml:space="preserve">权限过滤</w:t>
            </w:r>
          </w:p>
        </w:tc>
      </w:tr>
      <w:tr>
        <w:tc>
          <w:tcPr/>
          <w:p>
            <w:pPr>
              <w:pStyle w:val="Compact"/>
            </w:pPr>
          </w:p>
        </w:tc>
        <w:tc>
          <w:tcPr/>
          <w:p>
            <w:pPr>
              <w:pStyle w:val="Compact"/>
              <w:jc w:val="left"/>
            </w:pPr>
            <w:r>
              <w:t xml:space="preserve">department</w:t>
            </w:r>
          </w:p>
        </w:tc>
        <w:tc>
          <w:tcPr/>
          <w:p>
            <w:pPr>
              <w:pStyle w:val="Compact"/>
              <w:jc w:val="left"/>
            </w:pPr>
            <w:r>
              <w:t xml:space="preserve">适用部门</w:t>
            </w:r>
          </w:p>
        </w:tc>
        <w:tc>
          <w:tcPr/>
          <w:p>
            <w:pPr>
              <w:pStyle w:val="Compact"/>
              <w:jc w:val="left"/>
            </w:pPr>
            <w:r>
              <w:t xml:space="preserve">IT运维部</w:t>
            </w:r>
          </w:p>
        </w:tc>
        <w:tc>
          <w:tcPr/>
          <w:p>
            <w:pPr>
              <w:pStyle w:val="Compact"/>
              <w:jc w:val="left"/>
            </w:pPr>
            <w:r>
              <w:t xml:space="preserve">部门隔离检索</w:t>
            </w:r>
          </w:p>
        </w:tc>
      </w:tr>
      <w:tr>
        <w:tc>
          <w:tcPr/>
          <w:p>
            <w:pPr>
              <w:pStyle w:val="Compact"/>
            </w:pPr>
          </w:p>
        </w:tc>
        <w:tc>
          <w:tcPr/>
          <w:p>
            <w:pPr>
              <w:pStyle w:val="Compact"/>
              <w:jc w:val="left"/>
            </w:pPr>
            <w:r>
              <w:t xml:space="preserve">reviewer</w:t>
            </w:r>
          </w:p>
        </w:tc>
        <w:tc>
          <w:tcPr/>
          <w:p>
            <w:pPr>
              <w:pStyle w:val="Compact"/>
              <w:jc w:val="left"/>
            </w:pPr>
            <w:r>
              <w:t xml:space="preserve">审核人</w:t>
            </w:r>
          </w:p>
        </w:tc>
        <w:tc>
          <w:tcPr/>
          <w:p>
            <w:pPr>
              <w:pStyle w:val="Compact"/>
              <w:jc w:val="left"/>
            </w:pPr>
            <w:r>
              <w:t xml:space="preserve">李四</w:t>
            </w:r>
          </w:p>
        </w:tc>
        <w:tc>
          <w:tcPr/>
          <w:p>
            <w:pPr>
              <w:pStyle w:val="Compact"/>
              <w:jc w:val="left"/>
            </w:pPr>
            <w:r>
              <w:t xml:space="preserve">审计追踪</w:t>
            </w:r>
          </w:p>
        </w:tc>
      </w:tr>
      <w:tr>
        <w:tc>
          <w:tcPr/>
          <w:p>
            <w:pPr>
              <w:pStyle w:val="Compact"/>
              <w:jc w:val="left"/>
            </w:pPr>
            <w:r>
              <w:rPr>
                <w:bCs/>
                <w:b/>
              </w:rPr>
              <w:t xml:space="preserve">时间信息</w:t>
            </w:r>
          </w:p>
        </w:tc>
        <w:tc>
          <w:tcPr/>
          <w:p>
            <w:pPr>
              <w:pStyle w:val="Compact"/>
              <w:jc w:val="left"/>
            </w:pPr>
            <w:r>
              <w:t xml:space="preserve">effective_date</w:t>
            </w:r>
          </w:p>
        </w:tc>
        <w:tc>
          <w:tcPr/>
          <w:p>
            <w:pPr>
              <w:pStyle w:val="Compact"/>
              <w:jc w:val="left"/>
            </w:pPr>
            <w:r>
              <w:t xml:space="preserve">生效日期</w:t>
            </w:r>
          </w:p>
        </w:tc>
        <w:tc>
          <w:tcPr/>
          <w:p>
            <w:pPr>
              <w:pStyle w:val="Compact"/>
              <w:jc w:val="left"/>
            </w:pPr>
            <w:r>
              <w:t xml:space="preserve">2024-02-01</w:t>
            </w:r>
          </w:p>
        </w:tc>
        <w:tc>
          <w:tcPr/>
          <w:p>
            <w:pPr>
              <w:pStyle w:val="Compact"/>
              <w:jc w:val="left"/>
            </w:pPr>
            <w:r>
              <w:t xml:space="preserve">时间范围过滤</w:t>
            </w:r>
          </w:p>
        </w:tc>
      </w:tr>
      <w:tr>
        <w:tc>
          <w:tcPr/>
          <w:p>
            <w:pPr>
              <w:pStyle w:val="Compact"/>
            </w:pPr>
          </w:p>
        </w:tc>
        <w:tc>
          <w:tcPr/>
          <w:p>
            <w:pPr>
              <w:pStyle w:val="Compact"/>
              <w:jc w:val="left"/>
            </w:pPr>
            <w:r>
              <w:t xml:space="preserve">expiry_date</w:t>
            </w:r>
          </w:p>
        </w:tc>
        <w:tc>
          <w:tcPr/>
          <w:p>
            <w:pPr>
              <w:pStyle w:val="Compact"/>
              <w:jc w:val="left"/>
            </w:pPr>
            <w:r>
              <w:t xml:space="preserve">过期日期</w:t>
            </w:r>
          </w:p>
        </w:tc>
        <w:tc>
          <w:tcPr/>
          <w:p>
            <w:pPr>
              <w:pStyle w:val="Compact"/>
              <w:jc w:val="left"/>
            </w:pPr>
            <w:r>
              <w:t xml:space="preserve">2025-02-01</w:t>
            </w:r>
          </w:p>
        </w:tc>
        <w:tc>
          <w:tcPr/>
          <w:p>
            <w:pPr>
              <w:pStyle w:val="Compact"/>
              <w:jc w:val="left"/>
            </w:pPr>
            <w:r>
              <w:t xml:space="preserve">自动触发Review</w:t>
            </w:r>
          </w:p>
        </w:tc>
      </w:tr>
      <w:tr>
        <w:tc>
          <w:tcPr/>
          <w:p>
            <w:pPr>
              <w:pStyle w:val="Compact"/>
            </w:pPr>
          </w:p>
        </w:tc>
        <w:tc>
          <w:tcPr/>
          <w:p>
            <w:pPr>
              <w:pStyle w:val="Compact"/>
              <w:jc w:val="left"/>
            </w:pPr>
            <w:r>
              <w:t xml:space="preserve">last_reviewed</w:t>
            </w:r>
          </w:p>
        </w:tc>
        <w:tc>
          <w:tcPr/>
          <w:p>
            <w:pPr>
              <w:pStyle w:val="Compact"/>
              <w:jc w:val="left"/>
            </w:pPr>
            <w:r>
              <w:t xml:space="preserve">最后审核日期</w:t>
            </w:r>
          </w:p>
        </w:tc>
        <w:tc>
          <w:tcPr/>
          <w:p>
            <w:pPr>
              <w:pStyle w:val="Compact"/>
              <w:jc w:val="left"/>
            </w:pPr>
            <w:r>
              <w:t xml:space="preserve">2024-06-01</w:t>
            </w:r>
          </w:p>
        </w:tc>
        <w:tc>
          <w:tcPr/>
          <w:p>
            <w:pPr>
              <w:pStyle w:val="Compact"/>
              <w:jc w:val="left"/>
            </w:pPr>
            <w:r>
              <w:t xml:space="preserve">新鲜度评估</w:t>
            </w:r>
          </w:p>
        </w:tc>
      </w:tr>
      <w:tr>
        <w:tc>
          <w:tcPr/>
          <w:p>
            <w:pPr>
              <w:pStyle w:val="Compact"/>
              <w:jc w:val="left"/>
            </w:pPr>
            <w:r>
              <w:rPr>
                <w:bCs/>
                <w:b/>
              </w:rPr>
              <w:t xml:space="preserve">内容分类</w:t>
            </w:r>
          </w:p>
        </w:tc>
        <w:tc>
          <w:tcPr/>
          <w:p>
            <w:pPr>
              <w:pStyle w:val="Compact"/>
              <w:jc w:val="left"/>
            </w:pPr>
            <w:r>
              <w:t xml:space="preserve">category</w:t>
            </w:r>
          </w:p>
        </w:tc>
        <w:tc>
          <w:tcPr/>
          <w:p>
            <w:pPr>
              <w:pStyle w:val="Compact"/>
              <w:jc w:val="left"/>
            </w:pPr>
            <w:r>
              <w:t xml:space="preserve">一级分类</w:t>
            </w:r>
          </w:p>
        </w:tc>
        <w:tc>
          <w:tcPr/>
          <w:p>
            <w:pPr>
              <w:pStyle w:val="Compact"/>
              <w:jc w:val="left"/>
            </w:pPr>
            <w:r>
              <w:t xml:space="preserve">IT运维</w:t>
            </w:r>
          </w:p>
        </w:tc>
        <w:tc>
          <w:tcPr/>
          <w:p>
            <w:pPr>
              <w:pStyle w:val="Compact"/>
              <w:jc w:val="left"/>
            </w:pPr>
            <w:r>
              <w:t xml:space="preserve">大类检索</w:t>
            </w:r>
          </w:p>
        </w:tc>
      </w:tr>
      <w:tr>
        <w:tc>
          <w:tcPr/>
          <w:p>
            <w:pPr>
              <w:pStyle w:val="Compact"/>
            </w:pPr>
          </w:p>
        </w:tc>
        <w:tc>
          <w:tcPr/>
          <w:p>
            <w:pPr>
              <w:pStyle w:val="Compact"/>
              <w:jc w:val="left"/>
            </w:pPr>
            <w:r>
              <w:t xml:space="preserve">subcategory</w:t>
            </w:r>
          </w:p>
        </w:tc>
        <w:tc>
          <w:tcPr/>
          <w:p>
            <w:pPr>
              <w:pStyle w:val="Compact"/>
              <w:jc w:val="left"/>
            </w:pPr>
            <w:r>
              <w:t xml:space="preserve">二级分类</w:t>
            </w:r>
          </w:p>
        </w:tc>
        <w:tc>
          <w:tcPr/>
          <w:p>
            <w:pPr>
              <w:pStyle w:val="Compact"/>
              <w:jc w:val="left"/>
            </w:pPr>
            <w:r>
              <w:t xml:space="preserve">服务器管理</w:t>
            </w:r>
          </w:p>
        </w:tc>
        <w:tc>
          <w:tcPr/>
          <w:p>
            <w:pPr>
              <w:pStyle w:val="Compact"/>
              <w:jc w:val="left"/>
            </w:pPr>
            <w:r>
              <w:t xml:space="preserve">细类检索</w:t>
            </w:r>
          </w:p>
        </w:tc>
      </w:tr>
      <w:tr>
        <w:tc>
          <w:tcPr/>
          <w:p>
            <w:pPr>
              <w:pStyle w:val="Compact"/>
            </w:pPr>
          </w:p>
        </w:tc>
        <w:tc>
          <w:tcPr/>
          <w:p>
            <w:pPr>
              <w:pStyle w:val="Compact"/>
              <w:jc w:val="left"/>
            </w:pPr>
            <w:r>
              <w:t xml:space="preserve">doc_type</w:t>
            </w:r>
          </w:p>
        </w:tc>
        <w:tc>
          <w:tcPr/>
          <w:p>
            <w:pPr>
              <w:pStyle w:val="Compact"/>
              <w:jc w:val="left"/>
            </w:pPr>
            <w:r>
              <w:t xml:space="preserve">文档类型</w:t>
            </w:r>
          </w:p>
        </w:tc>
        <w:tc>
          <w:tcPr/>
          <w:p>
            <w:pPr>
              <w:pStyle w:val="Compact"/>
              <w:jc w:val="left"/>
            </w:pPr>
            <w:r>
              <w:t xml:space="preserve">SOP/WI/Policy</w:t>
            </w:r>
          </w:p>
        </w:tc>
        <w:tc>
          <w:tcPr/>
          <w:p>
            <w:pPr>
              <w:pStyle w:val="Compact"/>
              <w:jc w:val="left"/>
            </w:pPr>
            <w:r>
              <w:t xml:space="preserve">类型过滤</w:t>
            </w:r>
          </w:p>
        </w:tc>
      </w:tr>
      <w:tr>
        <w:tc>
          <w:tcPr/>
          <w:p>
            <w:pPr>
              <w:pStyle w:val="Compact"/>
              <w:jc w:val="left"/>
            </w:pPr>
            <w:r>
              <w:rPr>
                <w:bCs/>
                <w:b/>
              </w:rPr>
              <w:t xml:space="preserve">设备/业务</w:t>
            </w:r>
          </w:p>
        </w:tc>
        <w:tc>
          <w:tcPr/>
          <w:p>
            <w:pPr>
              <w:pStyle w:val="Compact"/>
              <w:jc w:val="left"/>
            </w:pPr>
            <w:r>
              <w:t xml:space="preserve">equipment_model</w:t>
            </w:r>
          </w:p>
        </w:tc>
        <w:tc>
          <w:tcPr/>
          <w:p>
            <w:pPr>
              <w:pStyle w:val="Compact"/>
              <w:jc w:val="left"/>
            </w:pPr>
            <w:r>
              <w:t xml:space="preserve">适用设备型号</w:t>
            </w:r>
          </w:p>
        </w:tc>
        <w:tc>
          <w:tcPr/>
          <w:p>
            <w:pPr>
              <w:pStyle w:val="Compact"/>
              <w:jc w:val="left"/>
            </w:pPr>
            <w:r>
              <w:t xml:space="preserve">Dell R750</w:t>
            </w:r>
          </w:p>
        </w:tc>
        <w:tc>
          <w:tcPr/>
          <w:p>
            <w:pPr>
              <w:pStyle w:val="Compact"/>
              <w:jc w:val="left"/>
            </w:pPr>
            <w:r>
              <w:t xml:space="preserve">精确设备匹配</w:t>
            </w:r>
          </w:p>
        </w:tc>
      </w:tr>
      <w:tr>
        <w:tc>
          <w:tcPr/>
          <w:p>
            <w:pPr>
              <w:pStyle w:val="Compact"/>
            </w:pPr>
          </w:p>
        </w:tc>
        <w:tc>
          <w:tcPr/>
          <w:p>
            <w:pPr>
              <w:pStyle w:val="Compact"/>
              <w:jc w:val="left"/>
            </w:pPr>
            <w:r>
              <w:t xml:space="preserve">system_name</w:t>
            </w:r>
          </w:p>
        </w:tc>
        <w:tc>
          <w:tcPr/>
          <w:p>
            <w:pPr>
              <w:pStyle w:val="Compact"/>
              <w:jc w:val="left"/>
            </w:pPr>
            <w:r>
              <w:t xml:space="preserve">系统名称</w:t>
            </w:r>
          </w:p>
        </w:tc>
        <w:tc>
          <w:tcPr/>
          <w:p>
            <w:pPr>
              <w:pStyle w:val="Compact"/>
              <w:jc w:val="left"/>
            </w:pPr>
            <w:r>
              <w:t xml:space="preserve">ERP系统</w:t>
            </w:r>
          </w:p>
        </w:tc>
        <w:tc>
          <w:tcPr/>
          <w:p>
            <w:pPr>
              <w:pStyle w:val="Compact"/>
              <w:jc w:val="left"/>
            </w:pPr>
            <w:r>
              <w:t xml:space="preserve">系统级过滤</w:t>
            </w:r>
          </w:p>
        </w:tc>
      </w:tr>
      <w:tr>
        <w:tc>
          <w:tcPr/>
          <w:p>
            <w:pPr>
              <w:pStyle w:val="Compact"/>
            </w:pPr>
          </w:p>
        </w:tc>
        <w:tc>
          <w:tcPr/>
          <w:p>
            <w:pPr>
              <w:pStyle w:val="Compact"/>
              <w:jc w:val="left"/>
            </w:pPr>
            <w:r>
              <w:t xml:space="preserve">product</w:t>
            </w:r>
          </w:p>
        </w:tc>
        <w:tc>
          <w:tcPr/>
          <w:p>
            <w:pPr>
              <w:pStyle w:val="Compact"/>
              <w:jc w:val="left"/>
            </w:pPr>
            <w:r>
              <w:t xml:space="preserve">产品/服务</w:t>
            </w:r>
          </w:p>
        </w:tc>
        <w:tc>
          <w:tcPr/>
          <w:p>
            <w:pPr>
              <w:pStyle w:val="Compact"/>
              <w:jc w:val="left"/>
            </w:pPr>
            <w:r>
              <w:t xml:space="preserve">云计算服务</w:t>
            </w:r>
          </w:p>
        </w:tc>
        <w:tc>
          <w:tcPr/>
          <w:p>
            <w:pPr>
              <w:pStyle w:val="Compact"/>
              <w:jc w:val="left"/>
            </w:pPr>
            <w:r>
              <w:t xml:space="preserve">产品线检索</w:t>
            </w:r>
          </w:p>
        </w:tc>
      </w:tr>
      <w:tr>
        <w:tc>
          <w:tcPr/>
          <w:p>
            <w:pPr>
              <w:pStyle w:val="Compact"/>
              <w:jc w:val="left"/>
            </w:pPr>
            <w:r>
              <w:rPr>
                <w:bCs/>
                <w:b/>
              </w:rPr>
              <w:t xml:space="preserve">合规</w:t>
            </w:r>
          </w:p>
        </w:tc>
        <w:tc>
          <w:tcPr/>
          <w:p>
            <w:pPr>
              <w:pStyle w:val="Compact"/>
              <w:jc w:val="left"/>
            </w:pPr>
            <w:r>
              <w:t xml:space="preserve">regulatory_region</w:t>
            </w:r>
          </w:p>
        </w:tc>
        <w:tc>
          <w:tcPr/>
          <w:p>
            <w:pPr>
              <w:pStyle w:val="Compact"/>
              <w:jc w:val="left"/>
            </w:pPr>
            <w:r>
              <w:t xml:space="preserve">适用法规区域</w:t>
            </w:r>
          </w:p>
        </w:tc>
        <w:tc>
          <w:tcPr/>
          <w:p>
            <w:pPr>
              <w:pStyle w:val="Compact"/>
              <w:jc w:val="left"/>
            </w:pPr>
            <w:r>
              <w:t xml:space="preserve">中国大陆/GDPR</w:t>
            </w:r>
          </w:p>
        </w:tc>
        <w:tc>
          <w:tcPr/>
          <w:p>
            <w:pPr>
              <w:pStyle w:val="Compact"/>
              <w:jc w:val="left"/>
            </w:pPr>
            <w:r>
              <w:t xml:space="preserve">地域合规过滤</w:t>
            </w:r>
          </w:p>
        </w:tc>
      </w:tr>
      <w:tr>
        <w:tc>
          <w:tcPr/>
          <w:p>
            <w:pPr>
              <w:pStyle w:val="Compact"/>
            </w:pPr>
          </w:p>
        </w:tc>
        <w:tc>
          <w:tcPr/>
          <w:p>
            <w:pPr>
              <w:pStyle w:val="Compact"/>
              <w:jc w:val="left"/>
            </w:pPr>
            <w:r>
              <w:t xml:space="preserve">confidentiality</w:t>
            </w:r>
          </w:p>
        </w:tc>
        <w:tc>
          <w:tcPr/>
          <w:p>
            <w:pPr>
              <w:pStyle w:val="Compact"/>
              <w:jc w:val="left"/>
            </w:pPr>
            <w:r>
              <w:t xml:space="preserve">机密等级</w:t>
            </w:r>
          </w:p>
        </w:tc>
        <w:tc>
          <w:tcPr/>
          <w:p>
            <w:pPr>
              <w:pStyle w:val="Compact"/>
              <w:jc w:val="left"/>
            </w:pPr>
            <w:r>
              <w:t xml:space="preserve">internal/public</w:t>
            </w:r>
          </w:p>
        </w:tc>
        <w:tc>
          <w:tcPr/>
          <w:p>
            <w:pPr>
              <w:pStyle w:val="Compact"/>
              <w:jc w:val="left"/>
            </w:pPr>
            <w:r>
              <w:t xml:space="preserve">权限控制</w:t>
            </w:r>
          </w:p>
        </w:tc>
      </w:tr>
      <w:tr>
        <w:tc>
          <w:tcPr/>
          <w:p>
            <w:pPr>
              <w:pStyle w:val="Compact"/>
            </w:pPr>
          </w:p>
        </w:tc>
        <w:tc>
          <w:tcPr/>
          <w:p>
            <w:pPr>
              <w:pStyle w:val="Compact"/>
              <w:jc w:val="left"/>
            </w:pPr>
            <w:r>
              <w:t xml:space="preserve">compliance_req</w:t>
            </w:r>
          </w:p>
        </w:tc>
        <w:tc>
          <w:tcPr/>
          <w:p>
            <w:pPr>
              <w:pStyle w:val="Compact"/>
              <w:jc w:val="left"/>
            </w:pPr>
            <w:r>
              <w:t xml:space="preserve">合规要求</w:t>
            </w:r>
          </w:p>
        </w:tc>
        <w:tc>
          <w:tcPr/>
          <w:p>
            <w:pPr>
              <w:pStyle w:val="Compact"/>
              <w:jc w:val="left"/>
            </w:pPr>
            <w:r>
              <w:t xml:space="preserve">ISO27001</w:t>
            </w:r>
          </w:p>
        </w:tc>
        <w:tc>
          <w:tcPr/>
          <w:p>
            <w:pPr>
              <w:pStyle w:val="Compact"/>
              <w:jc w:val="left"/>
            </w:pPr>
            <w:r>
              <w:t xml:space="preserve">合规矩阵检索</w:t>
            </w:r>
          </w:p>
        </w:tc>
      </w:tr>
    </w:tbl>
    <w:p>
      <w:pPr>
        <w:pStyle w:val="BodyText"/>
      </w:pPr>
      <w:r>
        <w:t xml:space="preserve">表3-3的Schema设计遵循”核心字段受控词表+辅助字段自由标签”的混合方案</w:t>
      </w:r>
      <w:r>
        <w:t xml:space="preserve"> </w:t>
      </w:r>
      <w:r>
        <w:rPr>
          <w:vertAlign w:val="superscript"/>
        </w:rPr>
        <w:footnoteReference w:id="88"/>
      </w:r>
      <w:r>
        <w:t xml:space="preserve">。</w:t>
      </w:r>
      <w:r>
        <w:rPr>
          <w:rStyle w:val="VerbatimChar"/>
        </w:rPr>
        <w:t xml:space="preserve">department</w:t>
      </w:r>
      <w:r>
        <w:t xml:space="preserve">、</w:t>
      </w:r>
      <w:r>
        <w:rPr>
          <w:rStyle w:val="VerbatimChar"/>
        </w:rPr>
        <w:t xml:space="preserve">equipment_model</w:t>
      </w:r>
      <w:r>
        <w:t xml:space="preserve">、</w:t>
      </w:r>
      <w:r>
        <w:rPr>
          <w:rStyle w:val="VerbatimChar"/>
        </w:rPr>
        <w:t xml:space="preserve">doc_type</w:t>
      </w:r>
      <w:r>
        <w:t xml:space="preserve">等核心字段采用预定义的受控词表，确保一致性和互操作性；</w:t>
      </w:r>
      <w:r>
        <w:rPr>
          <w:rStyle w:val="VerbatimChar"/>
        </w:rPr>
        <w:t xml:space="preserve">keywords</w:t>
      </w:r>
      <w:r>
        <w:t xml:space="preserve">、</w:t>
      </w:r>
      <w:r>
        <w:rPr>
          <w:rStyle w:val="VerbatimChar"/>
        </w:rPr>
        <w:t xml:space="preserve">project_code</w:t>
      </w:r>
      <w:r>
        <w:t xml:space="preserve">等辅助字段允许自由标签，保留灵活性。受控词表需定期审核，将高频自由标签纳入规范。</w:t>
      </w:r>
    </w:p>
    <w:p>
      <w:pPr>
        <w:pStyle w:val="BodyText"/>
      </w:pPr>
      <w:r>
        <w:t xml:space="preserve">元数据不仅用于检索过滤，还驱动SOP的生命周期管理工作流</w:t>
      </w:r>
      <w:r>
        <w:t xml:space="preserve"> </w:t>
      </w:r>
      <w:fldSimple w:instr="NOTEREF _Ref_Footnote_86 \h \f">
        <w:r>
          <w:rPr>
            <w:vertAlign w:val="superscript"/>
          </w:rPr>
          <w:t>86</w:t>
        </w:r>
      </w:fldSimple>
      <w:r>
        <w:t xml:space="preserve">：当</w:t>
      </w:r>
      <w:r>
        <w:rPr>
          <w:rStyle w:val="VerbatimChar"/>
        </w:rPr>
        <w:t xml:space="preserve">expiry_date</w:t>
      </w:r>
      <w:r>
        <w:t xml:space="preserve">到达时自动触发Review流程；当</w:t>
      </w:r>
      <w:r>
        <w:rPr>
          <w:rStyle w:val="VerbatimChar"/>
        </w:rPr>
        <w:t xml:space="preserve">equipment_model</w:t>
      </w:r>
      <w:r>
        <w:t xml:space="preserve">关联的配置项（CI）升级时标记相关SOP需Review；当</w:t>
      </w:r>
      <w:r>
        <w:rPr>
          <w:rStyle w:val="VerbatimChar"/>
        </w:rPr>
        <w:t xml:space="preserve">status</w:t>
      </w:r>
      <w:r>
        <w:t xml:space="preserve">为obsolete时从检索索引中排除。这种”元数据驱动的工作流自动化”将SOP管理从被动维护转变为主动治理。</w:t>
      </w:r>
    </w:p>
    <w:p>
      <w:pPr>
        <w:pStyle w:val="BodyText"/>
      </w:pPr>
      <w:r>
        <w:t xml:space="preserve">在索引架构层面，现代生产RAG系统采用三路混合检索（向量语义搜索+BM25关键词搜索+元数据结构化过滤），结合RRF（Reciprocal Rank Fusion）融合算法和Cross-Encoder重排序</w:t>
      </w:r>
      <w:r>
        <w:t xml:space="preserve"> </w:t>
      </w:r>
      <w:r>
        <w:rPr>
          <w:vertAlign w:val="superscript"/>
        </w:rPr>
        <w:footnoteReference w:id="89"/>
      </w:r>
      <w:r>
        <w:t xml:space="preserve"> </w:t>
      </w:r>
      <w:r>
        <w:rPr>
          <w:vertAlign w:val="superscript"/>
        </w:rPr>
        <w:footnoteReference w:id="90"/>
      </w:r>
      <w:r>
        <w:t xml:space="preserve">。Qdrant在复杂Payload过滤方面领先（~4ms p50延迟），Weaviate在混合搜索方面最成熟</w:t>
      </w:r>
      <w:r>
        <w:t xml:space="preserve"> </w:t>
      </w:r>
      <w:r>
        <w:rPr>
          <w:vertAlign w:val="superscript"/>
        </w:rPr>
        <w:footnoteReference w:id="91"/>
      </w:r>
      <w:r>
        <w:t xml:space="preserve"> </w:t>
      </w:r>
      <w:r>
        <w:rPr>
          <w:vertAlign w:val="superscript"/>
        </w:rPr>
        <w:footnoteReference w:id="92"/>
      </w:r>
      <w:r>
        <w:t xml:space="preserve">。对于SOP文档，元数据过滤应在每个检索通道内部应用而非融合后处理，且每个通道需Over-fetch 3–5×以确保融合后仍能返回足够的高质量结果</w:t>
      </w:r>
      <w:r>
        <w:t xml:space="preserve"> </w:t>
      </w:r>
      <w:fldSimple w:instr="NOTEREF _Ref_Footnote_90 \h \f">
        <w:r>
          <w:rPr>
            <w:vertAlign w:val="superscript"/>
          </w:rPr>
          <w:t>90</w:t>
        </w:r>
      </w:fldSimple>
      <w:r>
        <w:t xml:space="preserve">。</w:t>
      </w:r>
    </w:p>
    <w:p>
      <w:pPr>
        <w:pStyle w:val="BodyText"/>
      </w:pPr>
      <w:r>
        <w:t xml:space="preserve">元数据一致性的维护是长期挑战。生产环境应建立自动化校验机制：Schema验证确保枚举值在受控词表范围内；完整性检查确保必需字段不为空；新鲜度检查验证</w:t>
      </w:r>
      <w:r>
        <w:rPr>
          <w:rStyle w:val="VerbatimChar"/>
        </w:rPr>
        <w:t xml:space="preserve">last_reviewed</w:t>
      </w:r>
      <w:r>
        <w:t xml:space="preserve">和</w:t>
      </w:r>
      <w:r>
        <w:rPr>
          <w:rStyle w:val="VerbatimChar"/>
        </w:rPr>
        <w:t xml:space="preserve">expiry_date</w:t>
      </w:r>
      <w:r>
        <w:t xml:space="preserve">；变更检测通过Content Hash识别文档变更并触发元数据更新</w:t>
      </w:r>
      <w:r>
        <w:t xml:space="preserve"> </w:t>
      </w:r>
      <w:r>
        <w:rPr>
          <w:vertAlign w:val="superscript"/>
        </w:rPr>
        <w:footnoteReference w:id="93"/>
      </w:r>
      <w:r>
        <w:t xml:space="preserve"> </w:t>
      </w:r>
      <w:r>
        <w:rPr>
          <w:vertAlign w:val="superscript"/>
        </w:rPr>
        <w:footnoteReference w:id="94"/>
      </w:r>
      <w:r>
        <w:t xml:space="preserve">。对于不允许检索间隙的关键SOP文档，应采用原子更新策略——保留旧向量活跃状态、生成并插入新向量（带Staging标记）、确认成功后批量删除旧向量</w:t>
      </w:r>
      <w:r>
        <w:t xml:space="preserve"> </w:t>
      </w:r>
      <w:fldSimple w:instr="NOTEREF _Ref_Footnote_93 \h \f">
        <w:r>
          <w:rPr>
            <w:vertAlign w:val="superscript"/>
          </w:rPr>
          <w:t>93</w:t>
        </w:r>
      </w:fldSimple>
      <w:r>
        <w:t xml:space="preserve">。</w:t>
      </w:r>
    </w:p>
    <w:p>
      <w:r>
        <w:pict>
          <v:rect style="width:0;height:1.5pt" o:hralign="center" o:hrstd="t" o:hr="t"/>
        </w:pict>
      </w:r>
    </w:p>
    <w:bookmarkEnd w:id="68"/>
    <w:bookmarkEnd w:id="69"/>
    <w:bookmarkEnd w:id="70"/>
    <w:bookmarkStart w:id="83" w:name="文档转换与解析管道"/>
    <w:p>
      <w:pPr>
        <w:pStyle w:val="Heading2"/>
      </w:pPr>
      <w:r>
        <w:t xml:space="preserve">4. 文档转换与解析管道</w:t>
      </w:r>
    </w:p>
    <w:p>
      <w:pPr>
        <w:pStyle w:val="FirstParagraph"/>
      </w:pPr>
      <w:r>
        <w:t xml:space="preserve">企业SOP文档从人类友好的富文本格式（Rich Text Format）转换为AI友好的Markdown格式，是连接”人编辑”与”AI处理”两个世界的关键技术枢纽。2024至2026年间，文档转换领域经历了爆发式增长——Microsoft MarkItDown在11天内收获82,000个GitHub星标</w:t>
      </w:r>
      <w:r>
        <w:t xml:space="preserve"> </w:t>
      </w:r>
      <w:fldSimple w:instr="NOTEREF _Ref_Footnote_11 \h \f">
        <w:r>
          <w:rPr>
            <w:vertAlign w:val="superscript"/>
          </w:rPr>
          <w:t>11</w:t>
        </w:r>
      </w:fldSimple>
      <w:r>
        <w:t xml:space="preserve">，IBM Docling在开源后迅速达到37,000+星标并被捐赠给Linux基金会AI与数据分部</w:t>
      </w:r>
      <w:r>
        <w:t xml:space="preserve"> </w:t>
      </w:r>
      <w:r>
        <w:rPr>
          <w:vertAlign w:val="superscript"/>
        </w:rPr>
        <w:footnoteReference w:id="95"/>
      </w:r>
      <w:r>
        <w:t xml:space="preserve">，上海AI Lab的MinerU以1.2B参数超越200B+参数的通用视觉语言模型</w:t>
      </w:r>
      <w:r>
        <w:t xml:space="preserve"> </w:t>
      </w:r>
      <w:r>
        <w:rPr>
          <w:vertAlign w:val="superscript"/>
        </w:rPr>
        <w:footnoteReference w:id="96"/>
      </w:r>
      <w:r>
        <w:t xml:space="preserve">。这些技术信号共同表明：文档转换已从边缘工具演变为AI基础设施的核心组件。</w:t>
      </w:r>
    </w:p>
    <w:bookmarkStart w:id="78" w:name="主流转换工具深度对比"/>
    <w:p>
      <w:pPr>
        <w:pStyle w:val="Heading3"/>
      </w:pPr>
      <w:r>
        <w:t xml:space="preserve">4.1 主流转换工具深度对比</w:t>
      </w:r>
    </w:p>
    <w:p>
      <w:pPr>
        <w:pStyle w:val="FirstParagraph"/>
      </w:pPr>
      <w:r>
        <w:t xml:space="preserve">本章节聚焦于四款在企业级场景中具有代表性的文档转换工具，从准确率、速度、许可证合规和生态集成四个维度进行深度评估。图4-1展示了五款主流工具在表格准确率、综合基准评分和处理速度三个关键指标上的横向对比。</w:t>
      </w:r>
    </w:p>
    <w:p>
      <w:pPr>
        <w:pStyle w:val="CaptionedFigure"/>
      </w:pPr>
      <w:r>
        <w:drawing>
          <wp:inline>
            <wp:extent cx="5334000" cy="3011637"/>
            <wp:effectExtent b="0" l="0" r="0" t="0"/>
            <wp:docPr descr="主流文档转换工具性能与准确率对比（2026年Q2）" title="" id="72" name="Picture"/>
            <a:graphic>
              <a:graphicData uri="http://schemas.openxmlformats.org/drawingml/2006/picture">
                <pic:pic>
                  <pic:nvPicPr>
                    <pic:cNvPr descr="fig4_1_tool_comparison.png" id="73" name="Picture"/>
                    <pic:cNvPicPr>
                      <a:picLocks noChangeArrowheads="1" noChangeAspect="1"/>
                    </pic:cNvPicPr>
                  </pic:nvPicPr>
                  <pic:blipFill>
                    <a:blip r:embed="rId71"/>
                    <a:stretch>
                      <a:fillRect/>
                    </a:stretch>
                  </pic:blipFill>
                  <pic:spPr bwMode="auto">
                    <a:xfrm>
                      <a:off x="0" y="0"/>
                      <a:ext cx="5334000" cy="3011637"/>
                    </a:xfrm>
                    <a:prstGeom prst="rect">
                      <a:avLst/>
                    </a:prstGeom>
                    <a:noFill/>
                    <a:ln w="9525">
                      <a:noFill/>
                      <a:headEnd/>
                      <a:tailEnd/>
                    </a:ln>
                  </pic:spPr>
                </pic:pic>
              </a:graphicData>
            </a:graphic>
          </wp:inline>
        </w:drawing>
      </w:r>
    </w:p>
    <w:p>
      <w:pPr>
        <w:pStyle w:val="ImageCaption"/>
      </w:pPr>
      <w:r>
        <w:t xml:space="preserve">主流文档转换工具性能与准确率对比（2026年Q2）</w:t>
      </w:r>
    </w:p>
    <w:p>
      <w:pPr>
        <w:pStyle w:val="BodyText"/>
      </w:pPr>
      <w:r>
        <w:rPr>
          <w:bCs/>
          <w:b/>
        </w:rPr>
        <w:t xml:space="preserve">图4-1 主流文档转换工具性能与准确率对比</w:t>
      </w:r>
      <w:r>
        <w:t xml:space="preserve"> </w:t>
      </w:r>
      <w:r>
        <w:t xml:space="preserve">数据来源：OmniDocBench v1.6</w:t>
      </w:r>
      <w:r>
        <w:t xml:space="preserve"> </w:t>
      </w:r>
      <w:r>
        <w:rPr>
          <w:vertAlign w:val="superscript"/>
        </w:rPr>
        <w:footnoteReference w:id="97"/>
      </w:r>
      <w:r>
        <w:t xml:space="preserve">、OpenDataLoader Bench</w:t>
      </w:r>
      <w:r>
        <w:t xml:space="preserve"> </w:t>
      </w:r>
      <w:r>
        <w:rPr>
          <w:vertAlign w:val="superscript"/>
        </w:rPr>
        <w:footnoteReference w:id="98"/>
      </w:r>
      <w:r>
        <w:t xml:space="preserve">、Docling技术报告</w:t>
      </w:r>
      <w:r>
        <w:t xml:space="preserve"> </w:t>
      </w:r>
      <w:fldSimple w:instr="NOTEREF _Ref_Footnote_78 \h \f">
        <w:r>
          <w:rPr>
            <w:vertAlign w:val="superscript"/>
          </w:rPr>
          <w:t>78</w:t>
        </w:r>
      </w:fldSimple>
      <w:r>
        <w:t xml:space="preserve">、Procycons基准测试</w:t>
      </w:r>
      <w:r>
        <w:t xml:space="preserve"> </w:t>
      </w:r>
      <w:fldSimple w:instr="NOTEREF _Ref_Footnote_12 \h \f">
        <w:r>
          <w:rPr>
            <w:vertAlign w:val="superscript"/>
          </w:rPr>
          <w:t>12</w:t>
        </w:r>
      </w:fldSimple>
      <w:r>
        <w:t xml:space="preserve">图4-1揭示了文档转换工具设计中普遍存在的”不可能三角”：高精度（Docling的97.9%表格准确率）、高速度（Marker-PDF的25页/秒）和宽松许可证（MIT/Apache 2.0）三者难以兼得。企业在选型时必须根据具体场景的优先级进行权衡。</w:t>
      </w:r>
    </w:p>
    <w:bookmarkStart w:id="74" w:name="microsoft-markitdown轻量级首选的广度之王"/>
    <w:p>
      <w:pPr>
        <w:pStyle w:val="Heading4"/>
      </w:pPr>
      <w:r>
        <w:t xml:space="preserve">4.1.1 Microsoft MarkItDown：轻量级首选的广度之王</w:t>
      </w:r>
    </w:p>
    <w:p>
      <w:pPr>
        <w:pStyle w:val="FirstParagraph"/>
      </w:pPr>
      <w:r>
        <w:t xml:space="preserve">Microsoft MarkItDown由微软AutoGen团队开发，以139,000+ GitHub星标成为文档转换领域最受关注的开源项目</w:t>
      </w:r>
      <w:r>
        <w:t xml:space="preserve"> </w:t>
      </w:r>
      <w:fldSimple w:instr="NOTEREF _Ref_Footnote_11 \h \f">
        <w:r>
          <w:rPr>
            <w:vertAlign w:val="superscript"/>
          </w:rPr>
          <w:t>11</w:t>
        </w:r>
      </w:fldSimple>
      <w:r>
        <w:t xml:space="preserve">。其核心设计哲学是”极简封装”——通过统一的Python API将15种以上文件格式（PDF、DOCX、PPTX、XLSX、HTML、图片等）转换为干净的Markdown文本</w:t>
      </w:r>
      <w:r>
        <w:t xml:space="preserve"> </w:t>
      </w:r>
      <w:r>
        <w:rPr>
          <w:vertAlign w:val="superscript"/>
        </w:rPr>
        <w:footnoteReference w:id="99"/>
      </w:r>
      <w:r>
        <w:t xml:space="preserve">。在性能方面，MarkItDown的处理速度约为0.12秒/页（CPU环境），即约12秒/百页，在轻量级工具中处于领先地位</w:t>
      </w:r>
      <w:r>
        <w:t xml:space="preserve"> </w:t>
      </w:r>
      <w:fldSimple w:instr="NOTEREF _Ref_Footnote_11 \h \f">
        <w:r>
          <w:rPr>
            <w:vertAlign w:val="superscript"/>
          </w:rPr>
          <w:t>11</w:t>
        </w:r>
      </w:fldSimple>
      <w:r>
        <w:t xml:space="preserve">。其F1准确率在综合基准测试中约为82%</w:t>
      </w:r>
      <w:r>
        <w:t xml:space="preserve"> </w:t>
      </w:r>
      <w:fldSimple w:instr="NOTEREF _Ref_Footnote_11 \h \f">
        <w:r>
          <w:rPr>
            <w:vertAlign w:val="superscript"/>
          </w:rPr>
          <w:t>11</w:t>
        </w:r>
      </w:fldSimple>
      <w:r>
        <w:t xml:space="preserve">，安装包仅约251MB，无需GPU即可运行</w:t>
      </w:r>
      <w:r>
        <w:t xml:space="preserve"> </w:t>
      </w:r>
      <w:r>
        <w:rPr>
          <w:vertAlign w:val="superscript"/>
        </w:rPr>
        <w:footnoteReference w:id="100"/>
      </w:r>
      <w:r>
        <w:t xml:space="preserve">，这些特性使其成为快速原型开发和低资源环境部署的首选方案。</w:t>
      </w:r>
    </w:p>
    <w:p>
      <w:pPr>
        <w:pStyle w:val="BodyText"/>
      </w:pPr>
      <w:r>
        <w:t xml:space="preserve">然而，MarkItDown的轻量设计也带来了结构性局限。其在PDF转换方面的成功率仅为25%，整体平均成功率47.3%</w:t>
      </w:r>
      <w:r>
        <w:t xml:space="preserve"> </w:t>
      </w:r>
      <w:r>
        <w:rPr>
          <w:vertAlign w:val="superscript"/>
        </w:rPr>
        <w:footnoteReference w:id="101"/>
      </w:r>
      <w:r>
        <w:t xml:space="preserve">，对于包含复杂表格、多栏布局或扫描内容的文档，转换质量显著下降。InfoWorld的技术评论指出，MarkItDown”本质上只是现有第三方库的封装”</w:t>
      </w:r>
      <w:r>
        <w:t xml:space="preserve"> </w:t>
      </w:r>
      <w:r>
        <w:rPr>
          <w:vertAlign w:val="superscript"/>
        </w:rPr>
        <w:footnoteReference w:id="102"/>
      </w:r>
      <w:r>
        <w:t xml:space="preserve">——这一评价虽然带有批评色彩，但也准确概括了其价值定位：统一接口本身就是价值，15+格式的一站式转换省去大量集成工作，但对单一格式的深度处理不如专业工具。在表格转换方面，MarkItDown对简单表格可达90%+准确率，但对复杂表格（含合并单元格、嵌套表格）的准确率骤降至约60%</w:t>
      </w:r>
      <w:r>
        <w:t xml:space="preserve"> </w:t>
      </w:r>
      <w:fldSimple w:instr="NOTEREF _Ref_Footnote_12 \h \f">
        <w:r>
          <w:rPr>
            <w:vertAlign w:val="superscript"/>
          </w:rPr>
          <w:t>12</w:t>
        </w:r>
      </w:fldSimple>
      <w:r>
        <w:t xml:space="preserve">。</w:t>
      </w:r>
    </w:p>
    <w:p>
      <w:pPr>
        <w:pStyle w:val="BodyText"/>
      </w:pPr>
      <w:r>
        <w:rPr>
          <w:bCs/>
          <w:b/>
        </w:rPr>
        <w:t xml:space="preserve">选型建议</w:t>
      </w:r>
      <w:r>
        <w:t xml:space="preserve">：MarkItDown适合以DOCX/HTML为主要源格式、对转换速度要求高于结构精度的场景，例如飞书文档经DOCX中转后的二次转换、简单网页内容的批量采集，以及作为RAG管道的”快速通道”处理标准化文档。</w:t>
      </w:r>
    </w:p>
    <w:bookmarkEnd w:id="74"/>
    <w:bookmarkStart w:id="75" w:name="doclingibm精度与生态的双重标杆"/>
    <w:p>
      <w:pPr>
        <w:pStyle w:val="Heading4"/>
      </w:pPr>
      <w:r>
        <w:t xml:space="preserve">4.1.2 Docling（IBM）：精度与生态的双重标杆</w:t>
      </w:r>
    </w:p>
    <w:p>
      <w:pPr>
        <w:pStyle w:val="FirstParagraph"/>
      </w:pPr>
      <w:r>
        <w:t xml:space="preserve">IBM Research苏黎世实验室开发的Docling以97.9%的复杂表格单元格准确率在精度赛道上处于领先地位</w:t>
      </w:r>
      <w:r>
        <w:t xml:space="preserve"> </w:t>
      </w:r>
      <w:fldSimple w:instr="NOTEREF _Ref_Footnote_12 \h \f">
        <w:r>
          <w:rPr>
            <w:vertAlign w:val="superscript"/>
          </w:rPr>
          <w:t>12</w:t>
        </w:r>
      </w:fldSimple>
      <w:r>
        <w:t xml:space="preserve">。这一数据来自2025年3月Procycons基准测试，测试对象为宜家2023年可持续发展报告中的48单元格复杂层级表格——Docling仅遗漏1个数据点</w:t>
      </w:r>
      <w:r>
        <w:t xml:space="preserve"> </w:t>
      </w:r>
      <w:fldSimple w:instr="NOTEREF _Ref_Footnote_12 \h \f">
        <w:r>
          <w:rPr>
            <w:vertAlign w:val="superscript"/>
          </w:rPr>
          <w:t>12</w:t>
        </w:r>
      </w:fldSimple>
      <w:r>
        <w:t xml:space="preserve">。该工具采用基于深度学习的流水线（Pipeline）架构，核心组件包括用于版面分析的Heron模型、用于表格结构识别的TableFormer模型，以及可选的Granite-Docling VLM端</w:t>
      </w:r>
      <w:r>
        <w:t xml:space="preserve"> </w:t>
      </w:r>
      <w:fldSimple w:instr="NOTEREF _Ref_Footnote_63 \h \f">
        <w:r>
          <w:rPr>
            <w:vertAlign w:val="superscript"/>
          </w:rPr>
          <w:t>63</w:t>
        </w:r>
      </w:fldSimple>
      <w:r>
        <w:t xml:space="preserve"> </w:t>
      </w:r>
      <w:r>
        <w:rPr>
          <w:vertAlign w:val="superscript"/>
        </w:rPr>
        <w:footnoteReference w:id="103"/>
      </w:r>
      <w:r>
        <w:t xml:space="preserve">。</w:t>
      </w:r>
    </w:p>
    <w:p>
      <w:pPr>
        <w:pStyle w:val="BodyText"/>
      </w:pPr>
      <w:r>
        <w:t xml:space="preserve">Docling最大的差异化优势在于其统一的中间表示格式DoclingDocument</w:t>
      </w:r>
      <w:r>
        <w:t xml:space="preserve"> </w:t>
      </w:r>
      <w:r>
        <w:rPr>
          <w:vertAlign w:val="superscript"/>
        </w:rPr>
        <w:footnoteReference w:id="104"/>
      </w:r>
      <w:r>
        <w:t xml:space="preserve"> </w:t>
      </w:r>
      <w:r>
        <w:rPr>
          <w:vertAlign w:val="superscript"/>
        </w:rPr>
        <w:footnoteReference w:id="105"/>
      </w:r>
      <w:r>
        <w:t xml:space="preserve">。该格式基于Pydantic强类型JSON Schema定义，保留了文本、表格、图片的层次化结构、边界框坐标、阅读顺序和来源证明（ProvenanceItem）等丰富元数据</w:t>
      </w:r>
      <w:r>
        <w:t xml:space="preserve"> </w:t>
      </w:r>
      <w:r>
        <w:rPr>
          <w:vertAlign w:val="superscript"/>
        </w:rPr>
        <w:footnoteReference w:id="106"/>
      </w:r>
      <w:r>
        <w:t xml:space="preserve">。同一DoclingDocument可无损导出为Markdown、HTML、JSON、DocTags等多种下游格式</w:t>
      </w:r>
      <w:r>
        <w:t xml:space="preserve"> </w:t>
      </w:r>
      <w:fldSimple w:instr="NOTEREF _Ref_Footnote_104 \h \f">
        <w:r>
          <w:rPr>
            <w:vertAlign w:val="superscript"/>
          </w:rPr>
          <w:t>104</w:t>
        </w:r>
      </w:fldSimple>
      <w:r>
        <w:t xml:space="preserve">，这种”先结构化、后序列化”的两阶段架构避免了直接从PDF到Markdown转换中的信息损失</w:t>
      </w:r>
      <w:r>
        <w:t xml:space="preserve"> </w:t>
      </w:r>
      <w:r>
        <w:rPr>
          <w:vertAlign w:val="superscript"/>
        </w:rPr>
        <w:footnoteReference w:id="107"/>
      </w:r>
      <w:r>
        <w:t xml:space="preserve">。</w:t>
      </w:r>
    </w:p>
    <w:p>
      <w:pPr>
        <w:pStyle w:val="BodyText"/>
      </w:pPr>
      <w:r>
        <w:t xml:space="preserve">在生态集成方面，Docling提供了最完善的企业级支持：原生集成LangChain、LlamaIndex、Haystack三大RAG框架</w:t>
      </w:r>
      <w:r>
        <w:t xml:space="preserve"> </w:t>
      </w:r>
      <w:r>
        <w:rPr>
          <w:vertAlign w:val="superscript"/>
        </w:rPr>
        <w:footnoteReference w:id="108"/>
      </w:r>
      <w:r>
        <w:t xml:space="preserve">，提供MCP Server实现AI Agent直接调用</w:t>
      </w:r>
      <w:r>
        <w:t xml:space="preserve"> </w:t>
      </w:r>
      <w:fldSimple w:instr="NOTEREF _Ref_Footnote_108 \h \f">
        <w:r>
          <w:rPr>
            <w:vertAlign w:val="superscript"/>
          </w:rPr>
          <w:t>108</w:t>
        </w:r>
      </w:fldSimple>
      <w:r>
        <w:t xml:space="preserve">，并与IBM Data Prep Kit、Red Hat OpenShift AI深度绑定</w:t>
      </w:r>
      <w:r>
        <w:t xml:space="preserve"> </w:t>
      </w:r>
      <w:r>
        <w:rPr>
          <w:vertAlign w:val="superscript"/>
        </w:rPr>
        <w:footnoteReference w:id="109"/>
      </w:r>
      <w:r>
        <w:t xml:space="preserve">。2025年8月，Docling被捐赠给Linux基金会AI与数据分部托管</w:t>
      </w:r>
      <w:r>
        <w:t xml:space="preserve"> </w:t>
      </w:r>
      <w:r>
        <w:rPr>
          <w:vertAlign w:val="superscript"/>
        </w:rPr>
        <w:footnoteReference w:id="110"/>
      </w:r>
      <w:r>
        <w:t xml:space="preserve">，进一步增强了其中立性和长期可维护性。许可证方面，Docling采用MIT许可证</w:t>
      </w:r>
      <w:r>
        <w:t xml:space="preserve"> </w:t>
      </w:r>
      <w:r>
        <w:rPr>
          <w:vertAlign w:val="superscript"/>
        </w:rPr>
        <w:footnoteReference w:id="111"/>
      </w:r>
      <w:r>
        <w:t xml:space="preserve">，代码与模型权重均为完全开放，无任何商业使用限制。</w:t>
      </w:r>
    </w:p>
    <w:p>
      <w:pPr>
        <w:pStyle w:val="BodyText"/>
      </w:pPr>
      <w:r>
        <w:t xml:space="preserve">在性能方面，Docling在NVIDIA L4 GPU环境下处理速度约为0.49秒/页，CPU环境（8线程x86）约为3.1秒/页</w:t>
      </w:r>
      <w:r>
        <w:t xml:space="preserve"> </w:t>
      </w:r>
      <w:fldSimple w:instr="NOTEREF _Ref_Footnote_78 \h \f">
        <w:r>
          <w:rPr>
            <w:vertAlign w:val="superscript"/>
          </w:rPr>
          <w:t>78</w:t>
        </w:r>
      </w:fldSimple>
      <w:r>
        <w:t xml:space="preserve">。虽然速度不及MarkItDown，但其在表格精度（97.9% vs 82%）和Markdown语义结构保留方面的显著优势，使其成为金融、法律、科研等对精度要求严苛场景的首选。</w:t>
      </w:r>
    </w:p>
    <w:bookmarkEnd w:id="75"/>
    <w:bookmarkStart w:id="76" w:name="marker-pdf速度之王的许可证困境"/>
    <w:p>
      <w:pPr>
        <w:pStyle w:val="Heading4"/>
      </w:pPr>
      <w:r>
        <w:t xml:space="preserve">4.1.3 Marker-PDF：速度之王的许可证困境</w:t>
      </w:r>
    </w:p>
    <w:p>
      <w:pPr>
        <w:pStyle w:val="FirstParagraph"/>
      </w:pPr>
      <w:r>
        <w:t xml:space="preserve">Marker-PDF由Datalab开发，在速度维度上表现突出：在NVIDIA H100 GPU上批量处理可达25页/秒</w:t>
      </w:r>
      <w:r>
        <w:t xml:space="preserve"> </w:t>
      </w:r>
      <w:r>
        <w:rPr>
          <w:vertAlign w:val="superscript"/>
        </w:rPr>
        <w:footnoteReference w:id="112"/>
      </w:r>
      <w:r>
        <w:t xml:space="preserve">，启发式评分（Heuristic Score）达到95.67，LLM评分4.24</w:t>
      </w:r>
      <w:r>
        <w:t xml:space="preserve"> </w:t>
      </w:r>
      <w:r>
        <w:rPr>
          <w:vertAlign w:val="superscript"/>
        </w:rPr>
        <w:footnoteReference w:id="113"/>
      </w:r>
      <w:r>
        <w:t xml:space="preserve">。该工具采用专用AI模型流水线，针对学术论文进行了特别优化，支持LaTeX公式输出和多栏布局检测</w:t>
      </w:r>
      <w:r>
        <w:t xml:space="preserve"> </w:t>
      </w:r>
      <w:r>
        <w:rPr>
          <w:vertAlign w:val="superscript"/>
        </w:rPr>
        <w:footnoteReference w:id="114"/>
      </w:r>
      <w:r>
        <w:t xml:space="preserve">。</w:t>
      </w:r>
    </w:p>
    <w:p>
      <w:pPr>
        <w:pStyle w:val="BodyText"/>
      </w:pPr>
      <w:r>
        <w:t xml:space="preserve">然而，Marker-PDF的商业采用面临严峻的许可证障碍。该项目采用双重许可证策略：代码部分使用GPL-3.0，模型权重使用CC-BY-NC-SA 4.0</w:t>
      </w:r>
      <w:r>
        <w:t xml:space="preserve"> </w:t>
      </w:r>
      <w:r>
        <w:rPr>
          <w:vertAlign w:val="superscript"/>
        </w:rPr>
        <w:footnoteReference w:id="115"/>
      </w:r>
      <w:r>
        <w:t xml:space="preserve">。免费使用需同时满足三个条件：最近12个月总收入低于200万美元、终身VC/天使投资低于200万美元、不与Datalab API竞争</w:t>
      </w:r>
      <w:r>
        <w:t xml:space="preserve"> </w:t>
      </w:r>
      <w:fldSimple w:instr="NOTEREF _Ref_Footnote_115 \h \f">
        <w:r>
          <w:rPr>
            <w:vertAlign w:val="superscript"/>
          </w:rPr>
          <w:t>115</w:t>
        </w:r>
      </w:fldSimple>
      <w:r>
        <w:t xml:space="preserve">。超出收入限制的组织需购买商业许可，自托管许可费超过5,000美元</w:t>
      </w:r>
      <w:r>
        <w:t xml:space="preserve"> </w:t>
      </w:r>
      <w:fldSimple w:instr="NOTEREF _Ref_Footnote_114 \h \f">
        <w:r>
          <w:rPr>
            <w:vertAlign w:val="superscript"/>
          </w:rPr>
          <w:t>114</w:t>
        </w:r>
      </w:fldSimple>
      <w:r>
        <w:t xml:space="preserve">。这一模式在开源社区引发了”开源洗白”（open-washing）质疑，大量用户因此转向许可证更宽松的Docling</w:t>
      </w:r>
      <w:r>
        <w:t xml:space="preserve"> </w:t>
      </w:r>
      <w:r>
        <w:rPr>
          <w:vertAlign w:val="superscript"/>
        </w:rPr>
        <w:footnoteReference w:id="116"/>
      </w:r>
      <w:r>
        <w:t xml:space="preserve">。</w:t>
      </w:r>
    </w:p>
    <w:p>
      <w:pPr>
        <w:pStyle w:val="BodyText"/>
      </w:pPr>
      <w:r>
        <w:t xml:space="preserve">对于处于高速增长阶段的中国企业而言，Marker-PDF的许可证风险需要特别关注。200万美元的收入门槛在SaaS行业很容易被突破，且GPL-3.0的传染性要求可能使基于Marker构建的衍生作品也必须开源。</w:t>
      </w:r>
    </w:p>
    <w:bookmarkEnd w:id="76"/>
    <w:bookmarkStart w:id="77" w:name="mineru-2.5-pro准确率之巅的开源悖论"/>
    <w:p>
      <w:pPr>
        <w:pStyle w:val="Heading4"/>
      </w:pPr>
      <w:r>
        <w:t xml:space="preserve">4.1.4 MinerU 2.5-Pro：准确率之巅的开源悖论</w:t>
      </w:r>
    </w:p>
    <w:p>
      <w:pPr>
        <w:pStyle w:val="FirstParagraph"/>
      </w:pPr>
      <w:r>
        <w:t xml:space="preserve">上海AI Lab开发的MinerU 2.5-Pro在OmniDocBench v1.6权威基准测试中以95.69分位居开源工具榜首</w:t>
      </w:r>
      <w:r>
        <w:t xml:space="preserve"> </w:t>
      </w:r>
      <w:r>
        <w:rPr>
          <w:vertAlign w:val="superscript"/>
        </w:rPr>
        <w:footnoteReference w:id="117"/>
      </w:r>
      <w:r>
        <w:t xml:space="preserve"> </w:t>
      </w:r>
      <w:r>
        <w:rPr>
          <w:vertAlign w:val="superscript"/>
        </w:rPr>
        <w:footnoteReference w:id="118"/>
      </w:r>
      <w:r>
        <w:t xml:space="preserve">，超越了Gemini 3 Pro（93.42分）和GPT-4o（90.84分）等参数量超过200倍的通用视觉语言模型</w:t>
      </w:r>
      <w:r>
        <w:t xml:space="preserve"> </w:t>
      </w:r>
      <w:fldSimple w:instr="NOTEREF _Ref_Footnote_96 \h \f">
        <w:r>
          <w:rPr>
            <w:vertAlign w:val="superscript"/>
          </w:rPr>
          <w:t>96</w:t>
        </w:r>
      </w:fldSimple>
      <w:r>
        <w:t xml:space="preserve">。MinerU的核心创新在于其VLM+OCR双引擎混合架构：1.2B参数的专用视觉语言模型负责复杂版面和公式识别，PaddleOCR负责扫描件OCR，两套引擎可根据输入文档类型自动切换</w:t>
      </w:r>
      <w:r>
        <w:t xml:space="preserve"> </w:t>
      </w:r>
      <w:r>
        <w:rPr>
          <w:vertAlign w:val="superscript"/>
        </w:rPr>
        <w:footnoteReference w:id="119"/>
      </w:r>
      <w:r>
        <w:t xml:space="preserve">。</w:t>
      </w:r>
    </w:p>
    <w:p>
      <w:pPr>
        <w:pStyle w:val="BodyText"/>
      </w:pPr>
      <w:r>
        <w:t xml:space="preserve">MinerU在中文文档处理方面表现尤为出色，支持109种语言OCR</w:t>
      </w:r>
      <w:r>
        <w:t xml:space="preserve"> </w:t>
      </w:r>
      <w:r>
        <w:rPr>
          <w:vertAlign w:val="superscript"/>
        </w:rPr>
        <w:footnoteReference w:id="120"/>
      </w:r>
      <w:r>
        <w:t xml:space="preserve">，在OmniDocBench中文场景中取得最佳成绩</w:t>
      </w:r>
      <w:r>
        <w:t xml:space="preserve"> </w:t>
      </w:r>
      <w:fldSimple w:instr="NOTEREF _Ref_Footnote_13 \h \f">
        <w:r>
          <w:rPr>
            <w:vertAlign w:val="superscript"/>
          </w:rPr>
          <w:t>13</w:t>
        </w:r>
      </w:fldSimple>
      <w:r>
        <w:t xml:space="preserve">。其公式识别准确率达98%，LaTeX输出精准；表格识别准确率92%</w:t>
      </w:r>
      <w:r>
        <w:t xml:space="preserve"> </w:t>
      </w:r>
      <w:r>
        <w:rPr>
          <w:vertAlign w:val="superscript"/>
        </w:rPr>
        <w:footnoteReference w:id="121"/>
      </w:r>
      <w:r>
        <w:t xml:space="preserve">。2026年3月发布的MinerU-Diffusion进一步采用扩散解码替代自回归生成，实现了3.26倍加速而几乎无损精度</w:t>
      </w:r>
      <w:r>
        <w:t xml:space="preserve"> </w:t>
      </w:r>
      <w:r>
        <w:rPr>
          <w:vertAlign w:val="superscript"/>
        </w:rPr>
        <w:footnoteReference w:id="122"/>
      </w:r>
      <w:r>
        <w:t xml:space="preserve">。生态方面，MinerU提供MCP Server支持</w:t>
      </w:r>
      <w:r>
        <w:t xml:space="preserve"> </w:t>
      </w:r>
      <w:r>
        <w:rPr>
          <w:vertAlign w:val="superscript"/>
        </w:rPr>
        <w:footnoteReference w:id="123"/>
      </w:r>
      <w:r>
        <w:t xml:space="preserve">，原生集成RAGFlow、LangChain、LlamaIndex等主流框架，并适配10余种国产算力（昇腾、寒武纪、燧原等）</w:t>
      </w:r>
      <w:fldSimple w:instr="NOTEREF _Ref_Footnote_123 \h \f">
        <w:r>
          <w:rPr>
            <w:vertAlign w:val="superscript"/>
          </w:rPr>
          <w:t>123</w:t>
        </w:r>
      </w:fldSimple>
      <w:r>
        <w:t xml:space="preserve">。</w:t>
      </w:r>
    </w:p>
    <w:p>
      <w:pPr>
        <w:pStyle w:val="BodyText"/>
      </w:pPr>
      <w:r>
        <w:t xml:space="preserve">然而，MinerU采用AGPL-3.0许可证</w:t>
      </w:r>
      <w:r>
        <w:t xml:space="preserve"> </w:t>
      </w:r>
      <w:fldSimple w:instr="NOTEREF _Ref_Footnote_119 \h \f">
        <w:r>
          <w:rPr>
            <w:vertAlign w:val="superscript"/>
          </w:rPr>
          <w:t>119</w:t>
        </w:r>
      </w:fldSimple>
      <w:r>
        <w:t xml:space="preserve">，这是其商业采用的最大障碍。AGPL（Affero General Public License）要求”通过网络交互”的用户也能获得完整应用程序源代码——这意味着如果企业将MinerU集成到SaaS产品中提供服务，用户有权要求企业公开整个应用程序的源代码。对于计划构建文档处理SaaS或闭源商业软件的中国企业，AGPL-3.0构成了实质性的法律风险。缓解措施包括联系上海AI Lab获取商业许可，或通过API模式（非直接代码集成）使用MinerU。</w:t>
      </w:r>
    </w:p>
    <w:bookmarkEnd w:id="77"/>
    <w:bookmarkEnd w:id="78"/>
    <w:bookmarkStart w:id="82" w:name="飞书到markdown的转换方案"/>
    <w:p>
      <w:pPr>
        <w:pStyle w:val="Heading3"/>
      </w:pPr>
      <w:r>
        <w:t xml:space="preserve">4.2 飞书到Markdown的转换方案</w:t>
      </w:r>
    </w:p>
    <w:p>
      <w:pPr>
        <w:pStyle w:val="FirstParagraph"/>
      </w:pPr>
      <w:r>
        <w:t xml:space="preserve">在前一章的技术分析中，飞书文档被评为中国企业SOP场景综合评分最高（8.50/10）的富文本编辑器。2026年5月，飞书正式上线云文档原生Markdown导出功能</w:t>
      </w:r>
      <w:r>
        <w:t xml:space="preserve"> </w:t>
      </w:r>
      <w:fldSimple w:instr="NOTEREF _Ref_Footnote_5 \h \f">
        <w:r>
          <w:rPr>
            <w:vertAlign w:val="superscript"/>
          </w:rPr>
          <w:t>5</w:t>
        </w:r>
      </w:fldSimple>
      <w:r>
        <w:t xml:space="preserve">，从根本上解决了”人编辑在飞书、AI需要Markdown”之间的格式鸿沟，标志着中国最大企业协作平台正式承认”富文本编辑→Markdown存储→AI处理”管道的合理性。</w:t>
      </w:r>
    </w:p>
    <w:bookmarkStart w:id="79" w:name="飞书2026年5月原生markdown导出转换质量评估与使用指南"/>
    <w:p>
      <w:pPr>
        <w:pStyle w:val="Heading4"/>
      </w:pPr>
      <w:r>
        <w:t xml:space="preserve">4.2.1 飞书2026年5月原生Markdown导出：转换质量评估与使用指南</w:t>
      </w:r>
    </w:p>
    <w:p>
      <w:pPr>
        <w:pStyle w:val="FirstParagraph"/>
      </w:pPr>
      <w:r>
        <w:t xml:space="preserve">飞书原生Markdown导出功能于2026年5月27日通过官方博客宣布</w:t>
      </w:r>
      <w:r>
        <w:t xml:space="preserve"> </w:t>
      </w:r>
      <w:fldSimple w:instr="NOTEREF _Ref_Footnote_5 \h \f">
        <w:r>
          <w:rPr>
            <w:vertAlign w:val="superscript"/>
          </w:rPr>
          <w:t>5</w:t>
        </w:r>
      </w:fldSimple>
      <w:r>
        <w:t xml:space="preserve">，支持以下元素的Markdown语法转换：标题层级（</w:t>
      </w:r>
      <w:r>
        <w:rPr>
          <w:rStyle w:val="VerbatimChar"/>
        </w:rPr>
        <w:t xml:space="preserve">#</w:t>
      </w:r>
      <w:r>
        <w:t xml:space="preserve">至</w:t>
      </w:r>
      <w:r>
        <w:rPr>
          <w:rStyle w:val="VerbatimChar"/>
        </w:rPr>
        <w:t xml:space="preserve">######</w:t>
      </w:r>
      <w:r>
        <w:t xml:space="preserve">）、有序/无序列表、代码块（含语法高亮）、超链接、图片引用和表格。图片和附件以链接形式保留在Markdown中，点击后自动下载</w:t>
      </w:r>
      <w:r>
        <w:t xml:space="preserve"> </w:t>
      </w:r>
      <w:fldSimple w:instr="NOTEREF _Ref_Footnote_5 \h \f">
        <w:r>
          <w:rPr>
            <w:vertAlign w:val="superscript"/>
          </w:rPr>
          <w:t>5</w:t>
        </w:r>
      </w:fldSimple>
      <w:r>
        <w:t xml:space="preserve">。导出格式为</w:t>
      </w:r>
      <w:r>
        <w:rPr>
          <w:rStyle w:val="VerbatimChar"/>
        </w:rPr>
        <w:t xml:space="preserve">.md</w:t>
      </w:r>
      <w:r>
        <w:t xml:space="preserve">文件，可直接用于代码仓库、RAG管道和AI Agent输入。</w:t>
      </w:r>
    </w:p>
    <w:p>
      <w:pPr>
        <w:pStyle w:val="BodyText"/>
      </w:pPr>
      <w:r>
        <w:t xml:space="preserve">在转换质量方面，根据多维度评估数据，飞书三种导出格式的完整性对比为：DOCX格式100%保留（适合继续编辑）、Markdown约90%格式完整性（适合技术文档和代码仓库）、PDF 100%保留但文件体积较大（适合归档）</w:t>
      </w:r>
      <w:fldSimple w:instr="NOTEREF _Ref_Footnote_6 \h \f">
        <w:r>
          <w:rPr>
            <w:vertAlign w:val="superscript"/>
          </w:rPr>
          <w:t>6</w:t>
        </w:r>
      </w:fldSimple>
      <w:r>
        <w:t xml:space="preserve">。原生导出的已知限制包括：评论（Comment）不会随Markdown一起导出，部分飞书特有样式（如自定义颜色标注、特殊块级元素）可能丢失</w:t>
      </w:r>
      <w:r>
        <w:t xml:space="preserve"> </w:t>
      </w:r>
      <w:fldSimple w:instr="NOTEREF _Ref_Footnote_5 \h \f">
        <w:r>
          <w:rPr>
            <w:vertAlign w:val="superscript"/>
          </w:rPr>
          <w:t>5</w:t>
        </w:r>
      </w:fldSimple>
      <w:r>
        <w:t xml:space="preserve">。</w:t>
      </w:r>
    </w:p>
    <w:p>
      <w:pPr>
        <w:pStyle w:val="BodyText"/>
      </w:pPr>
      <w:r>
        <w:t xml:space="preserve">对于需要批量导出的企业场景，第三方工具</w:t>
      </w:r>
      <w:r>
        <w:rPr>
          <w:rStyle w:val="VerbatimChar"/>
        </w:rPr>
        <w:t xml:space="preserve">feishu-doc-export</w:t>
      </w:r>
      <w:r>
        <w:t xml:space="preserve">提供了补充方案</w:t>
      </w:r>
      <w:r>
        <w:t xml:space="preserve"> </w:t>
      </w:r>
      <w:r>
        <w:rPr>
          <w:vertAlign w:val="superscript"/>
        </w:rPr>
        <w:footnoteReference w:id="124"/>
      </w:r>
      <w:r>
        <w:t xml:space="preserve"> </w:t>
      </w:r>
      <w:r>
        <w:rPr>
          <w:vertAlign w:val="superscript"/>
        </w:rPr>
        <w:footnoteReference w:id="125"/>
      </w:r>
      <w:r>
        <w:t xml:space="preserve">。该工具基于.NET Core和飞书开放API构建，支持Markdown/DOCX/PDF三种格式批量导出，可在700个以上文档的批量导出场景中于25分钟内完成，目录结构完美保持飞书原文档层级，成功率达99%+</w:t>
      </w:r>
      <w:r>
        <w:t xml:space="preserve"> </w:t>
      </w:r>
      <w:fldSimple w:instr="NOTEREF _Ref_Footnote_124 \h \f">
        <w:r>
          <w:rPr>
            <w:vertAlign w:val="superscript"/>
          </w:rPr>
          <w:t>124</w:t>
        </w:r>
      </w:fldSimple>
      <w:r>
        <w:t xml:space="preserve">。</w:t>
      </w:r>
    </w:p>
    <w:p>
      <w:pPr>
        <w:pStyle w:val="BodyText"/>
      </w:pPr>
      <w:r>
        <w:t xml:space="preserve">企业选型建议如下：对于单文档/低频导出场景，直接使用飞书原生「下载为」→Markdown功能即可满足需求；对于批量历史文档迁移场景，推荐</w:t>
      </w:r>
      <w:r>
        <w:rPr>
          <w:rStyle w:val="VerbatimChar"/>
        </w:rPr>
        <w:t xml:space="preserve">feishu-doc-export</w:t>
      </w:r>
      <w:r>
        <w:t xml:space="preserve">配合自动化脚本实现全量转换；对于需要与CI/CD管道深度集成的场景，建议基于飞书开放平台API自研转换组件，实现Webhook事件驱动的实时同步。</w:t>
      </w:r>
    </w:p>
    <w:bookmarkEnd w:id="79"/>
    <w:bookmarkStart w:id="80" w:name="自动化转换管道设计飞书api转换引擎markdown存储rag索引"/>
    <w:p>
      <w:pPr>
        <w:pStyle w:val="Heading4"/>
      </w:pPr>
      <w:r>
        <w:t xml:space="preserve">4.2.2 自动化转换管道设计：飞书API→转换引擎→Markdown存储→RAG索引</w:t>
      </w:r>
    </w:p>
    <w:p>
      <w:pPr>
        <w:pStyle w:val="FirstParagraph"/>
      </w:pPr>
      <w:r>
        <w:t xml:space="preserve">基于飞书原生Markdown导出能力，可设计一套完整的自动化转换管道（Conversion Pipeline），实现”人在飞书编辑，AI即时读取”的双轨制工作流。以下是推荐的标准四阶段管道架构：</w:t>
      </w:r>
    </w:p>
    <w:p>
      <w:pPr>
        <w:pStyle w:val="BodyText"/>
      </w:pPr>
      <w:r>
        <w:rPr>
          <w:bCs/>
          <w:b/>
        </w:rPr>
        <w:t xml:space="preserve">阶段一：事件触发与文档获取。</w:t>
      </w:r>
      <w:r>
        <w:t xml:space="preserve"> </w:t>
      </w:r>
      <w:r>
        <w:t xml:space="preserve">通过飞书开放平台API注册Webhook监听文档编辑事件，或设置定时任务（如每小时/每日）扫描指定知识库目录。当检测到文档变更时，调用飞书云文档API获取文档内容，触发转换流程。</w:t>
      </w:r>
    </w:p>
    <w:p>
      <w:pPr>
        <w:pStyle w:val="BodyText"/>
      </w:pPr>
      <w:r>
        <w:rPr>
          <w:bCs/>
          <w:b/>
        </w:rPr>
        <w:t xml:space="preserve">阶段二：格式转换与质量校验。</w:t>
      </w:r>
      <w:r>
        <w:t xml:space="preserve"> </w:t>
      </w:r>
      <w:r>
        <w:t xml:space="preserve">根据文档类型和复杂度选择转换引擎：对于飞书原生支持的Markdown导出，直接调用</w:t>
      </w:r>
      <w:r>
        <w:rPr>
          <w:rStyle w:val="VerbatimChar"/>
        </w:rPr>
        <w:t xml:space="preserve">export</w:t>
      </w:r>
      <w:r>
        <w:t xml:space="preserve">接口获取</w:t>
      </w:r>
      <w:r>
        <w:rPr>
          <w:rStyle w:val="VerbatimChar"/>
        </w:rPr>
        <w:t xml:space="preserve">.md</w:t>
      </w:r>
      <w:r>
        <w:t xml:space="preserve">文件；对于需要更高结构精度的场景（如含复杂表格的财务SOP），可将飞书DOCX导出作为中间格式，再经由Docling进行二次解析以保留完整的表格结构和元数据</w:t>
      </w:r>
      <w:r>
        <w:t xml:space="preserve"> </w:t>
      </w:r>
      <w:fldSimple w:instr="NOTEREF _Ref_Footnote_108 \h \f">
        <w:r>
          <w:rPr>
            <w:vertAlign w:val="superscript"/>
          </w:rPr>
          <w:t>108</w:t>
        </w:r>
      </w:fldSimple>
      <w:r>
        <w:t xml:space="preserve">；对于扫描件或图片密集型文档，可路由至MinerU进行VLM增强解析</w:t>
      </w:r>
      <w:r>
        <w:t xml:space="preserve"> </w:t>
      </w:r>
      <w:fldSimple w:instr="NOTEREF _Ref_Footnote_119 \h \f">
        <w:r>
          <w:rPr>
            <w:vertAlign w:val="superscript"/>
          </w:rPr>
          <w:t>119</w:t>
        </w:r>
      </w:fldSimple>
      <w:r>
        <w:t xml:space="preserve">。转换完成后，执行三级质量校验：L1文件完整性（SHA256校验和比对）、L2结构完整性（Markdown语法校验与标题层级连续性检查）、L3内容完整性（字符数对比与关键字段存在性检查）</w:t>
      </w:r>
      <w:r>
        <w:rPr>
          <w:vertAlign w:val="superscript"/>
        </w:rPr>
        <w:footnoteReference w:id="126"/>
      </w:r>
      <w:r>
        <w:t xml:space="preserve"> </w:t>
      </w:r>
      <w:r>
        <w:rPr>
          <w:vertAlign w:val="superscript"/>
        </w:rPr>
        <w:footnoteReference w:id="127"/>
      </w:r>
      <w:r>
        <w:t xml:space="preserve">。</w:t>
      </w:r>
    </w:p>
    <w:p>
      <w:pPr>
        <w:pStyle w:val="BodyText"/>
      </w:pPr>
      <w:r>
        <w:rPr>
          <w:bCs/>
          <w:b/>
        </w:rPr>
        <w:t xml:space="preserve">阶段三：Markdown存储与版本控制。</w:t>
      </w:r>
      <w:r>
        <w:t xml:space="preserve"> </w:t>
      </w:r>
      <w:r>
        <w:t xml:space="preserve">转换后的Markdown文件存入企业Git仓库或对象存储（S3/MinIO），配合Git实现版本控制和变更追溯。建议采用”一文档一目录”的组织方式：每个SOP对应一个目录，内含</w:t>
      </w:r>
      <w:r>
        <w:rPr>
          <w:rStyle w:val="VerbatimChar"/>
        </w:rPr>
        <w:t xml:space="preserve">document.md</w:t>
      </w:r>
      <w:r>
        <w:t xml:space="preserve">主文件和</w:t>
      </w:r>
      <w:r>
        <w:rPr>
          <w:rStyle w:val="VerbatimChar"/>
        </w:rPr>
        <w:t xml:space="preserve">assets/</w:t>
      </w:r>
      <w:r>
        <w:t xml:space="preserve">子目录（存放图片等附件）。通过Git的commit history可完整追溯SOP的每一次修订，满足合规审计要求。</w:t>
      </w:r>
    </w:p>
    <w:p>
      <w:pPr>
        <w:pStyle w:val="BodyText"/>
      </w:pPr>
      <w:r>
        <w:rPr>
          <w:bCs/>
          <w:b/>
        </w:rPr>
        <w:t xml:space="preserve">阶段四：RAG索引更新。</w:t>
      </w:r>
      <w:r>
        <w:t xml:space="preserve"> </w:t>
      </w:r>
      <w:r>
        <w:t xml:space="preserve">Markdown文件进入RAG管道，执行语义分块→嵌入→存储的标准流程。基于Markdown标题的语义分块可减少42%的LLM幻觉率</w:t>
      </w:r>
      <w:r>
        <w:t xml:space="preserve"> </w:t>
      </w:r>
      <w:fldSimple w:instr="NOTEREF _Ref_Footnote_74 \h \f">
        <w:r>
          <w:rPr>
            <w:vertAlign w:val="superscript"/>
          </w:rPr>
          <w:t>74</w:t>
        </w:r>
      </w:fldSimple>
      <w:r>
        <w:t xml:space="preserve">，推荐采用递归字符分割器（RecursiveCharacterTextSplitter），以</w:t>
      </w:r>
      <w:r>
        <w:rPr>
          <w:rStyle w:val="VerbatimChar"/>
        </w:rPr>
        <w:t xml:space="preserve">\n##</w:t>
      </w:r>
      <w:r>
        <w:t xml:space="preserve">和</w:t>
      </w:r>
      <w:r>
        <w:rPr>
          <w:rStyle w:val="VerbatimChar"/>
        </w:rPr>
        <w:t xml:space="preserve">\n###</w:t>
      </w:r>
      <w:r>
        <w:t xml:space="preserve">作为优先分隔符。嵌入模型建议选择BGE-M3（智源研究院）或Qwen3-Embedding（阿里巴巴），两者在中文场景下均表现优异</w:t>
      </w:r>
      <w:r>
        <w:t xml:space="preserve"> </w:t>
      </w:r>
      <w:r>
        <w:rPr>
          <w:vertAlign w:val="superscript"/>
        </w:rPr>
        <w:footnoteReference w:id="128"/>
      </w:r>
      <w:r>
        <w:t xml:space="preserve">。向量数据库更新采用增量diff策略：通过checksum检测内容变化，仅对变更的chunk进行重新嵌入和索引更新，避免全量重建的昂贵开销。</w:t>
      </w:r>
    </w:p>
    <w:bookmarkEnd w:id="80"/>
    <w:bookmarkStart w:id="81" w:name="图文内容保留策略图片外链存储表格完整性校验版本控制"/>
    <w:p>
      <w:pPr>
        <w:pStyle w:val="Heading4"/>
      </w:pPr>
      <w:r>
        <w:t xml:space="preserve">4.2.3 图文内容保留策略：图片外链存储、表格完整性校验、版本控制</w:t>
      </w:r>
    </w:p>
    <w:p>
      <w:pPr>
        <w:pStyle w:val="FirstParagraph"/>
      </w:pPr>
      <w:r>
        <w:t xml:space="preserve">SOP文档中的图片（设备照片、操作流程截图、安全标识）和表格（参数对照表、检查清单）是核心信息载体。格式转换中对这些元素的处理策略直接影响RAG系统的检索质量和最终回答的可用性。</w:t>
      </w:r>
    </w:p>
    <w:p>
      <w:pPr>
        <w:pStyle w:val="BodyText"/>
      </w:pPr>
      <w:r>
        <w:rPr>
          <w:bCs/>
          <w:b/>
        </w:rPr>
        <w:t xml:space="preserve">图片处理策略。</w:t>
      </w:r>
      <w:r>
        <w:t xml:space="preserve"> </w:t>
      </w:r>
      <w:r>
        <w:t xml:space="preserve">飞书导出的Markdown中，图片以URL链接形式保留（</w:t>
      </w:r>
      <w:r>
        <w:rPr>
          <w:rStyle w:val="VerbatimChar"/>
        </w:rPr>
        <w:t xml:space="preserve">![alt](https://feishu.cn/...)</w:t>
      </w:r>
      <w:r>
        <w:t xml:space="preserve">）。在RAG管道中有三种处理方式：方式一（推荐），使用外部URL引用，确保图片可独立更新和缓存，适用于图片变更频率低的归档型SOP；方式二，下载图片到本地</w:t>
      </w:r>
      <w:r>
        <w:rPr>
          <w:rStyle w:val="VerbatimChar"/>
        </w:rPr>
        <w:t xml:space="preserve">assets/</w:t>
      </w:r>
      <w:r>
        <w:t xml:space="preserve">目录并使用相对路径引用（</w:t>
      </w:r>
      <w:r>
        <w:rPr>
          <w:rStyle w:val="VerbatimChar"/>
        </w:rPr>
        <w:t xml:space="preserve">![alt](./assets/photo.png)</w:t>
      </w:r>
      <w:r>
        <w:t xml:space="preserve">），便于版本控制和离线访问</w:t>
      </w:r>
      <w:r>
        <w:t xml:space="preserve"> </w:t>
      </w:r>
      <w:r>
        <w:rPr>
          <w:vertAlign w:val="superscript"/>
        </w:rPr>
        <w:footnoteReference w:id="129"/>
      </w:r>
      <w:r>
        <w:t xml:space="preserve">；方式三，使用多模态RAG直接处理图片——随着text-image fusion策略的成熟（UniDoc-Bench验证最优，得分0.654）和Qwen3-VL-Embedding等模型的进步，SOP中的图片不再需要单独提取和手动标注描述，整页视觉理解技术使得图文并茂的SOP可以直接被AI理解和检索。</w:t>
      </w:r>
    </w:p>
    <w:p>
      <w:pPr>
        <w:pStyle w:val="BodyText"/>
      </w:pPr>
      <w:r>
        <w:rPr>
          <w:bCs/>
          <w:b/>
        </w:rPr>
        <w:t xml:space="preserve">表格完整性校验。</w:t>
      </w:r>
      <w:r>
        <w:t xml:space="preserve"> </w:t>
      </w:r>
      <w:r>
        <w:t xml:space="preserve">表格是转换中最容易丢失结构的元素。建议在转换管道中增加专门的表格校验模块：提取Markdown表格的行列数，与原始飞书文档的表格结构进行对比；对关键业务表格（如参数对照表、检查清单），使用Docling的TableFormer模型进行交叉验证（97.9%单元格准确率）</w:t>
      </w:r>
      <w:fldSimple w:instr="NOTEREF _Ref_Footnote_12 \h \f">
        <w:r>
          <w:rPr>
            <w:vertAlign w:val="superscript"/>
          </w:rPr>
          <w:t>12</w:t>
        </w:r>
      </w:fldSimple>
      <w:r>
        <w:t xml:space="preserve">；对校验不通过的表格触发人工审核工单。</w:t>
      </w:r>
    </w:p>
    <w:p>
      <w:pPr>
        <w:pStyle w:val="BodyText"/>
      </w:pPr>
      <w:r>
        <w:rPr>
          <w:bCs/>
          <w:b/>
        </w:rPr>
        <w:t xml:space="preserve">版本控制与回滚。</w:t>
      </w:r>
      <w:r>
        <w:t xml:space="preserve"> </w:t>
      </w:r>
      <w:r>
        <w:t xml:space="preserve">基于Git的版本控制系统为SOP文档提供了完整的变更追溯能力。每次飞书文档更新触发转换后，生成一个新的Git commit，记录变更摘要和转换质量评分。当检测到转换质量下降（如质量分数&lt;0.9）时，自动触发告警并回滚到上一个稳定版本</w:t>
      </w:r>
      <w:r>
        <w:t xml:space="preserve"> </w:t>
      </w:r>
      <w:fldSimple w:instr="NOTEREF _Ref_Footnote_126 \h \f">
        <w:r>
          <w:rPr>
            <w:vertAlign w:val="superscript"/>
          </w:rPr>
          <w:t>126</w:t>
        </w:r>
      </w:fldSimple>
      <w:r>
        <w:t xml:space="preserve">。详细的审计日志可减少50%的数据损坏风险</w:t>
      </w:r>
      <w:r>
        <w:t xml:space="preserve"> </w:t>
      </w:r>
      <w:fldSimple w:instr="NOTEREF _Ref_Footnote_126 \h \f">
        <w:r>
          <w:rPr>
            <w:vertAlign w:val="superscript"/>
          </w:rPr>
          <w:t>126</w:t>
        </w:r>
      </w:fldSimple>
      <w:r>
        <w:t xml:space="preserve">。</w:t>
      </w:r>
    </w:p>
    <w:p>
      <w:pPr>
        <w:pStyle w:val="BodyText"/>
      </w:pPr>
      <w:r>
        <w:t xml:space="preserve">表4-1汇总了五大主流转换工具的功能矩阵与许可证对比。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Docling (IBM)</w:t>
            </w:r>
          </w:p>
        </w:tc>
        <w:tc>
          <w:tcPr/>
          <w:p>
            <w:pPr>
              <w:pStyle w:val="Compact"/>
              <w:jc w:val="left"/>
            </w:pPr>
            <w:r>
              <w:t xml:space="preserve">MarkItDown (Microsoft)</w:t>
            </w:r>
          </w:p>
        </w:tc>
        <w:tc>
          <w:tcPr/>
          <w:p>
            <w:pPr>
              <w:pStyle w:val="Compact"/>
              <w:jc w:val="left"/>
            </w:pPr>
            <w:r>
              <w:t xml:space="preserve">Marker-PDF (Datalab)</w:t>
            </w:r>
          </w:p>
        </w:tc>
        <w:tc>
          <w:tcPr/>
          <w:p>
            <w:pPr>
              <w:pStyle w:val="Compact"/>
              <w:jc w:val="left"/>
            </w:pPr>
            <w:r>
              <w:t xml:space="preserve">MinerU 2.5-Pro (上海AI Lab)</w:t>
            </w:r>
          </w:p>
        </w:tc>
        <w:tc>
          <w:tcPr/>
          <w:p>
            <w:pPr>
              <w:pStyle w:val="Compact"/>
              <w:jc w:val="left"/>
            </w:pPr>
            <w:r>
              <w:t xml:space="preserve">OpenDataLoader v2.0 (Hancom)</w:t>
            </w:r>
          </w:p>
        </w:tc>
      </w:tr>
      <w:tr>
        <w:tc>
          <w:tcPr/>
          <w:p>
            <w:pPr>
              <w:pStyle w:val="Compact"/>
              <w:jc w:val="left"/>
            </w:pPr>
            <w:r>
              <w:t xml:space="preserve">GitHub Stars</w:t>
            </w:r>
          </w:p>
        </w:tc>
        <w:tc>
          <w:tcPr/>
          <w:p>
            <w:pPr>
              <w:pStyle w:val="Compact"/>
              <w:jc w:val="left"/>
            </w:pPr>
            <w:r>
              <w:t xml:space="preserve">37,000+</w:t>
            </w:r>
            <w:r>
              <w:t xml:space="preserve"> </w:t>
            </w:r>
            <w:fldSimple w:instr="NOTEREF _Ref_Footnote_95 \h \f">
              <w:r>
                <w:rPr>
                  <w:vertAlign w:val="superscript"/>
                </w:rPr>
                <w:t>95</w:t>
              </w:r>
            </w:fldSimple>
          </w:p>
        </w:tc>
        <w:tc>
          <w:tcPr/>
          <w:p>
            <w:pPr>
              <w:pStyle w:val="Compact"/>
              <w:jc w:val="left"/>
            </w:pPr>
            <w:r>
              <w:t xml:space="preserve">139,000+</w:t>
            </w:r>
            <w:r>
              <w:t xml:space="preserve"> </w:t>
            </w:r>
            <w:fldSimple w:instr="NOTEREF _Ref_Footnote_11 \h \f">
              <w:r>
                <w:rPr>
                  <w:vertAlign w:val="superscript"/>
                </w:rPr>
                <w:t>11</w:t>
              </w:r>
            </w:fldSimple>
          </w:p>
        </w:tc>
        <w:tc>
          <w:tcPr/>
          <w:p>
            <w:pPr>
              <w:pStyle w:val="Compact"/>
              <w:jc w:val="left"/>
            </w:pPr>
            <w:r>
              <w:t xml:space="preserve">19,000+</w:t>
            </w:r>
            <w:r>
              <w:t xml:space="preserve"> </w:t>
            </w:r>
            <w:fldSimple w:instr="NOTEREF _Ref_Footnote_112 \h \f">
              <w:r>
                <w:rPr>
                  <w:vertAlign w:val="superscript"/>
                </w:rPr>
                <w:t>112</w:t>
              </w:r>
            </w:fldSimple>
          </w:p>
        </w:tc>
        <w:tc>
          <w:tcPr/>
          <w:p>
            <w:pPr>
              <w:pStyle w:val="Compact"/>
              <w:jc w:val="left"/>
            </w:pPr>
            <w:r>
              <w:t xml:space="preserve">24,000+</w:t>
            </w:r>
            <w:r>
              <w:t xml:space="preserve"> </w:t>
            </w:r>
            <w:fldSimple w:instr="NOTEREF _Ref_Footnote_119 \h \f">
              <w:r>
                <w:rPr>
                  <w:vertAlign w:val="superscript"/>
                </w:rPr>
                <w:t>119</w:t>
              </w:r>
            </w:fldSimple>
          </w:p>
        </w:tc>
        <w:tc>
          <w:tcPr/>
          <w:p>
            <w:pPr>
              <w:pStyle w:val="Compact"/>
              <w:jc w:val="left"/>
            </w:pPr>
            <w:r>
              <w:t xml:space="preserve">21,000+</w:t>
            </w:r>
            <w:r>
              <w:t xml:space="preserve"> </w:t>
            </w:r>
            <w:r>
              <w:rPr>
                <w:vertAlign w:val="superscript"/>
              </w:rPr>
              <w:footnoteReference w:id="130"/>
            </w:r>
          </w:p>
        </w:tc>
      </w:tr>
      <w:tr>
        <w:tc>
          <w:tcPr/>
          <w:p>
            <w:pPr>
              <w:pStyle w:val="Compact"/>
              <w:jc w:val="left"/>
            </w:pPr>
            <w:r>
              <w:t xml:space="preserve">代码许可证</w:t>
            </w:r>
          </w:p>
        </w:tc>
        <w:tc>
          <w:tcPr/>
          <w:p>
            <w:pPr>
              <w:pStyle w:val="Compact"/>
              <w:jc w:val="left"/>
            </w:pPr>
            <w:r>
              <w:t xml:space="preserve">MIT</w:t>
            </w:r>
            <w:r>
              <w:t xml:space="preserve"> </w:t>
            </w:r>
            <w:fldSimple w:instr="NOTEREF _Ref_Footnote_111 \h \f">
              <w:r>
                <w:rPr>
                  <w:vertAlign w:val="superscript"/>
                </w:rPr>
                <w:t>111</w:t>
              </w:r>
            </w:fldSimple>
          </w:p>
        </w:tc>
        <w:tc>
          <w:tcPr/>
          <w:p>
            <w:pPr>
              <w:pStyle w:val="Compact"/>
              <w:jc w:val="left"/>
            </w:pPr>
            <w:r>
              <w:t xml:space="preserve">MIT</w:t>
            </w:r>
            <w:r>
              <w:t xml:space="preserve"> </w:t>
            </w:r>
            <w:fldSimple w:instr="NOTEREF _Ref_Footnote_11 \h \f">
              <w:r>
                <w:rPr>
                  <w:vertAlign w:val="superscript"/>
                </w:rPr>
                <w:t>11</w:t>
              </w:r>
            </w:fldSimple>
          </w:p>
        </w:tc>
        <w:tc>
          <w:tcPr/>
          <w:p>
            <w:pPr>
              <w:pStyle w:val="Compact"/>
              <w:jc w:val="left"/>
            </w:pPr>
            <w:r>
              <w:t xml:space="preserve">GPL-3.0</w:t>
            </w:r>
            <w:r>
              <w:t xml:space="preserve"> </w:t>
            </w:r>
            <w:fldSimple w:instr="NOTEREF _Ref_Footnote_115 \h \f">
              <w:r>
                <w:rPr>
                  <w:vertAlign w:val="superscript"/>
                </w:rPr>
                <w:t>115</w:t>
              </w:r>
            </w:fldSimple>
          </w:p>
        </w:tc>
        <w:tc>
          <w:tcPr/>
          <w:p>
            <w:pPr>
              <w:pStyle w:val="Compact"/>
              <w:jc w:val="left"/>
            </w:pPr>
            <w:r>
              <w:t xml:space="preserve">AGPL-3.0</w:t>
            </w:r>
            <w:r>
              <w:t xml:space="preserve"> </w:t>
            </w:r>
            <w:fldSimple w:instr="NOTEREF _Ref_Footnote_119 \h \f">
              <w:r>
                <w:rPr>
                  <w:vertAlign w:val="superscript"/>
                </w:rPr>
                <w:t>119</w:t>
              </w:r>
            </w:fldSimple>
          </w:p>
        </w:tc>
        <w:tc>
          <w:tcPr/>
          <w:p>
            <w:pPr>
              <w:pStyle w:val="Compact"/>
              <w:jc w:val="left"/>
            </w:pPr>
            <w:r>
              <w:t xml:space="preserve">Apache 2.0</w:t>
            </w:r>
            <w:r>
              <w:t xml:space="preserve"> </w:t>
            </w:r>
            <w:r>
              <w:rPr>
                <w:vertAlign w:val="superscript"/>
              </w:rPr>
              <w:footnoteReference w:id="131"/>
            </w:r>
          </w:p>
        </w:tc>
      </w:tr>
      <w:tr>
        <w:tc>
          <w:tcPr/>
          <w:p>
            <w:pPr>
              <w:pStyle w:val="Compact"/>
              <w:jc w:val="left"/>
            </w:pPr>
            <w:r>
              <w:t xml:space="preserve">模型权重许可证</w:t>
            </w:r>
          </w:p>
        </w:tc>
        <w:tc>
          <w:tcPr/>
          <w:p>
            <w:pPr>
              <w:pStyle w:val="Compact"/>
              <w:jc w:val="left"/>
            </w:pPr>
            <w:r>
              <w:t xml:space="preserve">MIT</w:t>
            </w:r>
          </w:p>
        </w:tc>
        <w:tc>
          <w:tcPr/>
          <w:p>
            <w:pPr>
              <w:pStyle w:val="Compact"/>
              <w:jc w:val="left"/>
            </w:pPr>
            <w:r>
              <w:t xml:space="preserve">N/A</w:t>
            </w:r>
          </w:p>
        </w:tc>
        <w:tc>
          <w:tcPr/>
          <w:p>
            <w:pPr>
              <w:pStyle w:val="Compact"/>
              <w:jc w:val="left"/>
            </w:pPr>
            <w:r>
              <w:t xml:space="preserve">CC-BY-NC-SA 4.0</w:t>
            </w:r>
            <w:r>
              <w:t xml:space="preserve"> </w:t>
            </w:r>
            <w:fldSimple w:instr="NOTEREF _Ref_Footnote_115 \h \f">
              <w:r>
                <w:rPr>
                  <w:vertAlign w:val="superscript"/>
                </w:rPr>
                <w:t>115</w:t>
              </w:r>
            </w:fldSimple>
          </w:p>
        </w:tc>
        <w:tc>
          <w:tcPr/>
          <w:p>
            <w:pPr>
              <w:pStyle w:val="Compact"/>
              <w:jc w:val="left"/>
            </w:pPr>
            <w:r>
              <w:t xml:space="preserve">自定义</w:t>
            </w:r>
          </w:p>
        </w:tc>
        <w:tc>
          <w:tcPr/>
          <w:p>
            <w:pPr>
              <w:pStyle w:val="Compact"/>
              <w:jc w:val="left"/>
            </w:pPr>
            <w:r>
              <w:t xml:space="preserve">Apache 2.0</w:t>
            </w:r>
          </w:p>
        </w:tc>
      </w:tr>
      <w:tr>
        <w:tc>
          <w:tcPr/>
          <w:p>
            <w:pPr>
              <w:pStyle w:val="Compact"/>
              <w:jc w:val="left"/>
            </w:pPr>
            <w:r>
              <w:t xml:space="preserve">商业使用限制</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收入&lt;$2M免费</w:t>
            </w:r>
            <w:r>
              <w:t xml:space="preserve"> </w:t>
            </w:r>
            <w:fldSimple w:instr="NOTEREF _Ref_Footnote_115 \h \f">
              <w:r>
                <w:rPr>
                  <w:vertAlign w:val="superscript"/>
                </w:rPr>
                <w:t>115</w:t>
              </w:r>
            </w:fldSimple>
          </w:p>
        </w:tc>
        <w:tc>
          <w:tcPr/>
          <w:p>
            <w:pPr>
              <w:pStyle w:val="Compact"/>
              <w:jc w:val="left"/>
            </w:pPr>
            <w:r>
              <w:t xml:space="preserve">需遵守AGPL</w:t>
            </w:r>
          </w:p>
        </w:tc>
        <w:tc>
          <w:tcPr/>
          <w:p>
            <w:pPr>
              <w:pStyle w:val="Compact"/>
              <w:jc w:val="left"/>
            </w:pPr>
            <w:r>
              <w:t xml:space="preserve">无</w:t>
            </w:r>
          </w:p>
        </w:tc>
      </w:tr>
      <w:tr>
        <w:tc>
          <w:tcPr/>
          <w:p>
            <w:pPr>
              <w:pStyle w:val="Compact"/>
              <w:jc w:val="left"/>
            </w:pPr>
            <w:r>
              <w:t xml:space="preserve">表格单元格准确率</w:t>
            </w:r>
          </w:p>
        </w:tc>
        <w:tc>
          <w:tcPr/>
          <w:p>
            <w:pPr>
              <w:pStyle w:val="Compact"/>
              <w:jc w:val="left"/>
            </w:pPr>
            <w:r>
              <w:rPr>
                <w:bCs/>
                <w:b/>
              </w:rPr>
              <w:t xml:space="preserve">97.9%</w:t>
            </w:r>
            <w:r>
              <w:t xml:space="preserve"> </w:t>
            </w:r>
            <w:fldSimple w:instr="NOTEREF _Ref_Footnote_12 \h \f">
              <w:r>
                <w:rPr>
                  <w:vertAlign w:val="superscript"/>
                </w:rPr>
                <w:t>12</w:t>
              </w:r>
            </w:fldSimple>
          </w:p>
        </w:tc>
        <w:tc>
          <w:tcPr/>
          <w:p>
            <w:pPr>
              <w:pStyle w:val="Compact"/>
              <w:jc w:val="left"/>
            </w:pPr>
            <w:r>
              <w:t xml:space="preserve">~82% F1</w:t>
            </w:r>
            <w:r>
              <w:t xml:space="preserve"> </w:t>
            </w:r>
            <w:fldSimple w:instr="NOTEREF _Ref_Footnote_11 \h \f">
              <w:r>
                <w:rPr>
                  <w:vertAlign w:val="superscript"/>
                </w:rPr>
                <w:t>11</w:t>
              </w:r>
            </w:fldSimple>
          </w:p>
        </w:tc>
        <w:tc>
          <w:tcPr/>
          <w:p>
            <w:pPr>
              <w:pStyle w:val="Compact"/>
              <w:jc w:val="left"/>
            </w:pPr>
            <w:r>
              <w:t xml:space="preserve">~85%</w:t>
            </w:r>
            <w:r>
              <w:t xml:space="preserve"> </w:t>
            </w:r>
            <w:fldSimple w:instr="NOTEREF _Ref_Footnote_12 \h \f">
              <w:r>
                <w:rPr>
                  <w:vertAlign w:val="superscript"/>
                </w:rPr>
                <w:t>12</w:t>
              </w:r>
            </w:fldSimple>
          </w:p>
        </w:tc>
        <w:tc>
          <w:tcPr/>
          <w:p>
            <w:pPr>
              <w:pStyle w:val="Compact"/>
              <w:jc w:val="left"/>
            </w:pPr>
            <w:r>
              <w:t xml:space="preserve">91.1% TEDS</w:t>
            </w:r>
            <w:r>
              <w:t xml:space="preserve"> </w:t>
            </w:r>
            <w:r>
              <w:rPr>
                <w:vertAlign w:val="superscript"/>
              </w:rPr>
              <w:footnoteReference w:id="132"/>
            </w:r>
          </w:p>
        </w:tc>
        <w:tc>
          <w:tcPr/>
          <w:p>
            <w:pPr>
              <w:pStyle w:val="Compact"/>
              <w:jc w:val="left"/>
            </w:pPr>
            <w:r>
              <w:t xml:space="preserve">92.8%</w:t>
            </w:r>
            <w:r>
              <w:t xml:space="preserve"> </w:t>
            </w:r>
            <w:fldSimple w:instr="NOTEREF _Ref_Footnote_98 \h \f">
              <w:r>
                <w:rPr>
                  <w:vertAlign w:val="superscript"/>
                </w:rPr>
                <w:t>98</w:t>
              </w:r>
            </w:fldSimple>
          </w:p>
        </w:tc>
      </w:tr>
      <w:tr>
        <w:tc>
          <w:tcPr/>
          <w:p>
            <w:pPr>
              <w:pStyle w:val="Compact"/>
              <w:jc w:val="left"/>
            </w:pPr>
            <w:r>
              <w:t xml:space="preserve">综合基准评分</w:t>
            </w:r>
          </w:p>
        </w:tc>
        <w:tc>
          <w:tcPr/>
          <w:p>
            <w:pPr>
              <w:pStyle w:val="Compact"/>
              <w:jc w:val="left"/>
            </w:pPr>
            <w:r>
              <w:t xml:space="preserve">0.882 ODB</w:t>
            </w:r>
            <w:r>
              <w:t xml:space="preserve"> </w:t>
            </w:r>
            <w:fldSimple w:instr="NOTEREF _Ref_Footnote_103 \h \f">
              <w:r>
                <w:rPr>
                  <w:vertAlign w:val="superscript"/>
                </w:rPr>
                <w:t>103</w:t>
              </w:r>
            </w:fldSimple>
          </w:p>
        </w:tc>
        <w:tc>
          <w:tcPr/>
          <w:p>
            <w:pPr>
              <w:pStyle w:val="Compact"/>
              <w:jc w:val="left"/>
            </w:pPr>
            <w:r>
              <w:t xml:space="preserve">0.589 ODB</w:t>
            </w:r>
            <w:r>
              <w:t xml:space="preserve"> </w:t>
            </w:r>
            <w:fldSimple w:instr="NOTEREF _Ref_Footnote_101 \h \f">
              <w:r>
                <w:rPr>
                  <w:vertAlign w:val="superscript"/>
                </w:rPr>
                <w:t>101</w:t>
              </w:r>
            </w:fldSimple>
          </w:p>
        </w:tc>
        <w:tc>
          <w:tcPr/>
          <w:p>
            <w:pPr>
              <w:pStyle w:val="Compact"/>
              <w:jc w:val="left"/>
            </w:pPr>
            <w:r>
              <w:t xml:space="preserve">95.67 启发式</w:t>
            </w:r>
            <w:r>
              <w:t xml:space="preserve"> </w:t>
            </w:r>
            <w:fldSimple w:instr="NOTEREF _Ref_Footnote_113 \h \f">
              <w:r>
                <w:rPr>
                  <w:vertAlign w:val="superscript"/>
                </w:rPr>
                <w:t>113</w:t>
              </w:r>
            </w:fldSimple>
          </w:p>
        </w:tc>
        <w:tc>
          <w:tcPr/>
          <w:p>
            <w:pPr>
              <w:pStyle w:val="Compact"/>
              <w:jc w:val="left"/>
            </w:pPr>
            <w:r>
              <w:rPr>
                <w:bCs/>
                <w:b/>
              </w:rPr>
              <w:t xml:space="preserve">95.69</w:t>
            </w:r>
            <w:r>
              <w:t xml:space="preserve"> </w:t>
            </w:r>
            <w:r>
              <w:t xml:space="preserve">ODB v1.6</w:t>
            </w:r>
            <w:r>
              <w:t xml:space="preserve"> </w:t>
            </w:r>
            <w:fldSimple w:instr="NOTEREF _Ref_Footnote_118 \h \f">
              <w:r>
                <w:rPr>
                  <w:vertAlign w:val="superscript"/>
                </w:rPr>
                <w:t>118</w:t>
              </w:r>
            </w:fldSimple>
          </w:p>
        </w:tc>
        <w:tc>
          <w:tcPr/>
          <w:p>
            <w:pPr>
              <w:pStyle w:val="Compact"/>
              <w:jc w:val="left"/>
            </w:pPr>
            <w:r>
              <w:rPr>
                <w:bCs/>
                <w:b/>
              </w:rPr>
              <w:t xml:space="preserve">0.907</w:t>
            </w:r>
            <w:r>
              <w:t xml:space="preserve"> </w:t>
            </w:r>
            <w:r>
              <w:t xml:space="preserve">ODLB</w:t>
            </w:r>
            <w:r>
              <w:t xml:space="preserve"> </w:t>
            </w:r>
            <w:fldSimple w:instr="NOTEREF _Ref_Footnote_98 \h \f">
              <w:r>
                <w:rPr>
                  <w:vertAlign w:val="superscript"/>
                </w:rPr>
                <w:t>98</w:t>
              </w:r>
            </w:fldSimple>
          </w:p>
        </w:tc>
      </w:tr>
      <w:tr>
        <w:tc>
          <w:tcPr/>
          <w:p>
            <w:pPr>
              <w:pStyle w:val="Compact"/>
              <w:jc w:val="left"/>
            </w:pPr>
            <w:r>
              <w:t xml:space="preserve">GPU处理速度</w:t>
            </w:r>
          </w:p>
        </w:tc>
        <w:tc>
          <w:tcPr/>
          <w:p>
            <w:pPr>
              <w:pStyle w:val="Compact"/>
              <w:jc w:val="left"/>
            </w:pPr>
            <w:r>
              <w:t xml:space="preserve">0.49s/页 (L4)</w:t>
            </w:r>
            <w:r>
              <w:t xml:space="preserve"> </w:t>
            </w:r>
            <w:fldSimple w:instr="NOTEREF _Ref_Footnote_78 \h \f">
              <w:r>
                <w:rPr>
                  <w:vertAlign w:val="superscript"/>
                </w:rPr>
                <w:t>78</w:t>
              </w:r>
            </w:fldSimple>
          </w:p>
        </w:tc>
        <w:tc>
          <w:tcPr/>
          <w:p>
            <w:pPr>
              <w:pStyle w:val="Compact"/>
              <w:jc w:val="left"/>
            </w:pPr>
            <w:r>
              <w:t xml:space="preserve">0.12s/页 (CPU)</w:t>
            </w:r>
            <w:r>
              <w:t xml:space="preserve"> </w:t>
            </w:r>
            <w:fldSimple w:instr="NOTEREF _Ref_Footnote_11 \h \f">
              <w:r>
                <w:rPr>
                  <w:vertAlign w:val="superscript"/>
                </w:rPr>
                <w:t>11</w:t>
              </w:r>
            </w:fldSimple>
          </w:p>
        </w:tc>
        <w:tc>
          <w:tcPr/>
          <w:p>
            <w:pPr>
              <w:pStyle w:val="Compact"/>
              <w:jc w:val="left"/>
            </w:pPr>
            <w:r>
              <w:t xml:space="preserve">~0.04s/页 (H100)</w:t>
            </w:r>
            <w:r>
              <w:t xml:space="preserve"> </w:t>
            </w:r>
            <w:fldSimple w:instr="NOTEREF _Ref_Footnote_112 \h \f">
              <w:r>
                <w:rPr>
                  <w:vertAlign w:val="superscript"/>
                </w:rPr>
                <w:t>112</w:t>
              </w:r>
            </w:fldSimple>
          </w:p>
        </w:tc>
        <w:tc>
          <w:tcPr/>
          <w:p>
            <w:pPr>
              <w:pStyle w:val="Compact"/>
              <w:jc w:val="left"/>
            </w:pPr>
            <w:r>
              <w:t xml:space="preserve">0.21s/页 (L4)</w:t>
            </w:r>
            <w:r>
              <w:t xml:space="preserve"> </w:t>
            </w:r>
            <w:fldSimple w:instr="NOTEREF _Ref_Footnote_78 \h \f">
              <w:r>
                <w:rPr>
                  <w:vertAlign w:val="superscript"/>
                </w:rPr>
                <w:t>78</w:t>
              </w:r>
            </w:fldSimple>
          </w:p>
        </w:tc>
        <w:tc>
          <w:tcPr/>
          <w:p>
            <w:pPr>
              <w:pStyle w:val="Compact"/>
              <w:jc w:val="left"/>
            </w:pPr>
            <w:r>
              <w:t xml:space="preserve">0.015s/页 (CPU)</w:t>
            </w:r>
            <w:r>
              <w:t xml:space="preserve"> </w:t>
            </w:r>
            <w:r>
              <w:rPr>
                <w:vertAlign w:val="superscript"/>
              </w:rPr>
              <w:footnoteReference w:id="133"/>
            </w:r>
          </w:p>
        </w:tc>
      </w:tr>
      <w:tr>
        <w:tc>
          <w:tcPr/>
          <w:p>
            <w:pPr>
              <w:pStyle w:val="Compact"/>
              <w:jc w:val="left"/>
            </w:pPr>
            <w:r>
              <w:t xml:space="preserve">支持源格式数</w:t>
            </w:r>
          </w:p>
        </w:tc>
        <w:tc>
          <w:tcPr/>
          <w:p>
            <w:pPr>
              <w:pStyle w:val="Compact"/>
              <w:jc w:val="left"/>
            </w:pPr>
            <w:r>
              <w:t xml:space="preserve">10+</w:t>
            </w:r>
            <w:r>
              <w:t xml:space="preserve"> </w:t>
            </w:r>
            <w:fldSimple w:instr="NOTEREF _Ref_Footnote_108 \h \f">
              <w:r>
                <w:rPr>
                  <w:vertAlign w:val="superscript"/>
                </w:rPr>
                <w:t>108</w:t>
              </w:r>
            </w:fldSimple>
          </w:p>
        </w:tc>
        <w:tc>
          <w:tcPr/>
          <w:p>
            <w:pPr>
              <w:pStyle w:val="Compact"/>
              <w:jc w:val="left"/>
            </w:pPr>
            <w:r>
              <w:t xml:space="preserve">15+</w:t>
            </w:r>
            <w:r>
              <w:t xml:space="preserve"> </w:t>
            </w:r>
            <w:fldSimple w:instr="NOTEREF _Ref_Footnote_99 \h \f">
              <w:r>
                <w:rPr>
                  <w:vertAlign w:val="superscript"/>
                </w:rPr>
                <w:t>99</w:t>
              </w:r>
            </w:fldSimple>
          </w:p>
        </w:tc>
        <w:tc>
          <w:tcPr/>
          <w:p>
            <w:pPr>
              <w:pStyle w:val="Compact"/>
              <w:jc w:val="left"/>
            </w:pPr>
            <w:r>
              <w:t xml:space="preserve">10+</w:t>
            </w:r>
            <w:r>
              <w:t xml:space="preserve"> </w:t>
            </w:r>
            <w:fldSimple w:instr="NOTEREF _Ref_Footnote_115 \h \f">
              <w:r>
                <w:rPr>
                  <w:vertAlign w:val="superscript"/>
                </w:rPr>
                <w:t>115</w:t>
              </w:r>
            </w:fldSimple>
          </w:p>
        </w:tc>
        <w:tc>
          <w:tcPr/>
          <w:p>
            <w:pPr>
              <w:pStyle w:val="Compact"/>
              <w:jc w:val="left"/>
            </w:pPr>
            <w:r>
              <w:t xml:space="preserve">3 (PDF/DOCX/PPTX)</w:t>
            </w:r>
            <w:r>
              <w:t xml:space="preserve"> </w:t>
            </w:r>
            <w:fldSimple w:instr="NOTEREF _Ref_Footnote_119 \h \f">
              <w:r>
                <w:rPr>
                  <w:vertAlign w:val="superscript"/>
                </w:rPr>
                <w:t>119</w:t>
              </w:r>
            </w:fldSimple>
          </w:p>
        </w:tc>
        <w:tc>
          <w:tcPr/>
          <w:p>
            <w:pPr>
              <w:pStyle w:val="Compact"/>
              <w:jc w:val="left"/>
            </w:pPr>
            <w:r>
              <w:t xml:space="preserve">1 (PDF)</w:t>
            </w:r>
            <w:r>
              <w:t xml:space="preserve"> </w:t>
            </w:r>
            <w:fldSimple w:instr="NOTEREF _Ref_Footnote_98 \h \f">
              <w:r>
                <w:rPr>
                  <w:vertAlign w:val="superscript"/>
                </w:rPr>
                <w:t>98</w:t>
              </w:r>
            </w:fldSimple>
          </w:p>
        </w:tc>
      </w:tr>
      <w:tr>
        <w:tc>
          <w:tcPr/>
          <w:p>
            <w:pPr>
              <w:pStyle w:val="Compact"/>
              <w:jc w:val="left"/>
            </w:pPr>
            <w:r>
              <w:t xml:space="preserve">MCP Server</w:t>
            </w:r>
          </w:p>
        </w:tc>
        <w:tc>
          <w:tcPr/>
          <w:p>
            <w:pPr>
              <w:pStyle w:val="Compact"/>
              <w:jc w:val="left"/>
            </w:pPr>
            <w:r>
              <w:t xml:space="preserve">✅</w:t>
            </w:r>
            <w:r>
              <w:t xml:space="preserve"> </w:t>
            </w:r>
            <w:fldSimple w:instr="NOTEREF _Ref_Footnote_108 \h \f">
              <w:r>
                <w:rPr>
                  <w:vertAlign w:val="superscript"/>
                </w:rPr>
                <w:t>108</w:t>
              </w:r>
            </w:fldSimple>
          </w:p>
        </w:tc>
        <w:tc>
          <w:tcPr/>
          <w:p>
            <w:pPr>
              <w:pStyle w:val="Compact"/>
              <w:jc w:val="left"/>
            </w:pPr>
            <w:r>
              <w:t xml:space="preserve">✅</w:t>
            </w:r>
            <w:r>
              <w:t xml:space="preserve"> </w:t>
            </w:r>
            <w:fldSimple w:instr="NOTEREF _Ref_Footnote_11 \h \f">
              <w:r>
                <w:rPr>
                  <w:vertAlign w:val="superscript"/>
                </w:rPr>
                <w:t>11</w:t>
              </w:r>
            </w:fldSimple>
          </w:p>
        </w:tc>
        <w:tc>
          <w:tcPr/>
          <w:p>
            <w:pPr>
              <w:pStyle w:val="Compact"/>
              <w:jc w:val="left"/>
            </w:pPr>
            <w:r>
              <w:t xml:space="preserve">❌</w:t>
            </w:r>
          </w:p>
        </w:tc>
        <w:tc>
          <w:tcPr/>
          <w:p>
            <w:pPr>
              <w:pStyle w:val="Compact"/>
              <w:jc w:val="left"/>
            </w:pPr>
            <w:r>
              <w:t xml:space="preserve">✅</w:t>
            </w:r>
            <w:r>
              <w:t xml:space="preserve"> </w:t>
            </w:r>
            <w:fldSimple w:instr="NOTEREF _Ref_Footnote_123 \h \f">
              <w:r>
                <w:rPr>
                  <w:vertAlign w:val="superscript"/>
                </w:rPr>
                <w:t>123</w:t>
              </w:r>
            </w:fldSimple>
          </w:p>
        </w:tc>
        <w:tc>
          <w:tcPr/>
          <w:p>
            <w:pPr>
              <w:pStyle w:val="Compact"/>
              <w:jc w:val="left"/>
            </w:pPr>
            <w:r>
              <w:t xml:space="preserve">2026路线图</w:t>
            </w:r>
            <w:r>
              <w:t xml:space="preserve"> </w:t>
            </w:r>
            <w:r>
              <w:rPr>
                <w:vertAlign w:val="superscript"/>
              </w:rPr>
              <w:footnoteReference w:id="134"/>
            </w:r>
          </w:p>
        </w:tc>
      </w:tr>
      <w:tr>
        <w:tc>
          <w:tcPr/>
          <w:p>
            <w:pPr>
              <w:pStyle w:val="Compact"/>
              <w:jc w:val="left"/>
            </w:pPr>
            <w:r>
              <w:t xml:space="preserve">LangChain/LlamaIndex集成</w:t>
            </w:r>
          </w:p>
        </w:tc>
        <w:tc>
          <w:tcPr/>
          <w:p>
            <w:pPr>
              <w:pStyle w:val="Compact"/>
              <w:jc w:val="left"/>
            </w:pPr>
            <w:r>
              <w:t xml:space="preserve">原生</w:t>
            </w:r>
            <w:r>
              <w:t xml:space="preserve"> </w:t>
            </w:r>
            <w:fldSimple w:instr="NOTEREF _Ref_Footnote_108 \h \f">
              <w:r>
                <w:rPr>
                  <w:vertAlign w:val="superscript"/>
                </w:rPr>
                <w:t>108</w:t>
              </w:r>
            </w:fldSimple>
          </w:p>
        </w:tc>
        <w:tc>
          <w:tcPr/>
          <w:p>
            <w:pPr>
              <w:pStyle w:val="Compact"/>
              <w:jc w:val="left"/>
            </w:pPr>
            <w:r>
              <w:t xml:space="preserve">需手动</w:t>
            </w:r>
            <w:r>
              <w:t xml:space="preserve"> </w:t>
            </w:r>
            <w:fldSimple w:instr="NOTEREF _Ref_Footnote_11 \h \f">
              <w:r>
                <w:rPr>
                  <w:vertAlign w:val="superscript"/>
                </w:rPr>
                <w:t>11</w:t>
              </w:r>
            </w:fldSimple>
          </w:p>
        </w:tc>
        <w:tc>
          <w:tcPr/>
          <w:p>
            <w:pPr>
              <w:pStyle w:val="Compact"/>
              <w:jc w:val="left"/>
            </w:pPr>
            <w:r>
              <w:t xml:space="preserve">有限</w:t>
            </w:r>
            <w:r>
              <w:t xml:space="preserve"> </w:t>
            </w:r>
            <w:fldSimple w:instr="NOTEREF _Ref_Footnote_114 \h \f">
              <w:r>
                <w:rPr>
                  <w:vertAlign w:val="superscript"/>
                </w:rPr>
                <w:t>114</w:t>
              </w:r>
            </w:fldSimple>
          </w:p>
        </w:tc>
        <w:tc>
          <w:tcPr/>
          <w:p>
            <w:pPr>
              <w:pStyle w:val="Compact"/>
              <w:jc w:val="left"/>
            </w:pPr>
            <w:r>
              <w:t xml:space="preserve">原生</w:t>
            </w:r>
            <w:r>
              <w:t xml:space="preserve"> </w:t>
            </w:r>
            <w:fldSimple w:instr="NOTEREF _Ref_Footnote_119 \h \f">
              <w:r>
                <w:rPr>
                  <w:vertAlign w:val="superscript"/>
                </w:rPr>
                <w:t>119</w:t>
              </w:r>
            </w:fldSimple>
          </w:p>
        </w:tc>
        <w:tc>
          <w:tcPr/>
          <w:p>
            <w:pPr>
              <w:pStyle w:val="Compact"/>
              <w:jc w:val="left"/>
            </w:pPr>
            <w:r>
              <w:t xml:space="preserve">计划中</w:t>
            </w:r>
          </w:p>
        </w:tc>
      </w:tr>
      <w:tr>
        <w:tc>
          <w:tcPr/>
          <w:p>
            <w:pPr>
              <w:pStyle w:val="Compact"/>
              <w:jc w:val="left"/>
            </w:pPr>
            <w:r>
              <w:t xml:space="preserve">中文/CJK支持</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良好</w:t>
            </w:r>
          </w:p>
        </w:tc>
        <w:tc>
          <w:tcPr/>
          <w:p>
            <w:pPr>
              <w:pStyle w:val="Compact"/>
              <w:jc w:val="left"/>
            </w:pPr>
            <w:r>
              <w:rPr>
                <w:bCs/>
                <w:b/>
              </w:rPr>
              <w:t xml:space="preserve">最佳</w:t>
            </w:r>
            <w:r>
              <w:t xml:space="preserve"> </w:t>
            </w:r>
            <w:fldSimple w:instr="NOTEREF _Ref_Footnote_13 \h \f">
              <w:r>
                <w:rPr>
                  <w:vertAlign w:val="superscript"/>
                </w:rPr>
                <w:t>13</w:t>
              </w:r>
            </w:fldSimple>
          </w:p>
        </w:tc>
        <w:tc>
          <w:tcPr/>
          <w:p>
            <w:pPr>
              <w:pStyle w:val="Compact"/>
              <w:jc w:val="left"/>
            </w:pPr>
            <w:r>
              <w:t xml:space="preserve">良好</w:t>
            </w:r>
          </w:p>
        </w:tc>
      </w:tr>
      <w:tr>
        <w:tc>
          <w:tcPr/>
          <w:p>
            <w:pPr>
              <w:pStyle w:val="Compact"/>
              <w:jc w:val="left"/>
            </w:pPr>
            <w:r>
              <w:t xml:space="preserve">结构化中间格式</w:t>
            </w:r>
          </w:p>
        </w:tc>
        <w:tc>
          <w:tcPr/>
          <w:p>
            <w:pPr>
              <w:pStyle w:val="Compact"/>
              <w:jc w:val="left"/>
            </w:pPr>
            <w:r>
              <w:t xml:space="preserve">DoclingDocument JSON</w:t>
            </w:r>
            <w:r>
              <w:t xml:space="preserve"> </w:t>
            </w:r>
            <w:fldSimple w:instr="NOTEREF _Ref_Footnote_104 \h \f">
              <w:r>
                <w:rPr>
                  <w:vertAlign w:val="superscript"/>
                </w:rPr>
                <w:t>104</w:t>
              </w:r>
            </w:fldSimple>
          </w:p>
        </w:tc>
        <w:tc>
          <w:tcPr/>
          <w:p>
            <w:pPr>
              <w:pStyle w:val="Compact"/>
              <w:jc w:val="left"/>
            </w:pPr>
            <w:r>
              <w:t xml:space="preserve">纯Markdown</w:t>
            </w:r>
            <w:r>
              <w:t xml:space="preserve"> </w:t>
            </w:r>
            <w:fldSimple w:instr="NOTEREF _Ref_Footnote_102 \h \f">
              <w:r>
                <w:rPr>
                  <w:vertAlign w:val="superscript"/>
                </w:rPr>
                <w:t>102</w:t>
              </w:r>
            </w:fldSimple>
          </w:p>
        </w:tc>
        <w:tc>
          <w:tcPr/>
          <w:p>
            <w:pPr>
              <w:pStyle w:val="Compact"/>
              <w:jc w:val="left"/>
            </w:pPr>
            <w:r>
              <w:t xml:space="preserve">Markdown+JSON</w:t>
            </w:r>
            <w:r>
              <w:t xml:space="preserve"> </w:t>
            </w:r>
            <w:fldSimple w:instr="NOTEREF _Ref_Footnote_115 \h \f">
              <w:r>
                <w:rPr>
                  <w:vertAlign w:val="superscript"/>
                </w:rPr>
                <w:t>115</w:t>
              </w:r>
            </w:fldSimple>
          </w:p>
        </w:tc>
        <w:tc>
          <w:tcPr/>
          <w:p>
            <w:pPr>
              <w:pStyle w:val="Compact"/>
              <w:jc w:val="left"/>
            </w:pPr>
            <w:r>
              <w:t xml:space="preserve">middle.json</w:t>
            </w:r>
            <w:r>
              <w:t xml:space="preserve"> </w:t>
            </w:r>
            <w:r>
              <w:rPr>
                <w:vertAlign w:val="superscript"/>
              </w:rPr>
              <w:footnoteReference w:id="135"/>
            </w:r>
          </w:p>
        </w:tc>
        <w:tc>
          <w:tcPr/>
          <w:p>
            <w:pPr>
              <w:pStyle w:val="Compact"/>
              <w:jc w:val="left"/>
            </w:pPr>
            <w:r>
              <w:t xml:space="preserve">JSON</w:t>
            </w:r>
            <w:r>
              <w:t xml:space="preserve"> </w:t>
            </w:r>
            <w:fldSimple w:instr="NOTEREF _Ref_Footnote_98 \h \f">
              <w:r>
                <w:rPr>
                  <w:vertAlign w:val="superscript"/>
                </w:rPr>
                <w:t>98</w:t>
              </w:r>
            </w:fldSimple>
          </w:p>
        </w:tc>
      </w:tr>
    </w:tbl>
    <w:p>
      <w:pPr>
        <w:pStyle w:val="BodyText"/>
      </w:pPr>
      <w:r>
        <w:t xml:space="preserve">表4-1的对比揭示了一个清晰的市场分层。在许可证维度上，Docling、MarkItDown和OpenDataLoader采用MIT/Apache 2.0最宽松许可证，无任何商业使用限制，适合闭源商业软件集成和SaaS服务后端；Marker-PDF和MinerU的copyleft许可证（GPL/AGPL）则对商业使用构成实质性约束，企业在采纳前需进行法务评估。在精度维度上，MinerU 2.5-Pro以95.69分在OmniDocBench v1.6上领先</w:t>
      </w:r>
      <w:r>
        <w:t xml:space="preserve"> </w:t>
      </w:r>
      <w:fldSimple w:instr="NOTEREF _Ref_Footnote_118 \h \f">
        <w:r>
          <w:rPr>
            <w:vertAlign w:val="superscript"/>
          </w:rPr>
          <w:t>118</w:t>
        </w:r>
      </w:fldSimple>
      <w:r>
        <w:t xml:space="preserve">，Docling以97.9%的表格单元格准确率在结构化输出方面独占鳌头</w:t>
      </w:r>
      <w:r>
        <w:t xml:space="preserve"> </w:t>
      </w:r>
      <w:fldSimple w:instr="NOTEREF _Ref_Footnote_12 \h \f">
        <w:r>
          <w:rPr>
            <w:vertAlign w:val="superscript"/>
          </w:rPr>
          <w:t>12</w:t>
        </w:r>
      </w:fldSimple>
      <w:r>
        <w:t xml:space="preserve">。在速度维度上，OpenDataLoader的XY-Cut++确定性引擎实现了0.015秒/页的CPU处理速度</w:t>
      </w:r>
      <w:r>
        <w:t xml:space="preserve"> </w:t>
      </w:r>
      <w:fldSimple w:instr="NOTEREF _Ref_Footnote_133 \h \f">
        <w:r>
          <w:rPr>
            <w:vertAlign w:val="superscript"/>
          </w:rPr>
          <w:t>133</w:t>
        </w:r>
      </w:fldSimple>
      <w:r>
        <w:t xml:space="preserve">，Marker-PDF在H100上达到25页/秒</w:t>
      </w:r>
      <w:r>
        <w:t xml:space="preserve"> </w:t>
      </w:r>
      <w:fldSimple w:instr="NOTEREF _Ref_Footnote_112 \h \f">
        <w:r>
          <w:rPr>
            <w:vertAlign w:val="superscript"/>
          </w:rPr>
          <w:t>112</w:t>
        </w:r>
      </w:fldSimple>
      <w:r>
        <w:t xml:space="preserve">，两者分别代表了CPU和GPU加速的速度极限。对于中国企业SOP场景的综合推荐排序为：Docling（精度+生态+许可证平衡最优）&gt; MinerU（中文场景精度最高但需处理AGPL合规）&gt; MarkItDown（轻量快速但深度不足）&gt; OpenDataLoader（速度之王但格式覆盖有限）&gt; Marker-PDF（速度优秀但许可证受限）。</w:t>
      </w:r>
    </w:p>
    <w:p>
      <w:pPr>
        <w:pStyle w:val="BodyText"/>
      </w:pPr>
      <w:r>
        <w:t xml:space="preserve">表4-2展示了飞书文档三种导出格式的质量评估与适用场景对比，为企业选择具体转换路径提供参考。</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评估维度</w:t>
            </w:r>
          </w:p>
        </w:tc>
        <w:tc>
          <w:tcPr/>
          <w:p>
            <w:pPr>
              <w:pStyle w:val="Compact"/>
              <w:jc w:val="left"/>
            </w:pPr>
            <w:r>
              <w:t xml:space="preserve">DOCX导出</w:t>
            </w:r>
          </w:p>
        </w:tc>
        <w:tc>
          <w:tcPr/>
          <w:p>
            <w:pPr>
              <w:pStyle w:val="Compact"/>
              <w:jc w:val="left"/>
            </w:pPr>
            <w:r>
              <w:t xml:space="preserve">Markdown原生导出</w:t>
            </w:r>
          </w:p>
        </w:tc>
        <w:tc>
          <w:tcPr/>
          <w:p>
            <w:pPr>
              <w:pStyle w:val="Compact"/>
              <w:jc w:val="left"/>
            </w:pPr>
            <w:r>
              <w:t xml:space="preserve">PDF导出</w:t>
            </w:r>
          </w:p>
        </w:tc>
        <w:tc>
          <w:tcPr/>
          <w:p>
            <w:pPr>
              <w:pStyle w:val="Compact"/>
              <w:jc w:val="left"/>
            </w:pPr>
            <w:r>
              <w:t xml:space="preserve">推荐转换策略</w:t>
            </w:r>
          </w:p>
        </w:tc>
      </w:tr>
      <w:tr>
        <w:tc>
          <w:tcPr/>
          <w:p>
            <w:pPr>
              <w:pStyle w:val="Compact"/>
              <w:jc w:val="left"/>
            </w:pPr>
            <w:r>
              <w:t xml:space="preserve">格式完整性</w:t>
            </w:r>
          </w:p>
        </w:tc>
        <w:tc>
          <w:tcPr/>
          <w:p>
            <w:pPr>
              <w:pStyle w:val="Compact"/>
              <w:jc w:val="left"/>
            </w:pPr>
            <w:r>
              <w:t xml:space="preserve">100%</w:t>
            </w:r>
            <w:r>
              <w:t xml:space="preserve"> </w:t>
            </w:r>
            <w:fldSimple w:instr="NOTEREF _Ref_Footnote_6 \h \f">
              <w:r>
                <w:rPr>
                  <w:vertAlign w:val="superscript"/>
                </w:rPr>
                <w:t>6</w:t>
              </w:r>
            </w:fldSimple>
          </w:p>
        </w:tc>
        <w:tc>
          <w:tcPr/>
          <w:p>
            <w:pPr>
              <w:pStyle w:val="Compact"/>
              <w:jc w:val="left"/>
            </w:pPr>
            <w:r>
              <w:t xml:space="preserve">~90%</w:t>
            </w:r>
            <w:r>
              <w:t xml:space="preserve"> </w:t>
            </w:r>
            <w:fldSimple w:instr="NOTEREF _Ref_Footnote_6 \h \f">
              <w:r>
                <w:rPr>
                  <w:vertAlign w:val="superscript"/>
                </w:rPr>
                <w:t>6</w:t>
              </w:r>
            </w:fldSimple>
          </w:p>
        </w:tc>
        <w:tc>
          <w:tcPr/>
          <w:p>
            <w:pPr>
              <w:pStyle w:val="Compact"/>
              <w:jc w:val="left"/>
            </w:pPr>
            <w:r>
              <w:t xml:space="preserve">100%（但不可编辑）</w:t>
            </w:r>
            <w:fldSimple w:instr="NOTEREF _Ref_Footnote_6 \h \f">
              <w:r>
                <w:rPr>
                  <w:vertAlign w:val="superscript"/>
                </w:rPr>
                <w:t>6</w:t>
              </w:r>
            </w:fldSimple>
          </w:p>
        </w:tc>
        <w:tc>
          <w:tcPr/>
          <w:p>
            <w:pPr>
              <w:pStyle w:val="Compact"/>
              <w:jc w:val="left"/>
            </w:pPr>
            <w:r>
              <w:t xml:space="preserve">DOCX→Docling二次解析（精度优先）</w:t>
            </w:r>
          </w:p>
        </w:tc>
      </w:tr>
      <w:tr>
        <w:tc>
          <w:tcPr/>
          <w:p>
            <w:pPr>
              <w:pStyle w:val="Compact"/>
              <w:jc w:val="left"/>
            </w:pPr>
            <w:r>
              <w:t xml:space="preserve">标题层级保留</w:t>
            </w:r>
          </w:p>
        </w:tc>
        <w:tc>
          <w:tcPr/>
          <w:p>
            <w:pPr>
              <w:pStyle w:val="Compact"/>
              <w:jc w:val="left"/>
            </w:pPr>
            <w:r>
              <w:t xml:space="preserve">完整</w:t>
            </w:r>
          </w:p>
        </w:tc>
        <w:tc>
          <w:tcPr/>
          <w:p>
            <w:pPr>
              <w:pStyle w:val="Compact"/>
              <w:jc w:val="left"/>
            </w:pPr>
            <w:r>
              <w:t xml:space="preserve">完整（</w:t>
            </w:r>
            <w:r>
              <w:rPr>
                <w:rStyle w:val="VerbatimChar"/>
              </w:rPr>
              <w:t xml:space="preserve">#</w:t>
            </w:r>
            <w:r>
              <w:t xml:space="preserve">至</w:t>
            </w:r>
            <w:r>
              <w:rPr>
                <w:rStyle w:val="VerbatimChar"/>
              </w:rPr>
              <w:t xml:space="preserve">######</w:t>
            </w:r>
            <w:r>
              <w:t xml:space="preserve">）</w:t>
            </w:r>
            <w:fldSimple w:instr="NOTEREF _Ref_Footnote_5 \h \f">
              <w:r>
                <w:rPr>
                  <w:vertAlign w:val="superscript"/>
                </w:rPr>
                <w:t>5</w:t>
              </w:r>
            </w:fldSimple>
          </w:p>
        </w:tc>
        <w:tc>
          <w:tcPr/>
          <w:p>
            <w:pPr>
              <w:pStyle w:val="Compact"/>
              <w:jc w:val="left"/>
            </w:pPr>
            <w:r>
              <w:t xml:space="preserve">仅视觉层级</w:t>
            </w:r>
          </w:p>
        </w:tc>
        <w:tc>
          <w:tcPr/>
          <w:p>
            <w:pPr>
              <w:pStyle w:val="Compact"/>
              <w:jc w:val="left"/>
            </w:pPr>
            <w:r>
              <w:t xml:space="preserve">Markdown直接可用</w:t>
            </w:r>
          </w:p>
        </w:tc>
      </w:tr>
      <w:tr>
        <w:tc>
          <w:tcPr/>
          <w:p>
            <w:pPr>
              <w:pStyle w:val="Compact"/>
              <w:jc w:val="left"/>
            </w:pPr>
            <w:r>
              <w:t xml:space="preserve">表格结构保留</w:t>
            </w:r>
          </w:p>
        </w:tc>
        <w:tc>
          <w:tcPr/>
          <w:p>
            <w:pPr>
              <w:pStyle w:val="Compact"/>
              <w:jc w:val="left"/>
            </w:pPr>
            <w:r>
              <w:t xml:space="preserve">完整</w:t>
            </w:r>
          </w:p>
        </w:tc>
        <w:tc>
          <w:tcPr/>
          <w:p>
            <w:pPr>
              <w:pStyle w:val="Compact"/>
              <w:jc w:val="left"/>
            </w:pPr>
            <w:r>
              <w:t xml:space="preserve">良好（简单表格完整，复杂表格可能降级）</w:t>
            </w:r>
            <w:fldSimple w:instr="NOTEREF _Ref_Footnote_5 \h \f">
              <w:r>
                <w:rPr>
                  <w:vertAlign w:val="superscript"/>
                </w:rPr>
                <w:t>5</w:t>
              </w:r>
            </w:fldSimple>
          </w:p>
        </w:tc>
        <w:tc>
          <w:tcPr/>
          <w:p>
            <w:pPr>
              <w:pStyle w:val="Compact"/>
              <w:jc w:val="left"/>
            </w:pPr>
            <w:r>
              <w:t xml:space="preserve">视觉完整但不可编辑</w:t>
            </w:r>
          </w:p>
        </w:tc>
        <w:tc>
          <w:tcPr/>
          <w:p>
            <w:pPr>
              <w:pStyle w:val="Compact"/>
              <w:jc w:val="left"/>
            </w:pPr>
            <w:r>
              <w:t xml:space="preserve">复杂表格建议DOCX→Docling路线</w:t>
            </w:r>
          </w:p>
        </w:tc>
      </w:tr>
      <w:tr>
        <w:tc>
          <w:tcPr/>
          <w:p>
            <w:pPr>
              <w:pStyle w:val="Compact"/>
              <w:jc w:val="left"/>
            </w:pPr>
            <w:r>
              <w:t xml:space="preserve">图片处理方式</w:t>
            </w:r>
          </w:p>
        </w:tc>
        <w:tc>
          <w:tcPr/>
          <w:p>
            <w:pPr>
              <w:pStyle w:val="Compact"/>
              <w:jc w:val="left"/>
            </w:pPr>
            <w:r>
              <w:t xml:space="preserve">内嵌Base64</w:t>
            </w:r>
          </w:p>
        </w:tc>
        <w:tc>
          <w:tcPr/>
          <w:p>
            <w:pPr>
              <w:pStyle w:val="Compact"/>
              <w:jc w:val="left"/>
            </w:pPr>
            <w:r>
              <w:t xml:space="preserve">外部URL链接（点击下载）</w:t>
            </w:r>
            <w:fldSimple w:instr="NOTEREF _Ref_Footnote_5 \h \f">
              <w:r>
                <w:rPr>
                  <w:vertAlign w:val="superscript"/>
                </w:rPr>
                <w:t>5</w:t>
              </w:r>
            </w:fldSimple>
          </w:p>
        </w:tc>
        <w:tc>
          <w:tcPr/>
          <w:p>
            <w:pPr>
              <w:pStyle w:val="Compact"/>
              <w:jc w:val="left"/>
            </w:pPr>
            <w:r>
              <w:t xml:space="preserve">内嵌</w:t>
            </w:r>
          </w:p>
        </w:tc>
        <w:tc>
          <w:tcPr/>
          <w:p>
            <w:pPr>
              <w:pStyle w:val="Compact"/>
              <w:jc w:val="left"/>
            </w:pPr>
            <w:r>
              <w:t xml:space="preserve">URL链接适合在线RAG，Base64适合离线</w:t>
            </w:r>
          </w:p>
        </w:tc>
      </w:tr>
      <w:tr>
        <w:tc>
          <w:tcPr/>
          <w:p>
            <w:pPr>
              <w:pStyle w:val="Compact"/>
              <w:jc w:val="left"/>
            </w:pPr>
            <w:r>
              <w:t xml:space="preserve">代码块/公式</w:t>
            </w:r>
          </w:p>
        </w:tc>
        <w:tc>
          <w:tcPr/>
          <w:p>
            <w:pPr>
              <w:pStyle w:val="Compact"/>
              <w:jc w:val="left"/>
            </w:pPr>
            <w:r>
              <w:t xml:space="preserve">完整</w:t>
            </w:r>
          </w:p>
        </w:tc>
        <w:tc>
          <w:tcPr/>
          <w:p>
            <w:pPr>
              <w:pStyle w:val="Compact"/>
              <w:jc w:val="left"/>
            </w:pPr>
            <w:r>
              <w:t xml:space="preserve">代码块保留高亮，公式部分支持</w:t>
            </w:r>
            <w:r>
              <w:t xml:space="preserve"> </w:t>
            </w:r>
            <w:fldSimple w:instr="NOTEREF _Ref_Footnote_5 \h \f">
              <w:r>
                <w:rPr>
                  <w:vertAlign w:val="superscript"/>
                </w:rPr>
                <w:t>5</w:t>
              </w:r>
            </w:fldSimple>
          </w:p>
        </w:tc>
        <w:tc>
          <w:tcPr/>
          <w:p>
            <w:pPr>
              <w:pStyle w:val="Compact"/>
              <w:jc w:val="left"/>
            </w:pPr>
            <w:r>
              <w:t xml:space="preserve">静态渲染</w:t>
            </w:r>
          </w:p>
        </w:tc>
        <w:tc>
          <w:tcPr/>
          <w:p>
            <w:pPr>
              <w:pStyle w:val="Compact"/>
              <w:jc w:val="left"/>
            </w:pPr>
            <w:r>
              <w:t xml:space="preserve">Markdown原生友好</w:t>
            </w:r>
          </w:p>
        </w:tc>
      </w:tr>
      <w:tr>
        <w:tc>
          <w:tcPr/>
          <w:p>
            <w:pPr>
              <w:pStyle w:val="Compact"/>
              <w:jc w:val="left"/>
            </w:pPr>
            <w:r>
              <w:t xml:space="preserve">评论/批注</w:t>
            </w:r>
          </w:p>
        </w:tc>
        <w:tc>
          <w:tcPr/>
          <w:p>
            <w:pPr>
              <w:pStyle w:val="Compact"/>
              <w:jc w:val="left"/>
            </w:pPr>
            <w:r>
              <w:t xml:space="preserve">保留</w:t>
            </w:r>
          </w:p>
        </w:tc>
        <w:tc>
          <w:tcPr/>
          <w:p>
            <w:pPr>
              <w:pStyle w:val="Compact"/>
              <w:jc w:val="left"/>
            </w:pPr>
            <w:r>
              <w:rPr>
                <w:bCs/>
                <w:b/>
              </w:rPr>
              <w:t xml:space="preserve">不导出</w:t>
            </w:r>
            <w:r>
              <w:t xml:space="preserve"> </w:t>
            </w:r>
            <w:fldSimple w:instr="NOTEREF _Ref_Footnote_5 \h \f">
              <w:r>
                <w:rPr>
                  <w:vertAlign w:val="superscript"/>
                </w:rPr>
                <w:t>5</w:t>
              </w:r>
            </w:fldSimple>
          </w:p>
        </w:tc>
        <w:tc>
          <w:tcPr/>
          <w:p>
            <w:pPr>
              <w:pStyle w:val="Compact"/>
              <w:jc w:val="left"/>
            </w:pPr>
            <w:r>
              <w:t xml:space="preserve">保留</w:t>
            </w:r>
          </w:p>
        </w:tc>
        <w:tc>
          <w:tcPr/>
          <w:p>
            <w:pPr>
              <w:pStyle w:val="Compact"/>
              <w:jc w:val="left"/>
            </w:pPr>
            <w:r>
              <w:t xml:space="preserve">需批注内容的场景用DOCX</w:t>
            </w:r>
          </w:p>
        </w:tc>
      </w:tr>
      <w:tr>
        <w:tc>
          <w:tcPr/>
          <w:p>
            <w:pPr>
              <w:pStyle w:val="Compact"/>
              <w:jc w:val="left"/>
            </w:pPr>
            <w:r>
              <w:t xml:space="preserve">文件体积</w:t>
            </w:r>
          </w:p>
        </w:tc>
        <w:tc>
          <w:tcPr/>
          <w:p>
            <w:pPr>
              <w:pStyle w:val="Compact"/>
              <w:jc w:val="left"/>
            </w:pPr>
            <w:r>
              <w:t xml:space="preserve">中等</w:t>
            </w:r>
          </w:p>
        </w:tc>
        <w:tc>
          <w:tcPr/>
          <w:p>
            <w:pPr>
              <w:pStyle w:val="Compact"/>
              <w:jc w:val="left"/>
            </w:pPr>
            <w:r>
              <w:t xml:space="preserve">最小</w:t>
            </w:r>
          </w:p>
        </w:tc>
        <w:tc>
          <w:tcPr/>
          <w:p>
            <w:pPr>
              <w:pStyle w:val="Compact"/>
              <w:jc w:val="left"/>
            </w:pPr>
            <w:r>
              <w:t xml:space="preserve">最大</w:t>
            </w:r>
          </w:p>
        </w:tc>
        <w:tc>
          <w:tcPr/>
          <w:p>
            <w:pPr>
              <w:pStyle w:val="Compact"/>
              <w:jc w:val="left"/>
            </w:pPr>
            <w:r>
              <w:t xml:space="preserve">Markdown最适合向量库存储</w:t>
            </w:r>
          </w:p>
        </w:tc>
      </w:tr>
      <w:tr>
        <w:tc>
          <w:tcPr/>
          <w:p>
            <w:pPr>
              <w:pStyle w:val="Compact"/>
              <w:jc w:val="left"/>
            </w:pPr>
            <w:r>
              <w:t xml:space="preserve">批量导出效率</w:t>
            </w:r>
          </w:p>
        </w:tc>
        <w:tc>
          <w:tcPr/>
          <w:p>
            <w:pPr>
              <w:pStyle w:val="Compact"/>
              <w:jc w:val="left"/>
            </w:pPr>
            <w:r>
              <w:t xml:space="preserve">依赖第三方工具</w:t>
            </w:r>
          </w:p>
        </w:tc>
        <w:tc>
          <w:tcPr/>
          <w:p>
            <w:pPr>
              <w:pStyle w:val="Compact"/>
              <w:jc w:val="left"/>
            </w:pPr>
            <w:r>
              <w:t xml:space="preserve">依赖第三方工具</w:t>
            </w:r>
          </w:p>
        </w:tc>
        <w:tc>
          <w:tcPr/>
          <w:p>
            <w:pPr>
              <w:pStyle w:val="Compact"/>
              <w:jc w:val="left"/>
            </w:pPr>
            <w:r>
              <w:t xml:space="preserve">依赖第三方工具</w:t>
            </w:r>
          </w:p>
        </w:tc>
        <w:tc>
          <w:tcPr/>
          <w:p>
            <w:pPr>
              <w:pStyle w:val="Compact"/>
              <w:jc w:val="left"/>
            </w:pPr>
            <w:r>
              <w:t xml:space="preserve">feishu-doc-export: 700+文档/25分钟</w:t>
            </w:r>
            <w:r>
              <w:t xml:space="preserve"> </w:t>
            </w:r>
            <w:fldSimple w:instr="NOTEREF _Ref_Footnote_124 \h \f">
              <w:r>
                <w:rPr>
                  <w:vertAlign w:val="superscript"/>
                </w:rPr>
                <w:t>124</w:t>
              </w:r>
            </w:fldSimple>
          </w:p>
        </w:tc>
      </w:tr>
      <w:tr>
        <w:tc>
          <w:tcPr/>
          <w:p>
            <w:pPr>
              <w:pStyle w:val="Compact"/>
              <w:jc w:val="left"/>
            </w:pPr>
            <w:r>
              <w:t xml:space="preserve">适用场景</w:t>
            </w:r>
          </w:p>
        </w:tc>
        <w:tc>
          <w:tcPr/>
          <w:p>
            <w:pPr>
              <w:pStyle w:val="Compact"/>
              <w:jc w:val="left"/>
            </w:pPr>
            <w:r>
              <w:t xml:space="preserve">继续人工编辑</w:t>
            </w:r>
          </w:p>
        </w:tc>
        <w:tc>
          <w:tcPr/>
          <w:p>
            <w:pPr>
              <w:pStyle w:val="Compact"/>
              <w:jc w:val="left"/>
            </w:pPr>
            <w:r>
              <w:t xml:space="preserve">AI处理/RAG索引/代码仓库</w:t>
            </w:r>
            <w:r>
              <w:t xml:space="preserve"> </w:t>
            </w:r>
            <w:fldSimple w:instr="NOTEREF _Ref_Footnote_5 \h \f">
              <w:r>
                <w:rPr>
                  <w:vertAlign w:val="superscript"/>
                </w:rPr>
                <w:t>5</w:t>
              </w:r>
            </w:fldSimple>
          </w:p>
        </w:tc>
        <w:tc>
          <w:tcPr/>
          <w:p>
            <w:pPr>
              <w:pStyle w:val="Compact"/>
              <w:jc w:val="left"/>
            </w:pPr>
            <w:r>
              <w:t xml:space="preserve">归档/打印/法律留存</w:t>
            </w:r>
          </w:p>
        </w:tc>
        <w:tc>
          <w:tcPr/>
          <w:p>
            <w:pPr>
              <w:pStyle w:val="Compact"/>
              <w:jc w:val="left"/>
            </w:pPr>
            <w:r>
              <w:t xml:space="preserve">Markdown是AI管道的最优输入</w:t>
            </w:r>
          </w:p>
        </w:tc>
      </w:tr>
    </w:tbl>
    <w:p>
      <w:pPr>
        <w:pStyle w:val="BodyText"/>
      </w:pPr>
      <w:r>
        <w:t xml:space="preserve">表4-2的分析表明，飞书原生Markdown导出在”AI友好性”维度上具有天然优势：Markdown格式文件体积最小，无需二次解析即可直接输入RAG管道；标题层级以标准Markdown语法保留，支持结构感知分块；代码块语法高亮信息完整保留。约90%的格式完整性意味着绝大多数SOP文档可直接使用，剩余10%的边界情况（如复杂合并单元格表格、自定义样式块）可通过DOCX中转+Docling二次解析的降级路径处理。这种”Markdown优先、DOCX兜底”的双路径策略，既保证了常规场景的高效转换，又确保了复杂场景的精度要求。</w:t>
      </w:r>
    </w:p>
    <w:p>
      <w:pPr>
        <w:pStyle w:val="BodyText"/>
      </w:pPr>
      <w:r>
        <w:t xml:space="preserve">对于正在构建企业级SOP管理系统的中国组织，推荐采用以下分层架构：日常SOP更新通过飞书原生Markdown导出直接入库；历史存量文档迁移通过</w:t>
      </w:r>
      <w:r>
        <w:rPr>
          <w:rStyle w:val="VerbatimChar"/>
        </w:rPr>
        <w:t xml:space="preserve">feishu-doc-export</w:t>
      </w:r>
      <w:r>
        <w:t xml:space="preserve">批量处理后经由Docling进行结构增强；含复杂表格的财务/法务SOP通过DOCX中转+Docling TableFormer精确解析；扫描件/图片密集型文档通过MinerU或企业级RAG系统（如阿里云百炼、火山引擎方舟）的多模态理解能力直接处理。这一分层策略在转换效率、结构精度和许可证合规之间取得了最佳平衡，预计可将文档迁移的自动化比例提升至90%以上，人工审核仅需处理剩余10%的边界情况</w:t>
      </w:r>
      <w:r>
        <w:t xml:space="preserve"> </w:t>
      </w:r>
      <w:fldSimple w:instr="NOTEREF _Ref_Footnote_126 \h \f">
        <w:r>
          <w:rPr>
            <w:vertAlign w:val="superscript"/>
          </w:rPr>
          <w:t>126</w:t>
        </w:r>
      </w:fldSimple>
      <w:r>
        <w:t xml:space="preserve">。</w:t>
      </w:r>
    </w:p>
    <w:p>
      <w:r>
        <w:pict>
          <v:rect style="width:0;height:1.5pt" o:hralign="center" o:hrstd="t" o:hr="t"/>
        </w:pict>
      </w:r>
    </w:p>
    <w:bookmarkEnd w:id="81"/>
    <w:bookmarkEnd w:id="82"/>
    <w:bookmarkEnd w:id="83"/>
    <w:bookmarkStart w:id="102" w:name="多模态rag与图文并茂处理"/>
    <w:p>
      <w:pPr>
        <w:pStyle w:val="Heading2"/>
      </w:pPr>
      <w:r>
        <w:t xml:space="preserve">5. 多模态RAG与图文并茂处理</w:t>
      </w:r>
    </w:p>
    <w:p>
      <w:pPr>
        <w:pStyle w:val="FirstParagraph"/>
      </w:pPr>
      <w:r>
        <w:t xml:space="preserve">企业SOP文档并非纯文本载体。操作截图、设备照片、流程图、警示标识等视觉元素往往承载着文本无法替代的关键信息——一个按钮的位置、一条管线的走向、一块仪表盘的读数范围。传统文本RAG（Retrieval-Augmented Generation）将这些图片丢弃或仅保留OCR（Optical Character Recognition）提取的碎片化文字，导致大量语义信息在索引阶段即已丢失。多模态RAG通过将视觉内容纳入检索与生成管道，使AI系统能够真正”看懂”图文并茂的SOP文档。本章从技术架构、核心模型与SOP场景落地三个层面，系统分析多模态RAG在SOP知识库中的实现路径与关键权衡。</w:t>
      </w:r>
    </w:p>
    <w:bookmarkStart w:id="93" w:name="多模态rag技术架构"/>
    <w:p>
      <w:pPr>
        <w:pStyle w:val="Heading3"/>
      </w:pPr>
      <w:r>
        <w:t xml:space="preserve">5.1 多模态RAG技术架构</w:t>
      </w:r>
    </w:p>
    <w:bookmarkStart w:id="84" w:name="Xffe3adbb12fd5287bdc5599b38fb02131a09028"/>
    <w:p>
      <w:pPr>
        <w:pStyle w:val="Heading4"/>
      </w:pPr>
      <w:r>
        <w:t xml:space="preserve">5.1.1 三种架构模式对比：Late Fusion、Early Fusion与Cross-Modal Attention</w:t>
      </w:r>
    </w:p>
    <w:p>
      <w:pPr>
        <w:pStyle w:val="FirstParagraph"/>
      </w:pPr>
      <w:r>
        <w:t xml:space="preserve">当前多模态RAG系统存在三种主流架构模式，它们在模态融合时机、存储开销与实现复杂度上呈现出显著差异。</w:t>
      </w:r>
    </w:p>
    <w:p>
      <w:pPr>
        <w:pStyle w:val="BodyText"/>
      </w:pPr>
      <w:r>
        <w:rPr>
          <w:bCs/>
          <w:b/>
        </w:rPr>
        <w:t xml:space="preserve">Early Fusion（早期融合）</w:t>
      </w:r>
      <w:r>
        <w:t xml:space="preserve"> </w:t>
      </w:r>
      <w:r>
        <w:t xml:space="preserve">在输入层即对文本与图像特征进行拼接或联合编码。代表实现包括GME-Qwen2-VL（Generative Multimodal Embedding）等单塔联合嵌入模型，其将文本token与图像patch在单一编码器内交互，输出统一向量表示。该模式工程实现简单，仅需维护单一索引，但不同模态在共享嵌入空间中易产生信息干扰，且无法针对特定模态选择最优编码器。UniDoc-Bench评测显示，Joint Multimodal RAG（GME-Qwen2-VL-7B）的Completeness为0.639，低于text-image fusion的0.654</w:t>
      </w:r>
      <w:r>
        <w:t xml:space="preserve"> </w:t>
      </w:r>
      <w:fldSimple w:instr="NOTEREF _Ref_Footnote_14 \h \f">
        <w:r>
          <w:rPr>
            <w:vertAlign w:val="superscript"/>
          </w:rPr>
          <w:t>14</w:t>
        </w:r>
      </w:fldSimple>
      <w:r>
        <w:t xml:space="preserve">。</w:t>
      </w:r>
    </w:p>
    <w:p>
      <w:pPr>
        <w:pStyle w:val="BodyText"/>
      </w:pPr>
      <w:r>
        <w:rPr>
          <w:bCs/>
          <w:b/>
        </w:rPr>
        <w:t xml:space="preserve">Late Fusion（晚期融合）</w:t>
      </w:r>
      <w:r>
        <w:t xml:space="preserve"> </w:t>
      </w:r>
      <w:r>
        <w:t xml:space="preserve">分别使用专用模型对文本和图像进行独立编码与检索，仅在最终排序或生成阶段合并结果。text-image fusion RAG是该模式的典型代表——文本路径采用text-embedding-3-small或Qwen3-Embedding处理文本chunk，图像路径采用ColQwen2.5对整页图像进行late interaction检索，两路Top-K结果在融合层合并后输入MLLM（Multimodal Large Language Model）生成答案。由于各路径可选用模态最优模型，该模式在UniDoc-Bench上以0.654的Completeness和0.782的Recall@10位列四种范式之首</w:t>
      </w:r>
      <w:r>
        <w:t xml:space="preserve"> </w:t>
      </w:r>
      <w:fldSimple w:instr="NOTEREF _Ref_Footnote_14 \h \f">
        <w:r>
          <w:rPr>
            <w:vertAlign w:val="superscript"/>
          </w:rPr>
          <w:t>14</w:t>
        </w:r>
      </w:fldSimple>
      <w:r>
        <w:t xml:space="preserve">。</w:t>
      </w:r>
    </w:p>
    <w:p>
      <w:pPr>
        <w:pStyle w:val="BodyText"/>
      </w:pPr>
      <w:r>
        <w:rPr>
          <w:bCs/>
          <w:b/>
        </w:rPr>
        <w:t xml:space="preserve">Cross-Modal Attention（跨模态注意力融合）</w:t>
      </w:r>
      <w:r>
        <w:t xml:space="preserve"> </w:t>
      </w:r>
      <w:r>
        <w:t xml:space="preserve">在模型中间层实现细粒度跨模态交互，通常采用Cross-Encoder架构。Qwen3-VL-Reranker系列即属此类，将查询与文档作为联合输入，通过Cross-Attention计算相关性分数。该模式精度最高，但推理成本显著高于Bi-encoder，一般用于重排序阶段而非初筛检索。</w:t>
      </w:r>
    </w:p>
    <w:p>
      <w:pPr>
        <w:pStyle w:val="BodyText"/>
      </w:pPr>
      <w:r>
        <w:t xml:space="preserve">下表从五个维度对三种架构进行系统对比：</w:t>
      </w:r>
    </w:p>
    <w:tbl>
      <w:tblPr>
        <w:tblStyle w:val="Table"/>
        <w:tblW w:type="pct" w:w="5000"/>
        <w:tblLook w:firstRow="1" w:lastRow="0" w:firstColumn="0" w:lastColumn="0" w:noHBand="0" w:noVBand="0" w:val="0020"/>
      </w:tblPr>
      <w:tblGrid>
        <w:gridCol w:w="1131"/>
        <w:gridCol w:w="1634"/>
        <w:gridCol w:w="2388"/>
        <w:gridCol w:w="2765"/>
      </w:tblGrid>
      <w:tr>
        <w:trPr>
          <w:tblHeader w:val="true"/>
        </w:trPr>
        <w:tc>
          <w:tcPr/>
          <w:p>
            <w:pPr>
              <w:pStyle w:val="Compact"/>
              <w:jc w:val="left"/>
            </w:pPr>
            <w:r>
              <w:t xml:space="preserve">对比维度</w:t>
            </w:r>
          </w:p>
        </w:tc>
        <w:tc>
          <w:tcPr/>
          <w:p>
            <w:pPr>
              <w:pStyle w:val="Compact"/>
              <w:jc w:val="left"/>
            </w:pPr>
            <w:r>
              <w:t xml:space="preserve">Early Fusion</w:t>
            </w:r>
          </w:p>
        </w:tc>
        <w:tc>
          <w:tcPr/>
          <w:p>
            <w:pPr>
              <w:pStyle w:val="Compact"/>
              <w:jc w:val="left"/>
            </w:pPr>
            <w:r>
              <w:t xml:space="preserve">Late Fusion（推荐）</w:t>
            </w:r>
          </w:p>
        </w:tc>
        <w:tc>
          <w:tcPr/>
          <w:p>
            <w:pPr>
              <w:pStyle w:val="Compact"/>
              <w:jc w:val="left"/>
            </w:pPr>
            <w:r>
              <w:t xml:space="preserve">Cross-Modal Attention</w:t>
            </w:r>
          </w:p>
        </w:tc>
      </w:tr>
      <w:tr>
        <w:tc>
          <w:tcPr/>
          <w:p>
            <w:pPr>
              <w:pStyle w:val="Compact"/>
              <w:jc w:val="left"/>
            </w:pPr>
            <w:r>
              <w:t xml:space="preserve">融合时机</w:t>
            </w:r>
          </w:p>
        </w:tc>
        <w:tc>
          <w:tcPr/>
          <w:p>
            <w:pPr>
              <w:pStyle w:val="Compact"/>
              <w:jc w:val="left"/>
            </w:pPr>
            <w:r>
              <w:t xml:space="preserve">输入层联合编码</w:t>
            </w:r>
          </w:p>
        </w:tc>
        <w:tc>
          <w:tcPr/>
          <w:p>
            <w:pPr>
              <w:pStyle w:val="Compact"/>
              <w:jc w:val="left"/>
            </w:pPr>
            <w:r>
              <w:t xml:space="preserve">检索后结果融合</w:t>
            </w:r>
          </w:p>
        </w:tc>
        <w:tc>
          <w:tcPr/>
          <w:p>
            <w:pPr>
              <w:pStyle w:val="Compact"/>
              <w:jc w:val="left"/>
            </w:pPr>
            <w:r>
              <w:t xml:space="preserve">中间层注意力交互</w:t>
            </w:r>
          </w:p>
        </w:tc>
      </w:tr>
      <w:tr>
        <w:tc>
          <w:tcPr/>
          <w:p>
            <w:pPr>
              <w:pStyle w:val="Compact"/>
              <w:jc w:val="left"/>
            </w:pPr>
            <w:r>
              <w:t xml:space="preserve">代表实现</w:t>
            </w:r>
          </w:p>
        </w:tc>
        <w:tc>
          <w:tcPr/>
          <w:p>
            <w:pPr>
              <w:pStyle w:val="Compact"/>
              <w:jc w:val="left"/>
            </w:pPr>
            <w:r>
              <w:t xml:space="preserve">GME-Qwen2-VL</w:t>
            </w:r>
            <w:r>
              <w:t xml:space="preserve"> </w:t>
            </w:r>
            <w:fldSimple w:instr="NOTEREF _Ref_Footnote_14 \h \f">
              <w:r>
                <w:rPr>
                  <w:vertAlign w:val="superscript"/>
                </w:rPr>
                <w:t>14</w:t>
              </w:r>
            </w:fldSimple>
          </w:p>
        </w:tc>
        <w:tc>
          <w:tcPr/>
          <w:p>
            <w:pPr>
              <w:pStyle w:val="Compact"/>
              <w:jc w:val="left"/>
            </w:pPr>
            <w:r>
              <w:t xml:space="preserve">Text-Image Fusion RAG</w:t>
            </w:r>
            <w:r>
              <w:t xml:space="preserve"> </w:t>
            </w:r>
            <w:fldSimple w:instr="NOTEREF _Ref_Footnote_14 \h \f">
              <w:r>
                <w:rPr>
                  <w:vertAlign w:val="superscript"/>
                </w:rPr>
                <w:t>14</w:t>
              </w:r>
            </w:fldSimple>
          </w:p>
        </w:tc>
        <w:tc>
          <w:tcPr/>
          <w:p>
            <w:pPr>
              <w:pStyle w:val="Compact"/>
              <w:jc w:val="left"/>
            </w:pPr>
            <w:r>
              <w:t xml:space="preserve">Qwen3-VL-Reranker</w:t>
            </w:r>
            <w:r>
              <w:t xml:space="preserve"> </w:t>
            </w:r>
            <w:r>
              <w:rPr>
                <w:vertAlign w:val="superscript"/>
              </w:rPr>
              <w:footnoteReference w:id="136"/>
            </w:r>
          </w:p>
        </w:tc>
      </w:tr>
      <w:tr>
        <w:tc>
          <w:tcPr/>
          <w:p>
            <w:pPr>
              <w:pStyle w:val="Compact"/>
              <w:jc w:val="left"/>
            </w:pPr>
            <w:r>
              <w:t xml:space="preserve">UniDoc-Bench Completeness</w:t>
            </w:r>
          </w:p>
        </w:tc>
        <w:tc>
          <w:tcPr/>
          <w:p>
            <w:pPr>
              <w:pStyle w:val="Compact"/>
              <w:jc w:val="left"/>
            </w:pPr>
            <w:r>
              <w:t xml:space="preserve">0.639</w:t>
            </w:r>
          </w:p>
        </w:tc>
        <w:tc>
          <w:tcPr/>
          <w:p>
            <w:pPr>
              <w:pStyle w:val="Compact"/>
              <w:jc w:val="left"/>
            </w:pPr>
            <w:r>
              <w:rPr>
                <w:bCs/>
                <w:b/>
              </w:rPr>
              <w:t xml:space="preserve">0.654</w:t>
            </w:r>
          </w:p>
        </w:tc>
        <w:tc>
          <w:tcPr/>
          <w:p>
            <w:pPr>
              <w:pStyle w:val="Compact"/>
              <w:jc w:val="left"/>
            </w:pPr>
            <w:r>
              <w:t xml:space="preserve">—（用于重排序）</w:t>
            </w:r>
          </w:p>
        </w:tc>
      </w:tr>
      <w:tr>
        <w:tc>
          <w:tcPr/>
          <w:p>
            <w:pPr>
              <w:pStyle w:val="Compact"/>
              <w:jc w:val="left"/>
            </w:pPr>
            <w:r>
              <w:t xml:space="preserve">每页存储</w:t>
            </w:r>
          </w:p>
        </w:tc>
        <w:tc>
          <w:tcPr/>
          <w:p>
            <w:pPr>
              <w:pStyle w:val="Compact"/>
              <w:jc w:val="left"/>
            </w:pPr>
            <w:r>
              <w:t xml:space="preserve">单向量（~2KB）</w:t>
            </w:r>
          </w:p>
        </w:tc>
        <w:tc>
          <w:tcPr/>
          <w:p>
            <w:pPr>
              <w:pStyle w:val="Compact"/>
              <w:jc w:val="left"/>
            </w:pPr>
            <w:r>
              <w:t xml:space="preserve">文本+多向量（~50-500KB）</w:t>
            </w:r>
          </w:p>
        </w:tc>
        <w:tc>
          <w:tcPr/>
          <w:p>
            <w:pPr>
              <w:pStyle w:val="Compact"/>
              <w:jc w:val="left"/>
            </w:pPr>
            <w:r>
              <w:t xml:space="preserve">不直接存储</w:t>
            </w:r>
          </w:p>
        </w:tc>
      </w:tr>
      <w:tr>
        <w:tc>
          <w:tcPr/>
          <w:p>
            <w:pPr>
              <w:pStyle w:val="Compact"/>
              <w:jc w:val="left"/>
            </w:pPr>
            <w:r>
              <w:t xml:space="preserve">工程复杂度</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高</w:t>
            </w:r>
          </w:p>
        </w:tc>
      </w:tr>
      <w:tr>
        <w:tc>
          <w:tcPr/>
          <w:p>
            <w:pPr>
              <w:pStyle w:val="Compact"/>
              <w:jc w:val="left"/>
            </w:pPr>
            <w:r>
              <w:t xml:space="preserve">适用场景</w:t>
            </w:r>
          </w:p>
        </w:tc>
        <w:tc>
          <w:tcPr/>
          <w:p>
            <w:pPr>
              <w:pStyle w:val="Compact"/>
              <w:jc w:val="left"/>
            </w:pPr>
            <w:r>
              <w:t xml:space="preserve">快速原型、统一索引需求</w:t>
            </w:r>
          </w:p>
        </w:tc>
        <w:tc>
          <w:tcPr/>
          <w:p>
            <w:pPr>
              <w:pStyle w:val="Compact"/>
              <w:jc w:val="left"/>
            </w:pPr>
            <w:r>
              <w:t xml:space="preserve">生产环境、最优精度</w:t>
            </w:r>
          </w:p>
        </w:tc>
        <w:tc>
          <w:tcPr/>
          <w:p>
            <w:pPr>
              <w:pStyle w:val="Compact"/>
              <w:jc w:val="left"/>
            </w:pPr>
            <w:r>
              <w:t xml:space="preserve">高精度重排序</w:t>
            </w:r>
          </w:p>
        </w:tc>
      </w:tr>
    </w:tbl>
    <w:p>
      <w:pPr>
        <w:pStyle w:val="BodyText"/>
      </w:pPr>
      <w:r>
        <w:t xml:space="preserve">上表数据表明，Late Fusion在检索精度与工程可实现性之间取得了最佳平衡。其Completeness比Early Fusion高出2.3%（0.654 vs 0.639），比纯文本RAG高出5.7%（0.654 vs 0.619），验证了”分别使用专用模型、各自在擅长模态上表现最佳”这一设计假设</w:t>
      </w:r>
      <w:r>
        <w:t xml:space="preserve"> </w:t>
      </w:r>
      <w:fldSimple w:instr="NOTEREF _Ref_Footnote_14 \h \f">
        <w:r>
          <w:rPr>
            <w:vertAlign w:val="superscript"/>
          </w:rPr>
          <w:t>14</w:t>
        </w:r>
      </w:fldSimple>
      <w:r>
        <w:t xml:space="preserve">。对于企业SOP场景，推荐采用Late Fusion作为基础架构，配合Cross-Modal Attention模型进行检索结果重排序，以兼顾效率与精度。</w:t>
      </w:r>
    </w:p>
    <w:bookmarkEnd w:id="84"/>
    <w:bookmarkStart w:id="88" w:name="text-image-fusion-rag的实证优势"/>
    <w:p>
      <w:pPr>
        <w:pStyle w:val="Heading4"/>
      </w:pPr>
      <w:r>
        <w:t xml:space="preserve">5.1.2 Text-Image Fusion RAG的实证优势</w:t>
      </w:r>
    </w:p>
    <w:p>
      <w:pPr>
        <w:pStyle w:val="FirstParagraph"/>
      </w:pPr>
      <w:r>
        <w:t xml:space="preserve">Salesforce AI Research发布的UniDoc-Bench是当前最具权威性的文档中心多模态RAG评测基准，覆盖70{,}000个真实PDF页面和1{,}600个人工验证QA对。该基准在统一协议下对比了四种RAG范式的表现：</w:t>
      </w:r>
    </w:p>
    <w:p>
      <w:pPr>
        <w:pStyle w:val="CaptionedFigure"/>
      </w:pPr>
      <w:r>
        <w:drawing>
          <wp:inline>
            <wp:extent cx="5334000" cy="3174420"/>
            <wp:effectExtent b="0" l="0" r="0" t="0"/>
            <wp:docPr descr="UniDoc-Bench四种多模态RAG范式性能对比" title="" id="86" name="Picture"/>
            <a:graphic>
              <a:graphicData uri="http://schemas.openxmlformats.org/drawingml/2006/picture">
                <pic:pic>
                  <pic:nvPicPr>
                    <pic:cNvPr descr="fig_5_1_rag_paradigms.png" id="87" name="Picture"/>
                    <pic:cNvPicPr>
                      <a:picLocks noChangeArrowheads="1" noChangeAspect="1"/>
                    </pic:cNvPicPr>
                  </pic:nvPicPr>
                  <pic:blipFill>
                    <a:blip r:embed="rId85"/>
                    <a:stretch>
                      <a:fillRect/>
                    </a:stretch>
                  </pic:blipFill>
                  <pic:spPr bwMode="auto">
                    <a:xfrm>
                      <a:off x="0" y="0"/>
                      <a:ext cx="5334000" cy="3174420"/>
                    </a:xfrm>
                    <a:prstGeom prst="rect">
                      <a:avLst/>
                    </a:prstGeom>
                    <a:noFill/>
                    <a:ln w="9525">
                      <a:noFill/>
                      <a:headEnd/>
                      <a:tailEnd/>
                    </a:ln>
                  </pic:spPr>
                </pic:pic>
              </a:graphicData>
            </a:graphic>
          </wp:inline>
        </w:drawing>
      </w:r>
    </w:p>
    <w:p>
      <w:pPr>
        <w:pStyle w:val="ImageCaption"/>
      </w:pPr>
      <w:r>
        <w:t xml:space="preserve">UniDoc-Bench四种多模态RAG范式性能对比</w:t>
      </w:r>
    </w:p>
    <w:p>
      <w:pPr>
        <w:pStyle w:val="BodyText"/>
      </w:pPr>
      <w:r>
        <w:t xml:space="preserve">如图5-1所示，text-image fusion（T+I）策略以0.782的Recall@10和0.654的Completeness全面领先。其核心优势在于避免了joint multimodal embedding中的模态间信息干扰：文本路径保留结构化语义，图像路径保留原始视觉信息（包括布局、颜色、字体等），MLLM在生成阶段可同时利用两种信号</w:t>
      </w:r>
      <w:r>
        <w:t xml:space="preserve"> </w:t>
      </w:r>
      <w:fldSimple w:instr="NOTEREF _Ref_Footnote_14 \h \f">
        <w:r>
          <w:rPr>
            <w:vertAlign w:val="superscript"/>
          </w:rPr>
          <w:t>14</w:t>
        </w:r>
      </w:fldSimple>
      <w:r>
        <w:t xml:space="preserve">。在金融PDF场景下，这一优势更为突出——ColQwen2.5-7B在Financial PDFs上达到84%的nDCG@5，较密集文本RAG（BGE-M3，62%）高出22个百分点，较BM25稀疏检索（48%）高出36个百分点</w:t>
      </w:r>
      <w:r>
        <w:t xml:space="preserve"> </w:t>
      </w:r>
      <w:fldSimple w:instr="NOTEREF _Ref_Footnote_15 \h \f">
        <w:r>
          <w:rPr>
            <w:vertAlign w:val="superscript"/>
          </w:rPr>
          <w:t>15</w:t>
        </w:r>
      </w:fldSimple>
      <w:r>
        <w:t xml:space="preserve"> </w:t>
      </w:r>
      <w:fldSimple w:instr="NOTEREF _Ref_Footnote_16 \h \f">
        <w:r>
          <w:rPr>
            <w:vertAlign w:val="superscript"/>
          </w:rPr>
          <w:t>16</w:t>
        </w:r>
      </w:fldSimple>
      <w:r>
        <w:t xml:space="preserve">。</w:t>
      </w:r>
    </w:p>
    <w:bookmarkEnd w:id="88"/>
    <w:bookmarkStart w:id="92" w:name="late-interaction检索colpalicolqwen的整页图像理解"/>
    <w:p>
      <w:pPr>
        <w:pStyle w:val="Heading4"/>
      </w:pPr>
      <w:r>
        <w:t xml:space="preserve">5.1.3 Late Interaction检索：ColPali/ColQwen的整页图像理解</w:t>
      </w:r>
    </w:p>
    <w:p>
      <w:pPr>
        <w:pStyle w:val="FirstParagraph"/>
      </w:pPr>
      <w:r>
        <w:t xml:space="preserve">ColPali家族（ColPali → ColQwen2 → ColQwen2.5 → ColQwen3）基于ColBERT的late interaction范式，将其扩展到视觉文档检索领域</w:t>
      </w:r>
      <w:r>
        <w:t xml:space="preserve"> </w:t>
      </w:r>
      <w:r>
        <w:rPr>
          <w:vertAlign w:val="superscript"/>
        </w:rPr>
        <w:footnoteReference w:id="137"/>
      </w:r>
      <w:r>
        <w:t xml:space="preserve"> </w:t>
      </w:r>
      <w:r>
        <w:rPr>
          <w:vertAlign w:val="superscript"/>
        </w:rPr>
        <w:footnoteReference w:id="138"/>
      </w:r>
      <w:r>
        <w:t xml:space="preserve">。其核心创新在于以token-patch级别的MaxSim评分替代传统的文档级余弦相似度：对查询文本的每个token embedding，计算其与文档图像所有patch embedding的最大相似度，然后求和。这一机制使模型能够精确定位查询关键词对应的图像区域，同时完整保留页面布局信息。</w:t>
      </w:r>
    </w:p>
    <w:p>
      <w:pPr>
        <w:pStyle w:val="BodyText"/>
      </w:pPr>
      <w:r>
        <w:t xml:space="preserve">ColPali的技术流程包含四个步骤：将PDF页面渲染为图像并分割为32×32网格（共1{,}024个patches）；通过VLM（Vision Language Model）处理patches生成上下文化的patch embedding（128维）；将文本查询编码为token-level embeddings；执行MaxSim相似度计算</w:t>
      </w:r>
      <w:r>
        <w:t xml:space="preserve"> </w:t>
      </w:r>
      <w:fldSimple w:instr="NOTEREF _Ref_Footnote_15 \h \f">
        <w:r>
          <w:rPr>
            <w:vertAlign w:val="superscript"/>
          </w:rPr>
          <w:t>15</w:t>
        </w:r>
      </w:fldSimple>
      <w:r>
        <w:t xml:space="preserve"> </w:t>
      </w:r>
      <w:r>
        <w:rPr>
          <w:vertAlign w:val="superscript"/>
        </w:rPr>
        <w:footnoteReference w:id="139"/>
      </w:r>
      <w:r>
        <w:t xml:space="preserve">。与标准dense retrieval的关键区别在于，ColPali每页存储约1{,}030个patch向量（50-500KB），而非单个向量（几KB），但由此带来的细粒度匹配能力使其在视觉文档检索上全面领先</w:t>
      </w:r>
      <w:r>
        <w:t xml:space="preserve"> </w:t>
      </w:r>
      <w:r>
        <w:rPr>
          <w:vertAlign w:val="superscript"/>
        </w:rPr>
        <w:footnoteReference w:id="140"/>
      </w:r>
      <w:r>
        <w:t xml:space="preserve">。</w:t>
      </w:r>
    </w:p>
    <w:p>
      <w:pPr>
        <w:pStyle w:val="BodyText"/>
      </w:pPr>
      <w:r>
        <w:t xml:space="preserve">在ViDoRe（Visual Document Retrieval）v2基准上，ColQwen2.5-3B的平均nDCG@5达到75.5%，ColQwen2.5-7B在金融PDF、幻灯片、扫描文档三类场景分别达84%、87%和79%</w:t>
      </w:r>
      <w:r>
        <w:t xml:space="preserve"> </w:t>
      </w:r>
      <w:fldSimple w:instr="NOTEREF _Ref_Footnote_15 \h \f">
        <w:r>
          <w:rPr>
            <w:vertAlign w:val="superscript"/>
          </w:rPr>
          <w:t>15</w:t>
        </w:r>
      </w:fldSimple>
      <w:r>
        <w:t xml:space="preserve"> </w:t>
      </w:r>
      <w:fldSimple w:instr="NOTEREF _Ref_Footnote_16 \h \f">
        <w:r>
          <w:rPr>
            <w:vertAlign w:val="superscript"/>
          </w:rPr>
          <w:t>16</w:t>
        </w:r>
      </w:fldSimple>
      <w:r>
        <w:t xml:space="preserve">。扫描文档场景中视觉理解优势最大——从密集文本RAG的31%提升至ColQwen2.5-7B的79%，提升幅度达48个百分点，原因包括OCR错误在低质量扫描件上的累积传播以及视觉理解对原始图像的零依赖</w:t>
      </w:r>
      <w:r>
        <w:t xml:space="preserve"> </w:t>
      </w:r>
      <w:fldSimple w:instr="NOTEREF _Ref_Footnote_15 \h \f">
        <w:r>
          <w:rPr>
            <w:vertAlign w:val="superscript"/>
          </w:rPr>
          <w:t>15</w:t>
        </w:r>
      </w:fldSimple>
      <w:r>
        <w:t xml:space="preserve">。</w:t>
      </w:r>
    </w:p>
    <w:p>
      <w:pPr>
        <w:pStyle w:val="CaptionedFigure"/>
      </w:pPr>
      <w:r>
        <w:drawing>
          <wp:inline>
            <wp:extent cx="5334000" cy="3173838"/>
            <wp:effectExtent b="0" l="0" r="0" t="0"/>
            <wp:docPr descr="视觉级理解vs文本RAG在不同文档类型上的表现" title="" id="90" name="Picture"/>
            <a:graphic>
              <a:graphicData uri="http://schemas.openxmlformats.org/drawingml/2006/picture">
                <pic:pic>
                  <pic:nvPicPr>
                    <pic:cNvPr descr="fig_5_2_visual_vs_text_rag.png" id="91" name="Picture"/>
                    <pic:cNvPicPr>
                      <a:picLocks noChangeArrowheads="1" noChangeAspect="1"/>
                    </pic:cNvPicPr>
                  </pic:nvPicPr>
                  <pic:blipFill>
                    <a:blip r:embed="rId89"/>
                    <a:stretch>
                      <a:fillRect/>
                    </a:stretch>
                  </pic:blipFill>
                  <pic:spPr bwMode="auto">
                    <a:xfrm>
                      <a:off x="0" y="0"/>
                      <a:ext cx="5334000" cy="3173838"/>
                    </a:xfrm>
                    <a:prstGeom prst="rect">
                      <a:avLst/>
                    </a:prstGeom>
                    <a:noFill/>
                    <a:ln w="9525">
                      <a:noFill/>
                      <a:headEnd/>
                      <a:tailEnd/>
                    </a:ln>
                  </pic:spPr>
                </pic:pic>
              </a:graphicData>
            </a:graphic>
          </wp:inline>
        </w:drawing>
      </w:r>
    </w:p>
    <w:p>
      <w:pPr>
        <w:pStyle w:val="ImageCaption"/>
      </w:pPr>
      <w:r>
        <w:t xml:space="preserve">视觉级理解vs文本RAG在不同文档类型上的表现</w:t>
      </w:r>
    </w:p>
    <w:bookmarkEnd w:id="92"/>
    <w:bookmarkEnd w:id="93"/>
    <w:bookmarkStart w:id="97" w:name="核心技术与模型"/>
    <w:p>
      <w:pPr>
        <w:pStyle w:val="Heading3"/>
      </w:pPr>
      <w:r>
        <w:t xml:space="preserve">5.2 核心技术与模型</w:t>
      </w:r>
    </w:p>
    <w:bookmarkStart w:id="94" w:name="qwen3-vl-embedding全模态embedding的标杆"/>
    <w:p>
      <w:pPr>
        <w:pStyle w:val="Heading4"/>
      </w:pPr>
      <w:r>
        <w:t xml:space="preserve">5.2.1 Qwen3-VL-Embedding：全模态Embedding的标杆</w:t>
      </w:r>
    </w:p>
    <w:p>
      <w:pPr>
        <w:pStyle w:val="FirstParagraph"/>
      </w:pPr>
      <w:r>
        <w:t xml:space="preserve">Qwen3-VL-Embedding由阿里巴巴通义千问团队于2026年1月发布，是当前通用多模态embedding领域的领先模型</w:t>
      </w:r>
      <w:r>
        <w:t xml:space="preserve"> </w:t>
      </w:r>
      <w:fldSimple w:instr="NOTEREF _Ref_Footnote_136 \h \f">
        <w:r>
          <w:rPr>
            <w:vertAlign w:val="superscript"/>
          </w:rPr>
          <w:t>136</w:t>
        </w:r>
      </w:fldSimple>
      <w:r>
        <w:t xml:space="preserve"> </w:t>
      </w:r>
      <w:r>
        <w:rPr>
          <w:vertAlign w:val="superscript"/>
        </w:rPr>
        <w:footnoteReference w:id="141"/>
      </w:r>
      <w:r>
        <w:t xml:space="preserve">。该模型采用Dual-Tower（Bi-encoder）架构，查询和文档分别独立编码，文本、图像与视频在共享语义空间中统一表示。8B版本拥有36层、4{,}096维嵌入向量、32K序列长度，并原生支持MRL（Matryoshka Representation Learning）动态维度选择与量化推理</w:t>
      </w:r>
      <w:r>
        <w:t xml:space="preserve"> </w:t>
      </w:r>
      <w:fldSimple w:instr="NOTEREF _Ref_Footnote_136 \h \f">
        <w:r>
          <w:rPr>
            <w:vertAlign w:val="superscript"/>
          </w:rPr>
          <w:t>136</w:t>
        </w:r>
      </w:fldSimple>
      <w:r>
        <w:t xml:space="preserve"> </w:t>
      </w:r>
      <w:r>
        <w:rPr>
          <w:vertAlign w:val="superscript"/>
        </w:rPr>
        <w:footnoteReference w:id="142"/>
      </w:r>
      <w:r>
        <w:t xml:space="preserve">。</w:t>
      </w:r>
    </w:p>
    <w:p>
      <w:pPr>
        <w:pStyle w:val="BodyText"/>
      </w:pPr>
      <w:r>
        <w:t xml:space="preserve">在MMEB-V2（Massive Multimodal Embedding Benchmark V2）评测中，Qwen3-VL-Embedding-8B在Precision@1指标上综合排名第一，覆盖Image、Video、VisDoc、Text、Agent五大类任务</w:t>
      </w:r>
      <w:r>
        <w:t xml:space="preserve"> </w:t>
      </w:r>
      <w:r>
        <w:rPr>
          <w:vertAlign w:val="superscript"/>
        </w:rPr>
        <w:footnoteReference w:id="143"/>
      </w:r>
      <w:r>
        <w:t xml:space="preserve">。MMEB-V3的详细数据显示，8B版本在Image任务上达72.1分、Video任务58.6分、VisDoc任务70.9分，综合All*得分53.0，领先GME（45.7分）和Omni-Embed-Nemotron（43.0分）等竞争对手</w:t>
      </w:r>
      <w:r>
        <w:t xml:space="preserve"> </w:t>
      </w:r>
      <w:r>
        <w:rPr>
          <w:vertAlign w:val="superscript"/>
        </w:rPr>
        <w:footnoteReference w:id="144"/>
      </w:r>
      <w:r>
        <w:t xml:space="preserve">。值得注意的是，尽管Qwen3-VL-Embedding在通用多模态任务上全面领先，但在专门的视觉文档检索（VisDoc）子任务上，ColQwen2.5系列仍保持优势——这再次验证了Late Fusion架构中”专用模型处理专用模态”的设计原则。</w:t>
      </w:r>
    </w:p>
    <w:bookmarkEnd w:id="94"/>
    <w:bookmarkStart w:id="95" w:name="阿里云百炼多模态知识库企业级开箱方案"/>
    <w:p>
      <w:pPr>
        <w:pStyle w:val="Heading4"/>
      </w:pPr>
      <w:r>
        <w:t xml:space="preserve">5.2.2 阿里云百炼多模态知识库：企业级开箱方案</w:t>
      </w:r>
    </w:p>
    <w:p>
      <w:pPr>
        <w:pStyle w:val="FirstParagraph"/>
      </w:pPr>
      <w:r>
        <w:t xml:space="preserve">阿里云百炼（Model Studio）为不愿自建多模态RAG基础设施的企业提供了完整的托管方案。其知识库产品提供四种类型，其中”视觉理解”类型自动使用qwen3-vl-embedding作为向量模型，对PDF和图片进行视觉级理解和索引，支持文字查询、图片查询和图文组合三种命中测试模式</w:t>
      </w:r>
      <w:r>
        <w:t xml:space="preserve"> </w:t>
      </w:r>
      <w:fldSimple w:instr="NOTEREF _Ref_Footnote_26 \h \f">
        <w:r>
          <w:rPr>
            <w:vertAlign w:val="superscript"/>
          </w:rPr>
          <w:t>26</w:t>
        </w:r>
      </w:fldSimple>
      <w:r>
        <w:t xml:space="preserve">。该方案的核心价值在于将多模态索引的技术复杂度完全抽象——用户只需上传文档，系统自动完成视觉级理解和索引构建，查询时返回图文并茂的回复。</w:t>
      </w:r>
    </w:p>
    <w:p>
      <w:pPr>
        <w:pStyle w:val="BodyText"/>
      </w:pPr>
      <w:r>
        <w:t xml:space="preserve">“</w:t>
      </w:r>
      <w:r>
        <w:t xml:space="preserve">图文并茂回复</w:t>
      </w:r>
      <w:r>
        <w:t xml:space="preserve">”</w:t>
      </w:r>
      <w:r>
        <w:t xml:space="preserve">知识库类型则适用于需要返回图文混排内容的场景，使用文本向量模型索引但保留原始图片用于展示</w:t>
      </w:r>
      <w:r>
        <w:t xml:space="preserve"> </w:t>
      </w:r>
      <w:fldSimple w:instr="NOTEREF _Ref_Footnote_26 \h \f">
        <w:r>
          <w:rPr>
            <w:vertAlign w:val="superscript"/>
          </w:rPr>
          <w:t>26</w:t>
        </w:r>
      </w:fldSimple>
      <w:r>
        <w:t xml:space="preserve">。对于中国企业而言，百炼方案还满足了数据主权要求——所有处理和存储均在阿里云国内节点完成，符合《数据安全法》和《个人信息保护法》的合规框架。在选型时需注意，知识库类型创建后不可更改，且”视觉理解”类型的向量模型固定为qwen3-vl-embedding，不支持自定义替换</w:t>
      </w:r>
      <w:r>
        <w:t xml:space="preserve"> </w:t>
      </w:r>
      <w:fldSimple w:instr="NOTEREF _Ref_Footnote_26 \h \f">
        <w:r>
          <w:rPr>
            <w:vertAlign w:val="superscript"/>
          </w:rPr>
          <w:t>26</w:t>
        </w:r>
      </w:fldSimple>
      <w:r>
        <w:t xml:space="preserve">。</w:t>
      </w:r>
    </w:p>
    <w:bookmarkEnd w:id="95"/>
    <w:bookmarkStart w:id="96" w:name="视觉级整页理解vs-ocr文本权衡与选择"/>
    <w:p>
      <w:pPr>
        <w:pStyle w:val="Heading4"/>
      </w:pPr>
      <w:r>
        <w:t xml:space="preserve">5.2.3 视觉级整页理解vs OCR+文本：权衡与选择</w:t>
      </w:r>
    </w:p>
    <w:p>
      <w:pPr>
        <w:pStyle w:val="FirstParagraph"/>
      </w:pPr>
      <w:r>
        <w:t xml:space="preserve">视觉级整页理解与文本OCR+理解之间的竞争是多模态RAG领域的核心争议之一。系统性对比研究表明，两者各有明确的适用边界</w:t>
      </w:r>
      <w:r>
        <w:t xml:space="preserve"> </w:t>
      </w:r>
      <w:r>
        <w:rPr>
          <w:vertAlign w:val="superscript"/>
        </w:rPr>
        <w:footnoteReference w:id="145"/>
      </w:r>
      <w:r>
        <w:t xml:space="preserve">。</w:t>
      </w:r>
    </w:p>
    <w:p>
      <w:pPr>
        <w:pStyle w:val="BodyText"/>
      </w:pPr>
      <w:r>
        <w:t xml:space="preserve">在信息保留维度，ColPali的视觉级理解完整保留了布局、颜色、字体、图表等视觉信号，无需OCR预处理，避免了OCR错误在检索管道中的传播。在金融PDF和扫描文档场景中，这一优势转化为显著的检索精度提升——ColQwen2.5-7B在扫描文档上达79% nDCG@5，而密集文本RAG仅31%</w:t>
      </w:r>
      <w:r>
        <w:t xml:space="preserve"> </w:t>
      </w:r>
      <w:fldSimple w:instr="NOTEREF _Ref_Footnote_15 \h \f">
        <w:r>
          <w:rPr>
            <w:vertAlign w:val="superscript"/>
          </w:rPr>
          <w:t>15</w:t>
        </w:r>
      </w:fldSimple>
      <w:r>
        <w:t xml:space="preserve">。然而，视觉级理解的存储成本比文本RAG高两个数量级（每页50-500KB vs 几KB），MaxSim计算在CPU上延迟约50ms，虽通过GPU加速可降至10ms以下，但仍高于单向量余弦相似度的亚毫秒级响应</w:t>
      </w:r>
      <w:r>
        <w:t xml:space="preserve"> </w:t>
      </w:r>
      <w:fldSimple w:instr="NOTEREF _Ref_Footnote_140 \h \f">
        <w:r>
          <w:rPr>
            <w:vertAlign w:val="superscript"/>
          </w:rPr>
          <w:t>140</w:t>
        </w:r>
      </w:fldSimple>
      <w:r>
        <w:t xml:space="preserve">。</w:t>
      </w:r>
    </w:p>
    <w:p>
      <w:pPr>
        <w:pStyle w:val="BodyText"/>
      </w:pPr>
      <w:r>
        <w:t xml:space="preserve">OCR-based RAG的优势在于泛化能力和成本效率。研究发现，在训练数据分布外的文档上，OCR+文本RAG的泛化能力更强</w:t>
      </w:r>
      <w:r>
        <w:t xml:space="preserve"> </w:t>
      </w:r>
      <w:fldSimple w:instr="NOTEREF _Ref_Footnote_145 \h \f">
        <w:r>
          <w:rPr>
            <w:vertAlign w:val="superscript"/>
          </w:rPr>
          <w:t>145</w:t>
        </w:r>
      </w:fldSimple>
      <w:r>
        <w:t xml:space="preserve">。对于排版简单、以文本为主的SOP文档，高质量OCR（如MinerU 2.5-Pro在OmniDocBench v1.6上达95.69分</w:t>
      </w:r>
      <w:r>
        <w:t xml:space="preserve"> </w:t>
      </w:r>
      <w:fldSimple w:instr="NOTEREF _Ref_Footnote_13 \h \f">
        <w:r>
          <w:rPr>
            <w:vertAlign w:val="superscript"/>
          </w:rPr>
          <w:t>13</w:t>
        </w:r>
      </w:fldSimple>
      <w:r>
        <w:t xml:space="preserve">）配合文本embedding已足以满足需求，且存储成本可降低50-100倍。</w:t>
      </w:r>
    </w:p>
    <w:p>
      <w:pPr>
        <w:pStyle w:val="BodyText"/>
      </w:pPr>
      <w:r>
        <w:t xml:space="preserve">TABRAG框架尝试结合两者优势：使用Qwen2.5-VL进行区域级语义提取（表格、图表等），将结构化表示转换为embedding友好的自然语言描述，再使用Qwen3-Embedding-8B检索。在TAT-DQA数据集上，TABRAG的生成准确率达92.44%，远超PyMuPDF的66.83%和Qwen2.5-VL-32B直接理解的63.54%</w:t>
      </w:r>
      <w:r>
        <w:t xml:space="preserve"> </w:t>
      </w:r>
      <w:r>
        <w:rPr>
          <w:vertAlign w:val="superscript"/>
        </w:rPr>
        <w:footnoteReference w:id="146"/>
      </w:r>
      <w:r>
        <w:t xml:space="preserve">。对于SOP场景，建议采用混合策略：以文本RAG处理纯文本页面，以ColQwen2.5处理包含复杂图表、流程图或扫描图像的页面，在检索层通过Late Fusion合并结果。</w:t>
      </w:r>
    </w:p>
    <w:bookmarkEnd w:id="96"/>
    <w:bookmarkEnd w:id="97"/>
    <w:bookmarkStart w:id="101" w:name="sop场景的图片处理策略"/>
    <w:p>
      <w:pPr>
        <w:pStyle w:val="Heading3"/>
      </w:pPr>
      <w:r>
        <w:t xml:space="preserve">5.3 SOP场景的图片处理策略</w:t>
      </w:r>
    </w:p>
    <w:bookmarkStart w:id="98" w:name="企业sop常见图片类型分类处理"/>
    <w:p>
      <w:pPr>
        <w:pStyle w:val="Heading4"/>
      </w:pPr>
      <w:r>
        <w:t xml:space="preserve">5.3.1 企业SOP常见图片类型分类处理</w:t>
      </w:r>
    </w:p>
    <w:p>
      <w:pPr>
        <w:pStyle w:val="FirstParagraph"/>
      </w:pPr>
      <w:r>
        <w:t xml:space="preserve">企业SOP文档中的图片可按信息类型和处理需求分为六类，每类对应最优的处理策略：</w:t>
      </w:r>
    </w:p>
    <w:tbl>
      <w:tblPr>
        <w:tblStyle w:val="Table"/>
        <w:tblW w:type="pct" w:w="5000"/>
        <w:tblLook w:firstRow="1" w:lastRow="0" w:firstColumn="0" w:lastColumn="0" w:noHBand="0" w:noVBand="0" w:val="0020"/>
      </w:tblPr>
      <w:tblGrid>
        <w:gridCol w:w="1454"/>
        <w:gridCol w:w="1454"/>
        <w:gridCol w:w="1454"/>
        <w:gridCol w:w="2101"/>
        <w:gridCol w:w="1454"/>
      </w:tblGrid>
      <w:tr>
        <w:trPr>
          <w:tblHeader w:val="true"/>
        </w:trPr>
        <w:tc>
          <w:tcPr/>
          <w:p>
            <w:pPr>
              <w:pStyle w:val="Compact"/>
              <w:jc w:val="left"/>
            </w:pPr>
            <w:r>
              <w:t xml:space="preserve">图片类型</w:t>
            </w:r>
          </w:p>
        </w:tc>
        <w:tc>
          <w:tcPr/>
          <w:p>
            <w:pPr>
              <w:pStyle w:val="Compact"/>
              <w:jc w:val="left"/>
            </w:pPr>
            <w:r>
              <w:t xml:space="preserve">典型示例</w:t>
            </w:r>
          </w:p>
        </w:tc>
        <w:tc>
          <w:tcPr/>
          <w:p>
            <w:pPr>
              <w:pStyle w:val="Compact"/>
              <w:jc w:val="left"/>
            </w:pPr>
            <w:r>
              <w:t xml:space="preserve">处理策略</w:t>
            </w:r>
          </w:p>
        </w:tc>
        <w:tc>
          <w:tcPr/>
          <w:p>
            <w:pPr>
              <w:pStyle w:val="Compact"/>
              <w:jc w:val="left"/>
            </w:pPr>
            <w:r>
              <w:t xml:space="preserve">推荐模型/工具</w:t>
            </w:r>
          </w:p>
        </w:tc>
        <w:tc>
          <w:tcPr/>
          <w:p>
            <w:pPr>
              <w:pStyle w:val="Compact"/>
              <w:jc w:val="left"/>
            </w:pPr>
            <w:r>
              <w:t xml:space="preserve">关键考量</w:t>
            </w:r>
          </w:p>
        </w:tc>
      </w:tr>
      <w:tr>
        <w:tc>
          <w:tcPr/>
          <w:p>
            <w:pPr>
              <w:pStyle w:val="Compact"/>
              <w:jc w:val="left"/>
            </w:pPr>
            <w:r>
              <w:t xml:space="preserve">操作截图</w:t>
            </w:r>
          </w:p>
        </w:tc>
        <w:tc>
          <w:tcPr/>
          <w:p>
            <w:pPr>
              <w:pStyle w:val="Compact"/>
              <w:jc w:val="left"/>
            </w:pPr>
            <w:r>
              <w:t xml:space="preserve">软件界面、按钮位置</w:t>
            </w:r>
          </w:p>
        </w:tc>
        <w:tc>
          <w:tcPr/>
          <w:p>
            <w:pPr>
              <w:pStyle w:val="Compact"/>
              <w:jc w:val="left"/>
            </w:pPr>
            <w:r>
              <w:t xml:space="preserve">Late Fusion整页检索+文本描述</w:t>
            </w:r>
          </w:p>
        </w:tc>
        <w:tc>
          <w:tcPr/>
          <w:p>
            <w:pPr>
              <w:pStyle w:val="Compact"/>
              <w:jc w:val="left"/>
            </w:pPr>
            <w:r>
              <w:t xml:space="preserve">ColQwen2.5</w:t>
            </w:r>
            <w:r>
              <w:t xml:space="preserve"> </w:t>
            </w:r>
            <w:fldSimple w:instr="NOTEREF _Ref_Footnote_15 \h \f">
              <w:r>
                <w:rPr>
                  <w:vertAlign w:val="superscript"/>
                </w:rPr>
                <w:t>15</w:t>
              </w:r>
            </w:fldSimple>
          </w:p>
        </w:tc>
        <w:tc>
          <w:tcPr/>
          <w:p>
            <w:pPr>
              <w:pStyle w:val="Compact"/>
              <w:jc w:val="left"/>
            </w:pPr>
            <w:r>
              <w:t xml:space="preserve">保留UI元素空间位置</w:t>
            </w:r>
          </w:p>
        </w:tc>
      </w:tr>
      <w:tr>
        <w:tc>
          <w:tcPr/>
          <w:p>
            <w:pPr>
              <w:pStyle w:val="Compact"/>
              <w:jc w:val="left"/>
            </w:pPr>
            <w:r>
              <w:t xml:space="preserve">流程图</w:t>
            </w:r>
          </w:p>
        </w:tc>
        <w:tc>
          <w:tcPr/>
          <w:p>
            <w:pPr>
              <w:pStyle w:val="Compact"/>
              <w:jc w:val="left"/>
            </w:pPr>
            <w:r>
              <w:t xml:space="preserve">业务流程、决策树</w:t>
            </w:r>
          </w:p>
        </w:tc>
        <w:tc>
          <w:tcPr/>
          <w:p>
            <w:pPr>
              <w:pStyle w:val="Compact"/>
              <w:jc w:val="left"/>
            </w:pPr>
            <w:r>
              <w:t xml:space="preserve">整页图像检索（保留布局）</w:t>
            </w:r>
          </w:p>
        </w:tc>
        <w:tc>
          <w:tcPr/>
          <w:p>
            <w:pPr>
              <w:pStyle w:val="Compact"/>
              <w:jc w:val="left"/>
            </w:pPr>
            <w:r>
              <w:t xml:space="preserve">ColQwen2.5</w:t>
            </w:r>
            <w:r>
              <w:t xml:space="preserve"> </w:t>
            </w:r>
            <w:fldSimple w:instr="NOTEREF _Ref_Footnote_139 \h \f">
              <w:r>
                <w:rPr>
                  <w:vertAlign w:val="superscript"/>
                </w:rPr>
                <w:t>139</w:t>
              </w:r>
            </w:fldSimple>
          </w:p>
        </w:tc>
        <w:tc>
          <w:tcPr/>
          <w:p>
            <w:pPr>
              <w:pStyle w:val="Compact"/>
              <w:jc w:val="left"/>
            </w:pPr>
            <w:r>
              <w:t xml:space="preserve">箭头方向、节点关系无法OCR</w:t>
            </w:r>
          </w:p>
        </w:tc>
      </w:tr>
      <w:tr>
        <w:tc>
          <w:tcPr/>
          <w:p>
            <w:pPr>
              <w:pStyle w:val="Compact"/>
              <w:jc w:val="left"/>
            </w:pPr>
            <w:r>
              <w:t xml:space="preserve">设备照片</w:t>
            </w:r>
          </w:p>
        </w:tc>
        <w:tc>
          <w:tcPr/>
          <w:p>
            <w:pPr>
              <w:pStyle w:val="Compact"/>
              <w:jc w:val="left"/>
            </w:pPr>
            <w:r>
              <w:t xml:space="preserve">机器部件、安全设备</w:t>
            </w:r>
          </w:p>
        </w:tc>
        <w:tc>
          <w:tcPr/>
          <w:p>
            <w:pPr>
              <w:pStyle w:val="Compact"/>
              <w:jc w:val="left"/>
            </w:pPr>
            <w:r>
              <w:t xml:space="preserve">Image captioning + 视觉检索</w:t>
            </w:r>
          </w:p>
        </w:tc>
        <w:tc>
          <w:tcPr/>
          <w:p>
            <w:pPr>
              <w:pStyle w:val="Compact"/>
              <w:jc w:val="left"/>
            </w:pPr>
            <w:r>
              <w:t xml:space="preserve">Qwen3-VL-Embedding</w:t>
            </w:r>
            <w:r>
              <w:t xml:space="preserve"> </w:t>
            </w:r>
            <w:fldSimple w:instr="NOTEREF _Ref_Footnote_136 \h \f">
              <w:r>
                <w:rPr>
                  <w:vertAlign w:val="superscript"/>
                </w:rPr>
                <w:t>136</w:t>
              </w:r>
            </w:fldSimple>
          </w:p>
        </w:tc>
        <w:tc>
          <w:tcPr/>
          <w:p>
            <w:pPr>
              <w:pStyle w:val="Compact"/>
              <w:jc w:val="left"/>
            </w:pPr>
            <w:r>
              <w:t xml:space="preserve">设备型号、状态需文字描述辅助</w:t>
            </w:r>
          </w:p>
        </w:tc>
      </w:tr>
      <w:tr>
        <w:tc>
          <w:tcPr/>
          <w:p>
            <w:pPr>
              <w:pStyle w:val="Compact"/>
              <w:jc w:val="left"/>
            </w:pPr>
            <w:r>
              <w:t xml:space="preserve">参数表格</w:t>
            </w:r>
          </w:p>
        </w:tc>
        <w:tc>
          <w:tcPr/>
          <w:p>
            <w:pPr>
              <w:pStyle w:val="Compact"/>
              <w:jc w:val="left"/>
            </w:pPr>
            <w:r>
              <w:t xml:space="preserve">配置表、性能图表</w:t>
            </w:r>
          </w:p>
        </w:tc>
        <w:tc>
          <w:tcPr/>
          <w:p>
            <w:pPr>
              <w:pStyle w:val="Compact"/>
              <w:jc w:val="left"/>
            </w:pPr>
            <w:r>
              <w:t xml:space="preserve">区域提取+结构化描述</w:t>
            </w:r>
          </w:p>
        </w:tc>
        <w:tc>
          <w:tcPr/>
          <w:p>
            <w:pPr>
              <w:pStyle w:val="Compact"/>
              <w:jc w:val="left"/>
            </w:pPr>
            <w:r>
              <w:t xml:space="preserve">TABRAG</w:t>
            </w:r>
            <w:r>
              <w:t xml:space="preserve"> </w:t>
            </w:r>
            <w:fldSimple w:instr="NOTEREF _Ref_Footnote_146 \h \f">
              <w:r>
                <w:rPr>
                  <w:vertAlign w:val="superscript"/>
                </w:rPr>
                <w:t>146</w:t>
              </w:r>
            </w:fldSimple>
          </w:p>
        </w:tc>
        <w:tc>
          <w:tcPr/>
          <w:p>
            <w:pPr>
              <w:pStyle w:val="Compact"/>
              <w:jc w:val="left"/>
            </w:pPr>
            <w:r>
              <w:t xml:space="preserve">精确数值不容幻觉</w:t>
            </w:r>
          </w:p>
        </w:tc>
      </w:tr>
      <w:tr>
        <w:tc>
          <w:tcPr/>
          <w:p>
            <w:pPr>
              <w:pStyle w:val="Compact"/>
              <w:jc w:val="left"/>
            </w:pPr>
            <w:r>
              <w:t xml:space="preserve">扫描文档</w:t>
            </w:r>
          </w:p>
        </w:tc>
        <w:tc>
          <w:tcPr/>
          <w:p>
            <w:pPr>
              <w:pStyle w:val="Compact"/>
              <w:jc w:val="left"/>
            </w:pPr>
            <w:r>
              <w:t xml:space="preserve">纸质SOP扫描件</w:t>
            </w:r>
          </w:p>
        </w:tc>
        <w:tc>
          <w:tcPr/>
          <w:p>
            <w:pPr>
              <w:pStyle w:val="Compact"/>
              <w:jc w:val="left"/>
            </w:pPr>
            <w:r>
              <w:t xml:space="preserve">整页图像检索（跳过OCR）</w:t>
            </w:r>
          </w:p>
        </w:tc>
        <w:tc>
          <w:tcPr/>
          <w:p>
            <w:pPr>
              <w:pStyle w:val="Compact"/>
              <w:jc w:val="left"/>
            </w:pPr>
            <w:r>
              <w:t xml:space="preserve">ColQwen2.5</w:t>
            </w:r>
            <w:r>
              <w:t xml:space="preserve"> </w:t>
            </w:r>
            <w:fldSimple w:instr="NOTEREF _Ref_Footnote_15 \h \f">
              <w:r>
                <w:rPr>
                  <w:vertAlign w:val="superscript"/>
                </w:rPr>
                <w:t>15</w:t>
              </w:r>
            </w:fldSimple>
          </w:p>
        </w:tc>
        <w:tc>
          <w:tcPr/>
          <w:p>
            <w:pPr>
              <w:pStyle w:val="Compact"/>
              <w:jc w:val="left"/>
            </w:pPr>
            <w:r>
              <w:t xml:space="preserve">OCR错误在低质量扫描件上累积</w:t>
            </w:r>
          </w:p>
        </w:tc>
      </w:tr>
      <w:tr>
        <w:tc>
          <w:tcPr/>
          <w:p>
            <w:pPr>
              <w:pStyle w:val="Compact"/>
              <w:jc w:val="left"/>
            </w:pPr>
            <w:r>
              <w:t xml:space="preserve">警示标识</w:t>
            </w:r>
          </w:p>
        </w:tc>
        <w:tc>
          <w:tcPr/>
          <w:p>
            <w:pPr>
              <w:pStyle w:val="Compact"/>
              <w:jc w:val="left"/>
            </w:pPr>
            <w:r>
              <w:t xml:space="preserve">安全标识、色码</w:t>
            </w:r>
          </w:p>
        </w:tc>
        <w:tc>
          <w:tcPr/>
          <w:p>
            <w:pPr>
              <w:pStyle w:val="Compact"/>
              <w:jc w:val="left"/>
            </w:pPr>
            <w:r>
              <w:t xml:space="preserve">视觉特征检索+文本绑定</w:t>
            </w:r>
          </w:p>
        </w:tc>
        <w:tc>
          <w:tcPr/>
          <w:p>
            <w:pPr>
              <w:pStyle w:val="Compact"/>
              <w:jc w:val="left"/>
            </w:pPr>
            <w:r>
              <w:t xml:space="preserve">CLIP-style模型</w:t>
            </w:r>
          </w:p>
        </w:tc>
        <w:tc>
          <w:tcPr/>
          <w:p>
            <w:pPr>
              <w:pStyle w:val="Compact"/>
              <w:jc w:val="left"/>
            </w:pPr>
            <w:r>
              <w:t xml:space="preserve">与警告文本绑定处理</w:t>
            </w:r>
          </w:p>
        </w:tc>
      </w:tr>
    </w:tbl>
    <w:p>
      <w:pPr>
        <w:pStyle w:val="BodyText"/>
      </w:pPr>
      <w:r>
        <w:t xml:space="preserve">上表的处理策略基于各图片类型的信息特征差异。操作截图和流程图的空间布局信息（按钮位置、箭头走向）是文本OCR难以完整捕获的，ColPali的late interaction可通过MaxSim热图精确匹配查询关键词到图像区域</w:t>
      </w:r>
      <w:r>
        <w:t xml:space="preserve"> </w:t>
      </w:r>
      <w:r>
        <w:rPr>
          <w:vertAlign w:val="superscript"/>
        </w:rPr>
        <w:footnoteReference w:id="147"/>
      </w:r>
      <w:r>
        <w:t xml:space="preserve">。设备照片则更适合生成image captioning作为文本索引的补充，因为设备型号、部件名称等信息以文本形式更利于检索。参数表格对精确度要求最高，TABRAG的区域级语义提取+结构化描述可将生成准确率从PyMuPDF的66.83%提升至92.44%</w:t>
      </w:r>
      <w:r>
        <w:t xml:space="preserve"> </w:t>
      </w:r>
      <w:fldSimple w:instr="NOTEREF _Ref_Footnote_146 \h \f">
        <w:r>
          <w:rPr>
            <w:vertAlign w:val="superscript"/>
          </w:rPr>
          <w:t>146</w:t>
        </w:r>
      </w:fldSimple>
      <w:r>
        <w:t xml:space="preserve">。对于扫描文档，ColPali-only方案甚至优于Hybrid方案——因为OCR管道的错误会污染文本检索路径，在金融PDF混合实验中OCR反而使整体检索率从79%降至76%</w:t>
      </w:r>
      <w:r>
        <w:t xml:space="preserve"> </w:t>
      </w:r>
      <w:fldSimple w:instr="NOTEREF _Ref_Footnote_15 \h \f">
        <w:r>
          <w:rPr>
            <w:vertAlign w:val="superscript"/>
          </w:rPr>
          <w:t>15</w:t>
        </w:r>
      </w:fldSimple>
      <w:r>
        <w:t xml:space="preserve">。</w:t>
      </w:r>
    </w:p>
    <w:bookmarkEnd w:id="98"/>
    <w:bookmarkStart w:id="99" w:name="多模态rag成本分析存储计算与优化"/>
    <w:p>
      <w:pPr>
        <w:pStyle w:val="Heading4"/>
      </w:pPr>
      <w:r>
        <w:t xml:space="preserve">5.3.2 多模态RAG成本分析：存储、计算与优化</w:t>
      </w:r>
    </w:p>
    <w:p>
      <w:pPr>
        <w:pStyle w:val="FirstParagraph"/>
      </w:pPr>
      <w:r>
        <w:t xml:space="preserve">多模态RAG的存储成本是企业部署时的首要考量。ColPali每页需存储约1{,}030个patch向量（FP16），存储需求为50-500KB/页，相较文本RAG的~2KB/页高出约100倍。以10万页SOP文档计算，FP32全量存储需约50GB，FP16减半至25GB</w:t>
      </w:r>
      <w:r>
        <w:t xml:space="preserve"> </w:t>
      </w:r>
      <w:fldSimple w:instr="NOTEREF _Ref_Footnote_140 \h \f">
        <w:r>
          <w:rPr>
            <w:vertAlign w:val="superscript"/>
          </w:rPr>
          <w:t>140</w:t>
        </w:r>
      </w:fldSimple>
      <w:r>
        <w:t xml:space="preserve">。</w:t>
      </w:r>
    </w:p>
    <w:p>
      <w:pPr>
        <w:pStyle w:val="BodyText"/>
      </w:pPr>
      <w:r>
        <w:t xml:space="preserve">业界已发展出多种优化技术将存储成本降至可接受范围。二进制量化（Binary Quantization）将FP16向量转为binary表示，存储减少32倍（从</w:t>
      </w:r>
      <w:r>
        <w:rPr>
          <w:vertAlign w:val="subscript"/>
        </w:rPr>
        <w:t xml:space="preserve">500KB/页降至</w:t>
      </w:r>
      <w:r>
        <w:t xml:space="preserve">16KB/页），且精度损失极小</w:t>
      </w:r>
      <w:r>
        <w:t xml:space="preserve"> </w:t>
      </w:r>
      <w:fldSimple w:instr="NOTEREF _Ref_Footnote_16 \h \f">
        <w:r>
          <w:rPr>
            <w:vertAlign w:val="superscript"/>
          </w:rPr>
          <w:t>16</w:t>
        </w:r>
      </w:fldSimple>
      <w:r>
        <w:t xml:space="preserve">。Token Pooling技术通过识别并移除不重要的区域（如页边距、空白），Light-ColPali可在减少9倍向量数量的同时保持98%以上的检索性能</w:t>
      </w:r>
      <w:r>
        <w:t xml:space="preserve"> </w:t>
      </w:r>
      <w:r>
        <w:rPr>
          <w:vertAlign w:val="superscript"/>
        </w:rPr>
        <w:footnoteReference w:id="148"/>
      </w:r>
      <w:r>
        <w:t xml:space="preserve">。ReinPool（Reinforcement Learning Pooling）进一步使用强化学习学习最优向量压缩策略，在ViDoRe v2上达到与全量相当的效果</w:t>
      </w:r>
      <w:r>
        <w:t xml:space="preserve"> </w:t>
      </w:r>
      <w:r>
        <w:rPr>
          <w:vertAlign w:val="superscript"/>
        </w:rPr>
        <w:footnoteReference w:id="149"/>
      </w:r>
      <w:r>
        <w:t xml:space="preserve">。MRL（Matryoshka Representation Learning）支持动态维度选择，可根据查询复杂度在128维、64维、32维之间灵活切换</w:t>
      </w:r>
      <w:r>
        <w:t xml:space="preserve"> </w:t>
      </w:r>
      <w:fldSimple w:instr="NOTEREF _Ref_Footnote_136 \h \f">
        <w:r>
          <w:rPr>
            <w:vertAlign w:val="superscript"/>
          </w:rPr>
          <w:t>136</w:t>
        </w:r>
      </w:fldSimple>
      <w:r>
        <w:t xml:space="preserve">。</w:t>
      </w:r>
    </w:p>
    <w:p>
      <w:pPr>
        <w:pStyle w:val="BodyText"/>
      </w:pPr>
      <w:r>
        <w:t xml:space="preserve">计算成本方面，索引阶段的单次处理在H100 GPU上，ColPali-3B约76ms/页、ColQwen2.5-3B约188ms/页，1万页文档的索引时间分别为约13分钟和31分钟</w:t>
      </w:r>
      <w:r>
        <w:t xml:space="preserve"> </w:t>
      </w:r>
      <w:r>
        <w:rPr>
          <w:vertAlign w:val="superscript"/>
        </w:rPr>
        <w:footnoteReference w:id="150"/>
      </w:r>
      <w:r>
        <w:t xml:space="preserve">。查询延迟在GPU加速下可控制在10ms以内（PLAID引擎），2-stage检索（先pooling向量prefetch，再精确MaxSim）将延迟控制在5-20ms</w:t>
      </w:r>
      <w:r>
        <w:t xml:space="preserve"> </w:t>
      </w:r>
      <w:r>
        <w:rPr>
          <w:vertAlign w:val="superscript"/>
        </w:rPr>
        <w:footnoteReference w:id="151"/>
      </w:r>
      <w:r>
        <w:t xml:space="preserve">。对于企业SOP知识库，建议采用二进制量化+2-stage检索的组合策略，在精度损失可忽略的前提下实现与文本RAG相当的查询延迟。</w:t>
      </w:r>
    </w:p>
    <w:bookmarkEnd w:id="99"/>
    <w:bookmarkStart w:id="100" w:name="幻觉缓解多模态rag的特殊挑战"/>
    <w:p>
      <w:pPr>
        <w:pStyle w:val="Heading4"/>
      </w:pPr>
      <w:r>
        <w:t xml:space="preserve">5.3.3 幻觉缓解：多模态RAG的特殊挑战</w:t>
      </w:r>
    </w:p>
    <w:p>
      <w:pPr>
        <w:pStyle w:val="FirstParagraph"/>
      </w:pPr>
      <w:r>
        <w:t xml:space="preserve">多模态RAG中的幻觉问题比纯文本RAG更为复杂，且呈现出特有的跨模态形态</w:t>
      </w:r>
      <w:r>
        <w:t xml:space="preserve"> </w:t>
      </w:r>
      <w:r>
        <w:rPr>
          <w:vertAlign w:val="superscript"/>
        </w:rPr>
        <w:footnoteReference w:id="152"/>
      </w:r>
      <w:r>
        <w:t xml:space="preserve"> </w:t>
      </w:r>
      <w:r>
        <w:rPr>
          <w:vertAlign w:val="superscript"/>
        </w:rPr>
        <w:footnoteReference w:id="153"/>
      </w:r>
      <w:r>
        <w:t xml:space="preserve">。跨模态幻觉是指生成的文本与检索到的图像不一致，例如描述图片中不存在的物体或误读图表中的数值（将”15%</w:t>
      </w:r>
      <w:r>
        <w:t xml:space="preserve">“</w:t>
      </w:r>
      <w:r>
        <w:t xml:space="preserve">误读为</w:t>
      </w:r>
      <w:r>
        <w:t xml:space="preserve">”</w:t>
      </w:r>
      <w:r>
        <w:t xml:space="preserve">50%</w:t>
      </w:r>
      <w:r>
        <w:t xml:space="preserve">“</w:t>
      </w:r>
      <w:r>
        <w:t xml:space="preserve">）。归因幻觉则表现为错误地将文本内容归因到图像（如声称</w:t>
      </w:r>
      <w:r>
        <w:t xml:space="preserve">”</w:t>
      </w:r>
      <w:r>
        <w:t xml:space="preserve">如图1所示”但图1无关）。在Agentic多模态RAG工作流中，级联幻觉（Cascading Hallucination）尤为危险——检索错误在多步骤推理中逐级传播放大</w:t>
      </w:r>
      <w:r>
        <w:t xml:space="preserve"> </w:t>
      </w:r>
      <w:fldSimple w:instr="NOTEREF _Ref_Footnote_152 \h \f">
        <w:r>
          <w:rPr>
            <w:vertAlign w:val="superscript"/>
          </w:rPr>
          <w:t>152</w:t>
        </w:r>
      </w:fldSimple>
      <w:r>
        <w:t xml:space="preserve">。</w:t>
      </w:r>
    </w:p>
    <w:p>
      <w:pPr>
        <w:pStyle w:val="BodyText"/>
      </w:pPr>
      <w:r>
        <w:t xml:space="preserve">CHARM（Cascading Hallucination Analysis and Recovery in Multimodal RAG）框架是当前针对级联幻觉最有效的检测方案，将幻觉分为四类型：Retrieval Cascade、Inference Cascade、Context Poisoning和Confidence Inflation，检测率达89.4%（CDR），平均检测深度2.1，每阶段仅引入215ms额外开销</w:t>
      </w:r>
      <w:r>
        <w:t xml:space="preserve"> </w:t>
      </w:r>
      <w:fldSimple w:instr="NOTEREF _Ref_Footnote_152 \h \f">
        <w:r>
          <w:rPr>
            <w:vertAlign w:val="superscript"/>
          </w:rPr>
          <w:t>152</w:t>
        </w:r>
      </w:fldSimple>
      <w:r>
        <w:t xml:space="preserve">。Multi-Stage Verification框架（KDD Cup 2025 CRUISE团队方案）则通过双路径生成+后验证策略，在生成阶段施加事实准确性约束</w:t>
      </w:r>
      <w:r>
        <w:t xml:space="preserve"> </w:t>
      </w:r>
      <w:r>
        <w:rPr>
          <w:vertAlign w:val="superscript"/>
        </w:rPr>
        <w:footnoteReference w:id="154"/>
      </w:r>
      <w:r>
        <w:t xml:space="preserve">。对抗正交解耦（Adversarial Orthogonal Disentanglement, AOD）使用对抗学习将幻觉方向与语义残差分离，通过对比解码专门惩罚幻觉特征，在保持语义丰富性的同时减少幻觉</w:t>
      </w:r>
      <w:r>
        <w:t xml:space="preserve"> </w:t>
      </w:r>
      <w:fldSimple w:instr="NOTEREF _Ref_Footnote_153 \h \f">
        <w:r>
          <w:rPr>
            <w:vertAlign w:val="superscript"/>
          </w:rPr>
          <w:t>153</w:t>
        </w:r>
      </w:fldSimple>
      <w:r>
        <w:t xml:space="preserve">。</w:t>
      </w:r>
    </w:p>
    <w:p>
      <w:pPr>
        <w:pStyle w:val="BodyText"/>
      </w:pPr>
      <w:r>
        <w:t xml:space="preserve">检索增强本身是降低幻觉的基础手段。交叉验证研究表明，高质量的检索增强可将幻觉率降低30-80%，其核心机制在于为生成模型提供可追溯的原始证据，限制模型”编造”的空间。对于企业SOP场景，建议实施三层防御：第一层通过ColQwen2.5的高精度检索确保上下文相关性；第二层使用CHARM框架检测Agent工作流中的级联幻觉；第三层对数值类答案（如温度阈值、压力参数）增加规则校验层，将检索结果与已知安全范围进行比对。同时，所有检索结果应保留原始图片供用户人工验证，这是目前最有效的幻觉兜底机制</w:t>
      </w:r>
      <w:r>
        <w:t xml:space="preserve"> </w:t>
      </w:r>
      <w:fldSimple w:instr="NOTEREF _Ref_Footnote_152 \h \f">
        <w:r>
          <w:rPr>
            <w:vertAlign w:val="superscript"/>
          </w:rPr>
          <w:t>152</w:t>
        </w:r>
      </w:fldSimple>
      <w:r>
        <w:t xml:space="preserve"> </w:t>
      </w:r>
      <w:r>
        <w:rPr>
          <w:vertAlign w:val="superscript"/>
        </w:rPr>
        <w:footnoteReference w:id="155"/>
      </w:r>
      <w:r>
        <w:t xml:space="preserve">。</w:t>
      </w:r>
    </w:p>
    <w:p>
      <w:r>
        <w:pict>
          <v:rect style="width:0;height:1.5pt" o:hralign="center" o:hrstd="t" o:hr="t"/>
        </w:pict>
      </w:r>
    </w:p>
    <w:bookmarkEnd w:id="100"/>
    <w:bookmarkEnd w:id="101"/>
    <w:bookmarkEnd w:id="102"/>
    <w:bookmarkStart w:id="117" w:name="agent与文档交互"/>
    <w:p>
      <w:pPr>
        <w:pStyle w:val="Heading2"/>
      </w:pPr>
      <w:r>
        <w:t xml:space="preserve">6. Agent与文档交互</w:t>
      </w:r>
    </w:p>
    <w:p>
      <w:pPr>
        <w:pStyle w:val="FirstParagraph"/>
      </w:pPr>
      <w:r>
        <w:t xml:space="preserve">LLM Agent（大语言模型智能体）与文档的交互模式正在经历一场由MCP（Model Context Protocol，模型上下文协议）引领的范式变革。本章从协议层和直接处理层两个维度，系统分析Agent如何操作文档、解析文档内容，以及在RAG（检索增强生成）、Fine-tuning（微调）与Long-context（长上下文）三种技术路线中做出合理选择。对于企业SOP文档而言，Agent不仅是被动读取者，更逐步成为能够创建、更新、审核文档的主动参与者，这要求文档格式在设计阶段即兼顾人类编辑需求与Agent操作需求。</w:t>
      </w:r>
    </w:p>
    <w:bookmarkStart w:id="109" w:name="mcp协议与文档操作"/>
    <w:p>
      <w:pPr>
        <w:pStyle w:val="Heading3"/>
      </w:pPr>
      <w:r>
        <w:t xml:space="preserve">6.1 MCP协议与文档操作</w:t>
      </w:r>
    </w:p>
    <w:bookmarkStart w:id="106" w:name="mcp成为agent文档交互事实标准"/>
    <w:p>
      <w:pPr>
        <w:pStyle w:val="Heading4"/>
      </w:pPr>
      <w:r>
        <w:t xml:space="preserve">6.1.1 MCP成为Agent文档交互事实标准</w:t>
      </w:r>
    </w:p>
    <w:p>
      <w:pPr>
        <w:pStyle w:val="FirstParagraph"/>
      </w:pPr>
      <w:r>
        <w:t xml:space="preserve">MCP由Anthropic于2024年11月开源发布，是一个基于JSON-RPC 2.0的开放标准协议，旨在将LLM应用与外部数据源和工具之间的集成复杂度从M×N模型简化为M+N模型</w:t>
      </w:r>
      <w:r>
        <w:t xml:space="preserve"> </w:t>
      </w:r>
      <w:r>
        <w:rPr>
          <w:vertAlign w:val="superscript"/>
        </w:rPr>
        <w:footnoteReference w:id="156"/>
      </w:r>
      <w:r>
        <w:t xml:space="preserve">。协议核心包含三大原语：Tools（可执行操作）、Resources（被动数据访问）与Prompts（预定义模板），通过能力协商机制使Agent能够自动发现可用工具、读取资源并执行操作</w:t>
      </w:r>
      <w:r>
        <w:t xml:space="preserve"> </w:t>
      </w:r>
      <w:fldSimple w:instr="NOTEREF _Ref_Footnote_18 \h \f">
        <w:r>
          <w:rPr>
            <w:vertAlign w:val="superscript"/>
          </w:rPr>
          <w:t>18</w:t>
        </w:r>
      </w:fldSimple>
      <w:r>
        <w:t xml:space="preserve">。</w:t>
      </w:r>
    </w:p>
    <w:p>
      <w:pPr>
        <w:pStyle w:val="BodyText"/>
      </w:pPr>
      <w:r>
        <w:t xml:space="preserve">MCP的采用速度在企业技术领域”几乎是前所未有的”</w:t>
      </w:r>
      <w:r>
        <w:t xml:space="preserve"> </w:t>
      </w:r>
      <w:fldSimple w:instr="NOTEREF _Ref_Footnote_17 \h \f">
        <w:r>
          <w:rPr>
            <w:vertAlign w:val="superscript"/>
          </w:rPr>
          <w:t>17</w:t>
        </w:r>
      </w:fldSimple>
      <w:r>
        <w:t xml:space="preserve">。2025年3月，OpenAI正式采纳MCP，Sam Altman公开背书；同月发布的版本引入了OAuth 2.1授权框架与流式HTTP传输</w:t>
      </w:r>
      <w:r>
        <w:t xml:space="preserve"> </w:t>
      </w:r>
      <w:fldSimple w:instr="NOTEREF _Ref_Footnote_17 \h \f">
        <w:r>
          <w:rPr>
            <w:vertAlign w:val="superscript"/>
          </w:rPr>
          <w:t>17</w:t>
        </w:r>
      </w:fldSimple>
      <w:r>
        <w:t xml:space="preserve"> </w:t>
      </w:r>
      <w:r>
        <w:rPr>
          <w:vertAlign w:val="superscript"/>
        </w:rPr>
        <w:footnoteReference w:id="157"/>
      </w:r>
      <w:r>
        <w:t xml:space="preserve">。2025年6月，Microsoft将Dataverse改造为原生MCP Server</w:t>
      </w:r>
      <w:r>
        <w:t xml:space="preserve"> </w:t>
      </w:r>
      <w:fldSimple w:instr="NOTEREF _Ref_Footnote_17 \h \f">
        <w:r>
          <w:rPr>
            <w:vertAlign w:val="superscript"/>
          </w:rPr>
          <w:t>17</w:t>
        </w:r>
      </w:fldSimple>
      <w:r>
        <w:t xml:space="preserve">。2025年12月，Anthropic将MCP协议捐赠给Linux Foundation旗下新成立的Agentic AI Foundation（AAIF），由Anthropic、OpenAI、Block联合创立，标志着MCP从单一厂商主导转向行业共治</w:t>
      </w:r>
      <w:r>
        <w:t xml:space="preserve"> </w:t>
      </w:r>
      <w:fldSimple w:instr="NOTEREF _Ref_Footnote_17 \h \f">
        <w:r>
          <w:rPr>
            <w:vertAlign w:val="superscript"/>
          </w:rPr>
          <w:t>17</w:t>
        </w:r>
      </w:fldSimple>
      <w:r>
        <w:t xml:space="preserve"> </w:t>
      </w:r>
      <w:r>
        <w:rPr>
          <w:vertAlign w:val="superscript"/>
        </w:rPr>
        <w:footnoteReference w:id="158"/>
      </w:r>
      <w:r>
        <w:t xml:space="preserve">。主要参与者还包括Google DeepMind、Salesforce、Avaya和AWS</w:t>
      </w:r>
      <w:r>
        <w:t xml:space="preserve"> </w:t>
      </w:r>
      <w:fldSimple w:instr="NOTEREF _Ref_Footnote_17 \h \f">
        <w:r>
          <w:rPr>
            <w:vertAlign w:val="superscript"/>
          </w:rPr>
          <w:t>17</w:t>
        </w:r>
      </w:fldSimple>
      <w:r>
        <w:t xml:space="preserve">。图6-1展示了MCP协议从发布到成为行业标准的关键发展里程碑。</w:t>
      </w:r>
    </w:p>
    <w:p>
      <w:pPr>
        <w:pStyle w:val="CaptionedFigure"/>
      </w:pPr>
      <w:r>
        <w:drawing>
          <wp:inline>
            <wp:extent cx="5334000" cy="2100739"/>
            <wp:effectExtent b="0" l="0" r="0" t="0"/>
            <wp:docPr descr="图6-1 MCP协议关键发展里程碑" title="" id="104" name="Picture"/>
            <a:graphic>
              <a:graphicData uri="http://schemas.openxmlformats.org/drawingml/2006/picture">
                <pic:pic>
                  <pic:nvPicPr>
                    <pic:cNvPr descr="fig6_1_mcp_timeline.png" id="105" name="Picture"/>
                    <pic:cNvPicPr>
                      <a:picLocks noChangeArrowheads="1" noChangeAspect="1"/>
                    </pic:cNvPicPr>
                  </pic:nvPicPr>
                  <pic:blipFill>
                    <a:blip r:embed="rId103"/>
                    <a:stretch>
                      <a:fillRect/>
                    </a:stretch>
                  </pic:blipFill>
                  <pic:spPr bwMode="auto">
                    <a:xfrm>
                      <a:off x="0" y="0"/>
                      <a:ext cx="5334000" cy="2100739"/>
                    </a:xfrm>
                    <a:prstGeom prst="rect">
                      <a:avLst/>
                    </a:prstGeom>
                    <a:noFill/>
                    <a:ln w="9525">
                      <a:noFill/>
                      <a:headEnd/>
                      <a:tailEnd/>
                    </a:ln>
                  </pic:spPr>
                </pic:pic>
              </a:graphicData>
            </a:graphic>
          </wp:inline>
        </w:drawing>
      </w:r>
    </w:p>
    <w:p>
      <w:pPr>
        <w:pStyle w:val="ImageCaption"/>
      </w:pPr>
      <w:r>
        <w:t xml:space="preserve">图6-1 MCP协议关键发展里程碑</w:t>
      </w:r>
    </w:p>
    <w:p>
      <w:pPr>
        <w:pStyle w:val="BodyText"/>
      </w:pPr>
      <w:r>
        <w:t xml:space="preserve">协议的技术架构分为传输层、会话层与能力层三个层次。传输层支持STDIO（本地进程间通信）和Streamable HTTP（远程连接，支持SSE流式响应）；会话层管理有状态JSON-RPC会话的生命周期；能力层则暴露Tools、Resources和Prompts三大核心能力</w:t>
      </w:r>
      <w:r>
        <w:t xml:space="preserve"> </w:t>
      </w:r>
      <w:fldSimple w:instr="NOTEREF _Ref_Footnote_156 \h \f">
        <w:r>
          <w:rPr>
            <w:vertAlign w:val="superscript"/>
          </w:rPr>
          <w:t>156</w:t>
        </w:r>
      </w:fldSimple>
      <w:r>
        <w:t xml:space="preserve">。关键特性包括Roots（客户端定义文件系统边界）、Sampling（服务器可请求客户端LLM进行内容生成）以及2025年11月稳定版引入的增量权限同意机制</w:t>
      </w:r>
      <w:r>
        <w:t xml:space="preserve"> </w:t>
      </w:r>
      <w:fldSimple w:instr="NOTEREF _Ref_Footnote_156 \h \f">
        <w:r>
          <w:rPr>
            <w:vertAlign w:val="superscript"/>
          </w:rPr>
          <w:t>156</w:t>
        </w:r>
      </w:fldSimple>
      <w:r>
        <w:t xml:space="preserve"> </w:t>
      </w:r>
      <w:r>
        <w:rPr>
          <w:vertAlign w:val="superscript"/>
        </w:rPr>
        <w:footnoteReference w:id="159"/>
      </w:r>
      <w:r>
        <w:t xml:space="preserve">。</w:t>
      </w:r>
    </w:p>
    <w:bookmarkEnd w:id="106"/>
    <w:bookmarkStart w:id="107" w:name="文档mcp-server生态"/>
    <w:p>
      <w:pPr>
        <w:pStyle w:val="Heading4"/>
      </w:pPr>
      <w:r>
        <w:t xml:space="preserve">6.1.2 文档MCP Server生态</w:t>
      </w:r>
    </w:p>
    <w:p>
      <w:pPr>
        <w:pStyle w:val="FirstParagraph"/>
      </w:pPr>
      <w:r>
        <w:t xml:space="preserve">围绕文档操作的MCP Server生态在2025年迅速繁荣，为Agent提供了读写富文本文档的完整能力。下表对比了当前主流的文档MCP Server方案。</w:t>
      </w:r>
    </w:p>
    <w:tbl>
      <w:tblPr>
        <w:tblStyle w:val="Table"/>
        <w:tblW w:type="pct" w:w="5000"/>
        <w:tblLook w:firstRow="1" w:lastRow="0" w:firstColumn="0" w:lastColumn="0" w:noHBand="0" w:noVBand="0" w:val="0020"/>
      </w:tblPr>
      <w:tblGrid>
        <w:gridCol w:w="1494"/>
        <w:gridCol w:w="1494"/>
        <w:gridCol w:w="1942"/>
        <w:gridCol w:w="1494"/>
        <w:gridCol w:w="1494"/>
      </w:tblGrid>
      <w:tr>
        <w:trPr>
          <w:tblHeader w:val="true"/>
        </w:trPr>
        <w:tc>
          <w:tcPr/>
          <w:p>
            <w:pPr>
              <w:pStyle w:val="Compact"/>
              <w:jc w:val="left"/>
            </w:pPr>
            <w:r>
              <w:t xml:space="preserve">方案名称</w:t>
            </w:r>
          </w:p>
        </w:tc>
        <w:tc>
          <w:tcPr/>
          <w:p>
            <w:pPr>
              <w:pStyle w:val="Compact"/>
              <w:jc w:val="left"/>
            </w:pPr>
            <w:r>
              <w:t xml:space="preserve">核心能力</w:t>
            </w:r>
          </w:p>
        </w:tc>
        <w:tc>
          <w:tcPr/>
          <w:p>
            <w:pPr>
              <w:pStyle w:val="Compact"/>
              <w:jc w:val="left"/>
            </w:pPr>
            <w:r>
              <w:t xml:space="preserve">文档格式支持</w:t>
            </w:r>
          </w:p>
        </w:tc>
        <w:tc>
          <w:tcPr/>
          <w:p>
            <w:pPr>
              <w:pStyle w:val="Compact"/>
              <w:jc w:val="left"/>
            </w:pPr>
            <w:r>
              <w:t xml:space="preserve">安全特性</w:t>
            </w:r>
          </w:p>
        </w:tc>
        <w:tc>
          <w:tcPr/>
          <w:p>
            <w:pPr>
              <w:pStyle w:val="Compact"/>
              <w:jc w:val="left"/>
            </w:pPr>
            <w:r>
              <w:t xml:space="preserve">适用场景</w:t>
            </w:r>
          </w:p>
        </w:tc>
      </w:tr>
      <w:tr>
        <w:tc>
          <w:tcPr/>
          <w:p>
            <w:pPr>
              <w:pStyle w:val="Compact"/>
              <w:jc w:val="left"/>
            </w:pPr>
            <w:r>
              <w:t xml:space="preserve">DesktopCommanderMCP</w:t>
            </w:r>
            <w:r>
              <w:t xml:space="preserve"> </w:t>
            </w:r>
            <w:fldSimple w:instr="NOTEREF _Ref_Footnote_19 \h \f">
              <w:r>
                <w:rPr>
                  <w:vertAlign w:val="superscript"/>
                </w:rPr>
                <w:t>19</w:t>
              </w:r>
            </w:fldSimple>
          </w:p>
        </w:tc>
        <w:tc>
          <w:tcPr/>
          <w:p>
            <w:pPr>
              <w:pStyle w:val="Compact"/>
              <w:jc w:val="left"/>
            </w:pPr>
            <w:r>
              <w:t xml:space="preserve">终端控制、文件搜索、差异编辑、DOCX手术级XML编辑</w:t>
            </w:r>
          </w:p>
        </w:tc>
        <w:tc>
          <w:tcPr/>
          <w:p>
            <w:pPr>
              <w:pStyle w:val="Compact"/>
              <w:jc w:val="left"/>
            </w:pPr>
            <w:r>
              <w:t xml:space="preserve">DOCX, XLSX, PDF, Markdown</w:t>
            </w:r>
          </w:p>
        </w:tc>
        <w:tc>
          <w:tcPr/>
          <w:p>
            <w:pPr>
              <w:pStyle w:val="Compact"/>
              <w:jc w:val="left"/>
            </w:pPr>
            <w:r>
              <w:t xml:space="preserve">符号链接遍历防护、命令黑名单、Docker隔离</w:t>
            </w:r>
          </w:p>
        </w:tc>
        <w:tc>
          <w:tcPr/>
          <w:p>
            <w:pPr>
              <w:pStyle w:val="Compact"/>
              <w:jc w:val="left"/>
            </w:pPr>
            <w:r>
              <w:t xml:space="preserve">本地开发环境、复杂文件操作</w:t>
            </w:r>
          </w:p>
        </w:tc>
      </w:tr>
      <w:tr>
        <w:tc>
          <w:tcPr/>
          <w:p>
            <w:pPr>
              <w:pStyle w:val="Compact"/>
              <w:jc w:val="left"/>
            </w:pPr>
            <w:r>
              <w:t xml:space="preserve">docx-mcp</w:t>
            </w:r>
            <w:r>
              <w:t xml:space="preserve"> </w:t>
            </w:r>
            <w:r>
              <w:rPr>
                <w:vertAlign w:val="superscript"/>
              </w:rPr>
              <w:footnoteReference w:id="160"/>
            </w:r>
          </w:p>
        </w:tc>
        <w:tc>
          <w:tcPr/>
          <w:p>
            <w:pPr>
              <w:pStyle w:val="Compact"/>
              <w:jc w:val="left"/>
            </w:pPr>
            <w:r>
              <w:t xml:space="preserve">完整DOCX CRUD、Track Changes、评论、表格操作</w:t>
            </w:r>
          </w:p>
        </w:tc>
        <w:tc>
          <w:tcPr/>
          <w:p>
            <w:pPr>
              <w:pStyle w:val="Compact"/>
              <w:jc w:val="left"/>
            </w:pPr>
            <w:r>
              <w:t xml:space="preserve">DOCX（完整功能）</w:t>
            </w:r>
          </w:p>
        </w:tc>
        <w:tc>
          <w:tcPr/>
          <w:p>
            <w:pPr>
              <w:pStyle w:val="Compact"/>
              <w:jc w:val="left"/>
            </w:pPr>
            <w:r>
              <w:t xml:space="preserve">PII数据脱敏（Presidio+spaCy NER）、文档保护模式</w:t>
            </w:r>
          </w:p>
        </w:tc>
        <w:tc>
          <w:tcPr/>
          <w:p>
            <w:pPr>
              <w:pStyle w:val="Compact"/>
              <w:jc w:val="left"/>
            </w:pPr>
            <w:r>
              <w:t xml:space="preserve">协作文档编辑、合规审核</w:t>
            </w:r>
          </w:p>
        </w:tc>
      </w:tr>
      <w:tr>
        <w:tc>
          <w:tcPr/>
          <w:p>
            <w:pPr>
              <w:pStyle w:val="Compact"/>
              <w:jc w:val="left"/>
            </w:pPr>
            <w:r>
              <w:t xml:space="preserve">Feishu MCP Server</w:t>
            </w:r>
            <w:r>
              <w:t xml:space="preserve"> </w:t>
            </w:r>
            <w:fldSimple w:instr="NOTEREF _Ref_Footnote_20 \h \f">
              <w:r>
                <w:rPr>
                  <w:vertAlign w:val="superscript"/>
                </w:rPr>
                <w:t>20</w:t>
              </w:r>
            </w:fldSimple>
          </w:p>
        </w:tc>
        <w:tc>
          <w:tcPr/>
          <w:p>
            <w:pPr>
              <w:pStyle w:val="Compact"/>
              <w:jc w:val="left"/>
            </w:pPr>
            <w:r>
              <w:t xml:space="preserve">文档创建、富文本编辑、批量内容块操作</w:t>
            </w:r>
          </w:p>
        </w:tc>
        <w:tc>
          <w:tcPr/>
          <w:p>
            <w:pPr>
              <w:pStyle w:val="Compact"/>
              <w:jc w:val="left"/>
            </w:pPr>
            <w:r>
              <w:t xml:space="preserve">飞书文档（富文本）</w:t>
            </w:r>
          </w:p>
        </w:tc>
        <w:tc>
          <w:tcPr/>
          <w:p>
            <w:pPr>
              <w:pStyle w:val="Compact"/>
              <w:jc w:val="left"/>
            </w:pPr>
            <w:r>
              <w:t xml:space="preserve">依赖飞书平台权限体系</w:t>
            </w:r>
          </w:p>
        </w:tc>
        <w:tc>
          <w:tcPr/>
          <w:p>
            <w:pPr>
              <w:pStyle w:val="Compact"/>
              <w:jc w:val="left"/>
            </w:pPr>
            <w:r>
              <w:t xml:space="preserve">中文企业协作环境</w:t>
            </w:r>
          </w:p>
        </w:tc>
      </w:tr>
      <w:tr>
        <w:tc>
          <w:tcPr/>
          <w:p>
            <w:pPr>
              <w:pStyle w:val="Compact"/>
              <w:jc w:val="left"/>
            </w:pPr>
            <w:r>
              <w:t xml:space="preserve">Adeu</w:t>
            </w:r>
            <w:r>
              <w:t xml:space="preserve"> </w:t>
            </w:r>
            <w:r>
              <w:rPr>
                <w:vertAlign w:val="superscript"/>
              </w:rPr>
              <w:footnoteReference w:id="161"/>
            </w:r>
          </w:p>
        </w:tc>
        <w:tc>
          <w:tcPr/>
          <w:p>
            <w:pPr>
              <w:pStyle w:val="Compact"/>
              <w:jc w:val="left"/>
            </w:pPr>
            <w:r>
              <w:t xml:space="preserve">docx↔Markdown双向翻译、CriticMarkup验证、Track Changes回写</w:t>
            </w:r>
          </w:p>
        </w:tc>
        <w:tc>
          <w:tcPr/>
          <w:p>
            <w:pPr>
              <w:pStyle w:val="Compact"/>
              <w:jc w:val="left"/>
            </w:pPr>
            <w:r>
              <w:t xml:space="preserve">DOCX, Markdown</w:t>
            </w:r>
          </w:p>
        </w:tc>
        <w:tc>
          <w:tcPr/>
          <w:p>
            <w:pPr>
              <w:pStyle w:val="Compact"/>
              <w:jc w:val="left"/>
            </w:pPr>
            <w:r>
              <w:t xml:space="preserve">三步安全门控（Read→Validate→Apply）</w:t>
            </w:r>
          </w:p>
        </w:tc>
        <w:tc>
          <w:tcPr/>
          <w:p>
            <w:pPr>
              <w:pStyle w:val="Compact"/>
              <w:jc w:val="left"/>
            </w:pPr>
            <w:r>
              <w:t xml:space="preserve">专业文档翻译、国际化工作流</w:t>
            </w:r>
          </w:p>
        </w:tc>
      </w:tr>
      <w:tr>
        <w:tc>
          <w:tcPr/>
          <w:p>
            <w:pPr>
              <w:pStyle w:val="Compact"/>
              <w:jc w:val="left"/>
            </w:pPr>
            <w:r>
              <w:t xml:space="preserve">llm_docx_agent_mcp</w:t>
            </w:r>
            <w:r>
              <w:t xml:space="preserve"> </w:t>
            </w:r>
            <w:r>
              <w:rPr>
                <w:vertAlign w:val="superscript"/>
              </w:rPr>
              <w:footnoteReference w:id="162"/>
            </w:r>
          </w:p>
        </w:tc>
        <w:tc>
          <w:tcPr/>
          <w:p>
            <w:pPr>
              <w:pStyle w:val="Compact"/>
              <w:jc w:val="left"/>
            </w:pPr>
            <w:r>
              <w:t xml:space="preserve">邮件合并、内容控件操作、公式提取（LaTeX转换）</w:t>
            </w:r>
          </w:p>
        </w:tc>
        <w:tc>
          <w:tcPr/>
          <w:p>
            <w:pPr>
              <w:pStyle w:val="Compact"/>
              <w:jc w:val="left"/>
            </w:pPr>
            <w:r>
              <w:t xml:space="preserve">DOCX</w:t>
            </w:r>
          </w:p>
        </w:tc>
        <w:tc>
          <w:tcPr/>
          <w:p>
            <w:pPr>
              <w:pStyle w:val="Compact"/>
              <w:jc w:val="left"/>
            </w:pPr>
            <w:r>
              <w:t xml:space="preserve">标准MCP权限模型</w:t>
            </w:r>
          </w:p>
        </w:tc>
        <w:tc>
          <w:tcPr/>
          <w:p>
            <w:pPr>
              <w:pStyle w:val="Compact"/>
              <w:jc w:val="left"/>
            </w:pPr>
            <w:r>
              <w:t xml:space="preserve">模板化文档生成、批量填充</w:t>
            </w:r>
          </w:p>
        </w:tc>
      </w:tr>
    </w:tbl>
    <w:p>
      <w:pPr>
        <w:pStyle w:val="BodyText"/>
      </w:pPr>
      <w:r>
        <w:t xml:space="preserve">DesktopCommanderMCP是当前GitHub上星标数最高的综合文档MCP Server，支持手术级XML编辑和Markdown到DOCX的双向转换，并内置了符号链接遍历防护和命令黑名单等安全加固措施</w:t>
      </w:r>
      <w:r>
        <w:t xml:space="preserve"> </w:t>
      </w:r>
      <w:fldSimple w:instr="NOTEREF _Ref_Footnote_19 \h \f">
        <w:r>
          <w:rPr>
            <w:vertAlign w:val="superscript"/>
          </w:rPr>
          <w:t>19</w:t>
        </w:r>
      </w:fldSimple>
      <w:r>
        <w:t xml:space="preserve">。docx-mcp的特色在于完整支持Microsoft Word的Track Changes功能，可将Agent的编辑操作记录为修订记录，便于人工审核和合规追溯，同时集成Presidio和spaCy NER实现PII数据脱敏</w:t>
      </w:r>
      <w:r>
        <w:t xml:space="preserve"> </w:t>
      </w:r>
      <w:fldSimple w:instr="NOTEREF _Ref_Footnote_160 \h \f">
        <w:r>
          <w:rPr>
            <w:vertAlign w:val="superscript"/>
          </w:rPr>
          <w:t>160</w:t>
        </w:r>
      </w:fldSimple>
      <w:r>
        <w:t xml:space="preserve">。Feishu MCP Server面向中文企业环境，支持文本样式、代码块、列表和多级标题等富文本编辑能力，但暂不支持表格和图表等高级内容类型</w:t>
      </w:r>
      <w:r>
        <w:t xml:space="preserve"> </w:t>
      </w:r>
      <w:fldSimple w:instr="NOTEREF _Ref_Footnote_20 \h \f">
        <w:r>
          <w:rPr>
            <w:vertAlign w:val="superscript"/>
          </w:rPr>
          <w:t>20</w:t>
        </w:r>
      </w:fldSimple>
      <w:r>
        <w:t xml:space="preserve">。Adeu采用独特的三步安全门控流程——将DOCX转换为CriticMarkup格式供LLM编辑，通过验证层检查后再回写为Word Track Changes，在保留原始布局的同时实现安全翻译</w:t>
      </w:r>
      <w:r>
        <w:t xml:space="preserve"> </w:t>
      </w:r>
      <w:fldSimple w:instr="NOTEREF _Ref_Footnote_161 \h \f">
        <w:r>
          <w:rPr>
            <w:vertAlign w:val="superscript"/>
          </w:rPr>
          <w:t>161</w:t>
        </w:r>
      </w:fldSimple>
      <w:r>
        <w:t xml:space="preserve">。</w:t>
      </w:r>
    </w:p>
    <w:p>
      <w:pPr>
        <w:pStyle w:val="BodyText"/>
      </w:pPr>
      <w:r>
        <w:t xml:space="preserve">从功能完备度来看，文档MCP Server生态已经覆盖了Agent操作文档所需的基本CRUD能力。然而，不同方案在安全性和平台兼容性方面差异显著。企业在选型时，需要综合评估文档格式的支持范围、安全机制的成熟度以及与现有协作平台的集成成本。</w:t>
      </w:r>
    </w:p>
    <w:bookmarkEnd w:id="107"/>
    <w:bookmarkStart w:id="108" w:name="安全风险警示"/>
    <w:p>
      <w:pPr>
        <w:pStyle w:val="Heading4"/>
      </w:pPr>
      <w:r>
        <w:t xml:space="preserve">6.1.3 安全风险警示</w:t>
      </w:r>
    </w:p>
    <w:p>
      <w:pPr>
        <w:pStyle w:val="FirstParagraph"/>
      </w:pPr>
      <w:r>
        <w:t xml:space="preserve">MCP生态在功能快速扩展的同时，也暴露了严峻的安全威胁。学术研究采用STRIDE威胁建模方法在MCP生态系统中识别了57个威胁，涵盖MCP Host、LLM、MCP Server、外部数据存储和授权服务器五个组件</w:t>
      </w:r>
      <w:r>
        <w:t xml:space="preserve"> </w:t>
      </w:r>
      <w:fldSimple w:instr="NOTEREF _Ref_Footnote_21 \h \f">
        <w:r>
          <w:rPr>
            <w:vertAlign w:val="superscript"/>
          </w:rPr>
          <w:t>21</w:t>
        </w:r>
      </w:fldSimple>
      <w:r>
        <w:t xml:space="preserve">。其中最严重的威胁是Tool Poisoning（工具中毒攻击），其DREAD评分为46.5/50（满分），在OWASP LLM Top 10中排名第1</w:t>
      </w:r>
      <w:r>
        <w:t xml:space="preserve"> </w:t>
      </w:r>
      <w:fldSimple w:instr="NOTEREF _Ref_Footnote_21 \h \f">
        <w:r>
          <w:rPr>
            <w:vertAlign w:val="superscript"/>
          </w:rPr>
          <w:t>21</w:t>
        </w:r>
      </w:fldSimple>
      <w:r>
        <w:t xml:space="preserve">。</w:t>
      </w:r>
    </w:p>
    <w:p>
      <w:pPr>
        <w:pStyle w:val="BodyText"/>
      </w:pPr>
      <w:r>
        <w:t xml:space="preserve">Tool Poisoning攻击的核心机制是在MCP Server的工具描述中嵌入恶意指令，诱导LLM在调用工具时执行非预期的危险操作。实验数据显示，该攻击在不同MCP客户端上的成功率差异巨大：Cursor IDE的攻击成功率高达100%，而Claude Desktop为0%</w:t>
      </w:r>
      <w:r>
        <w:t xml:space="preserve"> </w:t>
      </w:r>
      <w:fldSimple w:instr="NOTEREF _Ref_Footnote_21 \h \f">
        <w:r>
          <w:rPr>
            <w:vertAlign w:val="superscript"/>
          </w:rPr>
          <w:t>21</w:t>
        </w:r>
      </w:fldSimple>
      <w:r>
        <w:t xml:space="preserve">。综合各主流客户端的平均攻击成功率达到72.8%，反映出MCP生态在客户端验证层面的严重不均衡</w:t>
      </w:r>
      <w:r>
        <w:t xml:space="preserve"> </w:t>
      </w:r>
      <w:fldSimple w:instr="NOTEREF _Ref_Footnote_21 \h \f">
        <w:r>
          <w:rPr>
            <w:vertAlign w:val="superscript"/>
          </w:rPr>
          <w:t>21</w:t>
        </w:r>
      </w:fldSimple>
      <w:r>
        <w:t xml:space="preserve">。</w:t>
      </w:r>
    </w:p>
    <w:p>
      <w:pPr>
        <w:pStyle w:val="BodyText"/>
      </w:pPr>
      <w:r>
        <w:t xml:space="preserve">已公开的CVE漏洞进一步证实了风险的实际存在。CVE-2025-6514（CVSS评分9.6）影响mcp-remote组件，可导致远程代码执行，437,000次以上下载受影响</w:t>
      </w:r>
      <w:r>
        <w:t xml:space="preserve"> </w:t>
      </w:r>
      <w:fldSimple w:instr="NOTEREF _Ref_Footnote_22 \h \f">
        <w:r>
          <w:rPr>
            <w:vertAlign w:val="superscript"/>
          </w:rPr>
          <w:t>22</w:t>
        </w:r>
      </w:fldSimple>
      <w:r>
        <w:t xml:space="preserve">。CVE-2025-49596（CVSS评分9.4）针对MCP Inspector的远程代码执行漏洞</w:t>
      </w:r>
      <w:r>
        <w:t xml:space="preserve"> </w:t>
      </w:r>
      <w:fldSimple w:instr="NOTEREF _Ref_Footnote_22 \h \f">
        <w:r>
          <w:rPr>
            <w:vertAlign w:val="superscript"/>
          </w:rPr>
          <w:t>22</w:t>
        </w:r>
      </w:fldSimple>
      <w:r>
        <w:t xml:space="preserve">。CVE-2025-54136涉及MCP Tool Poisoning，工具描述中可嵌入恶意指令</w:t>
      </w:r>
      <w:r>
        <w:t xml:space="preserve"> </w:t>
      </w:r>
      <w:r>
        <w:rPr>
          <w:vertAlign w:val="superscript"/>
        </w:rPr>
        <w:footnoteReference w:id="163"/>
      </w:r>
      <w:r>
        <w:t xml:space="preserve">。CVE-2025-59944则暴露了Cursor IDE的路径遍历和MCP配置篡改风险</w:t>
      </w:r>
      <w:r>
        <w:t xml:space="preserve"> </w:t>
      </w:r>
      <w:r>
        <w:rPr>
          <w:vertAlign w:val="superscript"/>
        </w:rPr>
        <w:footnoteReference w:id="164"/>
      </w:r>
      <w:r>
        <w:t xml:space="preserve">。</w:t>
      </w:r>
    </w:p>
    <w:p>
      <w:pPr>
        <w:pStyle w:val="BodyText"/>
      </w:pPr>
      <w:r>
        <w:t xml:space="preserve">针对这些威胁，研究者提出了四层纵深防御架构：Layer 1注册与验证（JSON Schema严格验证、数字签名、危险关键词扫描）、Layer 2决策路径分析（追踪LLM工具选择逻辑、检测偏离预期模式的异常路径）、Layer 3运行时监控（沙箱执行、未授权访问监控、速率限制）以及Layer 4用户透明（执行前展示完整参数、高风险操作显式确认）</w:t>
      </w:r>
      <w:fldSimple w:instr="NOTEREF _Ref_Footnote_21 \h \f">
        <w:r>
          <w:rPr>
            <w:vertAlign w:val="superscript"/>
          </w:rPr>
          <w:t>21</w:t>
        </w:r>
      </w:fldSimple>
      <w:r>
        <w:t xml:space="preserve">。在企业部署场景中，建议根据操作风险分级实施审批策略——读取类低风险操作可自动批准，写入和删除类高风险操作必须经人工确认</w:t>
      </w:r>
      <w:r>
        <w:t xml:space="preserve"> </w:t>
      </w:r>
      <w:fldSimple w:instr="NOTEREF _Ref_Footnote_21 \h \f">
        <w:r>
          <w:rPr>
            <w:vertAlign w:val="superscript"/>
          </w:rPr>
          <w:t>21</w:t>
        </w:r>
      </w:fldSimple>
      <w:r>
        <w:t xml:space="preserve"> </w:t>
      </w:r>
      <w:r>
        <w:rPr>
          <w:vertAlign w:val="superscript"/>
        </w:rPr>
        <w:footnoteReference w:id="165"/>
      </w:r>
      <w:r>
        <w:t xml:space="preserve">。</w:t>
      </w:r>
    </w:p>
    <w:bookmarkEnd w:id="108"/>
    <w:bookmarkEnd w:id="109"/>
    <w:bookmarkStart w:id="116" w:name="agent直接处理文档的模式"/>
    <w:p>
      <w:pPr>
        <w:pStyle w:val="Heading3"/>
      </w:pPr>
      <w:r>
        <w:t xml:space="preserve">6.2 Agent直接处理文档的模式</w:t>
      </w:r>
    </w:p>
    <w:bookmarkStart w:id="110" w:name="agentic-ocrreducto通过ai质检员自修正达99准确率"/>
    <w:p>
      <w:pPr>
        <w:pStyle w:val="Heading4"/>
      </w:pPr>
      <w:r>
        <w:t xml:space="preserve">6.2.1 Agentic OCR：Reducto通过AI质检员自修正达99%+准确率</w:t>
      </w:r>
    </w:p>
    <w:p>
      <w:pPr>
        <w:pStyle w:val="FirstParagraph"/>
      </w:pPr>
      <w:r>
        <w:t xml:space="preserve">Agentic OCR是Agent直接处理文档的典型模式，其核心突破在于用”AI质检员”取代传统的人类审核员，实现文档解析的自修正闭环。Reducto是该领域的领先平台，其产品包括Parse（Agentic OCR）、Split（多文档自动分离）、Extract（Schema级结构化提取）和Edit（动态可填写元素识别）四大模块</w:t>
      </w:r>
      <w:r>
        <w:t xml:space="preserve"> </w:t>
      </w:r>
      <w:r>
        <w:rPr>
          <w:vertAlign w:val="superscript"/>
        </w:rPr>
        <w:footnoteReference w:id="166"/>
      </w:r>
      <w:r>
        <w:t xml:space="preserve">。</w:t>
      </w:r>
    </w:p>
    <w:p>
      <w:pPr>
        <w:pStyle w:val="BodyText"/>
      </w:pPr>
      <w:r>
        <w:t xml:space="preserve">Reducto的技术核心是一个自修正系统：OCR引擎首先生成初始解析结果，随后由”AI质检员”对输出进行实时审查和纠错，通过多轮迭代逼近近完美的准确率</w:t>
      </w:r>
      <w:r>
        <w:t xml:space="preserve"> </w:t>
      </w:r>
      <w:r>
        <w:rPr>
          <w:vertAlign w:val="superscript"/>
        </w:rPr>
        <w:footnoteReference w:id="167"/>
      </w:r>
      <w:r>
        <w:t xml:space="preserve">。该系统累计处理超过30亿页文档，客户包括Harvey、Scale AI、Vanta和Toast等企业</w:t>
      </w:r>
      <w:r>
        <w:t xml:space="preserve"> </w:t>
      </w:r>
      <w:fldSimple w:instr="NOTEREF _Ref_Footnote_166 \h \f">
        <w:r>
          <w:rPr>
            <w:vertAlign w:val="superscript"/>
          </w:rPr>
          <w:t>166</w:t>
        </w:r>
      </w:fldSimple>
      <w:r>
        <w:t xml:space="preserve">。商业数据方面，Reducto在核心产品发布后的6个月内ARR（Annual Recurring Revenue，年度经常性收入）从0增长到100万美元，从A轮到B轮的5至6个月间月处理量增长6倍，至2025年10月B轮融资时已累计处理超过10亿页文档</w:t>
      </w:r>
      <w:r>
        <w:t xml:space="preserve"> </w:t>
      </w:r>
      <w:fldSimple w:instr="NOTEREF _Ref_Footnote_167 \h \f">
        <w:r>
          <w:rPr>
            <w:vertAlign w:val="superscript"/>
          </w:rPr>
          <w:t>167</w:t>
        </w:r>
      </w:fldSimple>
      <w:r>
        <w:t xml:space="preserve">。</w:t>
      </w:r>
    </w:p>
    <w:p>
      <w:pPr>
        <w:pStyle w:val="BodyText"/>
      </w:pPr>
      <w:r>
        <w:t xml:space="preserve">与传统OCR工具相比，Reducto的Agentic方法在复杂布局理解、表格提取和多文档自动分类方面表现突出。Amazon Textract虽然在AWS生态内提供了预训练的表格和表单检测能力，但存在平台锁定风险；LlamaIndex提供多种文档加载器和向量数据库集成，但需要大量自定义工程才能达到生产级质量</w:t>
      </w:r>
      <w:r>
        <w:t xml:space="preserve"> </w:t>
      </w:r>
      <w:r>
        <w:rPr>
          <w:vertAlign w:val="superscript"/>
        </w:rPr>
        <w:footnoteReference w:id="168"/>
      </w:r>
      <w:r>
        <w:t xml:space="preserve"> </w:t>
      </w:r>
      <w:r>
        <w:rPr>
          <w:vertAlign w:val="superscript"/>
        </w:rPr>
        <w:footnoteReference w:id="169"/>
      </w:r>
      <w:r>
        <w:t xml:space="preserve">。Reducto的商业模式验证了Agentic文档处理在企业市场的付费意愿——当准确率突破99%阈值后，法律、金融和合规等高风险行业愿意为确定性付费。</w:t>
      </w:r>
    </w:p>
    <w:bookmarkEnd w:id="110"/>
    <w:bookmarkStart w:id="111" w:name="agentic-chunking准确率94.5但成本高"/>
    <w:p>
      <w:pPr>
        <w:pStyle w:val="Heading4"/>
      </w:pPr>
      <w:r>
        <w:t xml:space="preserve">6.2.2 Agentic chunking：准确率94.5%但成本高</w:t>
      </w:r>
    </w:p>
    <w:p>
      <w:pPr>
        <w:pStyle w:val="FirstParagraph"/>
      </w:pPr>
      <w:r>
        <w:t xml:space="preserve">Agentic chunking（智能分块）是Agent直接处理文档的另一种模式，其本质是让Agent根据文档内容的语义和结构特征动态决定分块策略，而非使用固定的分块规则。研究表明，分块策略占最终答案准确率的35%，是RAG系统中最大的单一影响因素</w:t>
      </w:r>
      <w:r>
        <w:t xml:space="preserve"> </w:t>
      </w:r>
      <w:r>
        <w:rPr>
          <w:vertAlign w:val="superscript"/>
        </w:rPr>
        <w:footnoteReference w:id="170"/>
      </w:r>
      <w:r>
        <w:t xml:space="preserve">。</w:t>
      </w:r>
    </w:p>
    <w:p>
      <w:pPr>
        <w:pStyle w:val="BodyText"/>
      </w:pPr>
      <w:r>
        <w:t xml:space="preserve">与传统分块方法相比，Agentic chunking可达到94.5%的最高准确率（在特定基准测试中），但计算成本也相应最高</w:t>
      </w:r>
      <w:r>
        <w:t xml:space="preserve"> </w:t>
      </w:r>
      <w:fldSimple w:instr="NOTEREF _Ref_Footnote_170 \h \f">
        <w:r>
          <w:rPr>
            <w:vertAlign w:val="superscript"/>
          </w:rPr>
          <w:t>170</w:t>
        </w:r>
      </w:fldSimple>
      <w:r>
        <w:t xml:space="preserve">。该方法的核心优势在于能够根据文档类型自适应调整：对于结构化的SOP文档，Agent可识别标题层级和步骤边界进行语义分块；对于非结构化的说明文本，Agent可识别主题转换点进行动态切割。这种灵活性使Agentic chunking特别适合高价值静态语料——即内容相对固定、但准确率要求极高的场景，如法规文档、医疗指南和精密操作手册。</w:t>
      </w:r>
    </w:p>
    <w:p>
      <w:pPr>
        <w:pStyle w:val="BodyText"/>
      </w:pPr>
      <w:r>
        <w:t xml:space="preserve">然而，对于频繁更新的语料库，Agentic chunking的成本效益比会显著下降。每次文档更新都需要重新执行分块流程，而企业SOP文档通常处于持续迭代状态。因此，该模式更适合作为混合架构中的一个组件——在初始入库阶段使用Agentic chunking建立高质量的语义块，后续增量更新则采用更轻量的结构感知分块。</w:t>
      </w:r>
    </w:p>
    <w:bookmarkEnd w:id="111"/>
    <w:bookmarkStart w:id="115" w:name="rag-vs-fine-tuning-vs-long-context选择"/>
    <w:p>
      <w:pPr>
        <w:pStyle w:val="Heading4"/>
      </w:pPr>
      <w:r>
        <w:t xml:space="preserve">6.2.3 RAG vs Fine-tuning vs Long-context选择</w:t>
      </w:r>
    </w:p>
    <w:p>
      <w:pPr>
        <w:pStyle w:val="FirstParagraph"/>
      </w:pPr>
      <w:r>
        <w:t xml:space="preserve">Agent与文档知识库的交互模式在2026年面临三个结构性转变：token价格下降约10倍、上下文窗口达到1M至2M tokens、Fine-tuning成本显著降低（LoRA适配器使70B模型微调仅需500至2{,}000美元）</w:t>
      </w:r>
      <w:fldSimple w:instr="NOTEREF _Ref_Footnote_170 \h \f">
        <w:r>
          <w:rPr>
            <w:vertAlign w:val="superscript"/>
          </w:rPr>
          <w:t>170</w:t>
        </w:r>
      </w:fldSimple>
      <w:r>
        <w:t xml:space="preserve">。这三个转变从根本上改变了RAG、Fine-tuning和Long-context三者的适用边界。图6-2从场景适配度角度对比了三种技术路线。</w:t>
      </w:r>
    </w:p>
    <w:p>
      <w:pPr>
        <w:pStyle w:val="CaptionedFigure"/>
      </w:pPr>
      <w:r>
        <w:drawing>
          <wp:inline>
            <wp:extent cx="5334000" cy="2631407"/>
            <wp:effectExtent b="0" l="0" r="0" t="0"/>
            <wp:docPr descr="图6-2 RAG、Fine-tuning与Long-context场景适配度对比" title="" id="113" name="Picture"/>
            <a:graphic>
              <a:graphicData uri="http://schemas.openxmlformats.org/drawingml/2006/picture">
                <pic:pic>
                  <pic:nvPicPr>
                    <pic:cNvPr descr="fig6_2_rag_vs_ft_lc.png" id="114" name="Picture"/>
                    <pic:cNvPicPr>
                      <a:picLocks noChangeArrowheads="1" noChangeAspect="1"/>
                    </pic:cNvPicPr>
                  </pic:nvPicPr>
                  <pic:blipFill>
                    <a:blip r:embed="rId112"/>
                    <a:stretch>
                      <a:fillRect/>
                    </a:stretch>
                  </pic:blipFill>
                  <pic:spPr bwMode="auto">
                    <a:xfrm>
                      <a:off x="0" y="0"/>
                      <a:ext cx="5334000" cy="2631407"/>
                    </a:xfrm>
                    <a:prstGeom prst="rect">
                      <a:avLst/>
                    </a:prstGeom>
                    <a:noFill/>
                    <a:ln w="9525">
                      <a:noFill/>
                      <a:headEnd/>
                      <a:tailEnd/>
                    </a:ln>
                  </pic:spPr>
                </pic:pic>
              </a:graphicData>
            </a:graphic>
          </wp:inline>
        </w:drawing>
      </w:r>
    </w:p>
    <w:p>
      <w:pPr>
        <w:pStyle w:val="ImageCaption"/>
      </w:pPr>
      <w:r>
        <w:t xml:space="preserve">图6-2 RAG、Fine-tuning与Long-context场景适配度对比</w:t>
      </w:r>
    </w:p>
    <w:p>
      <w:pPr>
        <w:pStyle w:val="BodyText"/>
      </w:pPr>
      <w:r>
        <w:rPr>
          <w:bCs/>
          <w:b/>
        </w:rPr>
        <w:t xml:space="preserve">RAG的适用场景</w:t>
      </w:r>
      <w:r>
        <w:t xml:space="preserve">包括三类：大型或频繁更新的语料库（规模超过约10MB）、需要引用来源的合规/法律/医疗场景、以及多租户数据隔离需求</w:t>
      </w:r>
      <w:r>
        <w:t xml:space="preserve"> </w:t>
      </w:r>
      <w:fldSimple w:instr="NOTEREF _Ref_Footnote_170 \h \f">
        <w:r>
          <w:rPr>
            <w:vertAlign w:val="superscript"/>
          </w:rPr>
          <w:t>170</w:t>
        </w:r>
      </w:fldSimple>
      <w:r>
        <w:t xml:space="preserve">。对于企业SOP文档而言，RAG的核心优势在于检索系统仅将相关文档片段注入上下文，既避免了长上下文的噪声干扰，又无需为每次内容更新重新训练模型。稀疏检索模式下，大多数查询仅触及语料库的一小部分，RAG的检索开销相对于其价值是可接受的</w:t>
      </w:r>
      <w:r>
        <w:t xml:space="preserve"> </w:t>
      </w:r>
      <w:fldSimple w:instr="NOTEREF _Ref_Footnote_170 \h \f">
        <w:r>
          <w:rPr>
            <w:vertAlign w:val="superscript"/>
          </w:rPr>
          <w:t>170</w:t>
        </w:r>
      </w:fldSimple>
      <w:r>
        <w:t xml:space="preserve">。Red Hat的技术评估指出，RAG比Fine-tuning更易访问和直接，适合动态数据场景</w:t>
      </w:r>
      <w:r>
        <w:t xml:space="preserve"> </w:t>
      </w:r>
      <w:r>
        <w:rPr>
          <w:vertAlign w:val="superscript"/>
        </w:rPr>
        <w:footnoteReference w:id="171"/>
      </w:r>
      <w:r>
        <w:t xml:space="preserve">。</w:t>
      </w:r>
    </w:p>
    <w:p>
      <w:pPr>
        <w:pStyle w:val="BodyText"/>
      </w:pPr>
      <w:r>
        <w:rPr>
          <w:bCs/>
          <w:b/>
        </w:rPr>
        <w:t xml:space="preserve">Fine-tuning的适用场景</w:t>
      </w:r>
      <w:r>
        <w:t xml:space="preserve">主要集中在风格或人设一致性要求高、领域词汇高度专业（法律、医疗术语）、以及延迟敏感的窄任务。研究表明，7B参数的微调模型在单一工作负载上的性能可匹敌70B通用模型</w:t>
      </w:r>
      <w:r>
        <w:t xml:space="preserve"> </w:t>
      </w:r>
      <w:fldSimple w:instr="NOTEREF _Ref_Footnote_170 \h \f">
        <w:r>
          <w:rPr>
            <w:vertAlign w:val="superscript"/>
          </w:rPr>
          <w:t>170</w:t>
        </w:r>
      </w:fldSimple>
      <w:r>
        <w:t xml:space="preserve">。对于SOP场景，如果Agent需要以统一的格式和语调持续生成文档，Fine-tuning可以显著改善输出质量。然而，Fine-tuning需要NLP、深度学习和模型配置的专业经验，且每次语料更新都需要重新训练</w:t>
      </w:r>
      <w:r>
        <w:t xml:space="preserve"> </w:t>
      </w:r>
      <w:fldSimple w:instr="NOTEREF _Ref_Footnote_171 \h \f">
        <w:r>
          <w:rPr>
            <w:vertAlign w:val="superscript"/>
          </w:rPr>
          <w:t>171</w:t>
        </w:r>
      </w:fldSimple>
      <w:r>
        <w:t xml:space="preserve">。</w:t>
      </w:r>
    </w:p>
    <w:p>
      <w:pPr>
        <w:pStyle w:val="BodyText"/>
      </w:pPr>
      <w:r>
        <w:rPr>
          <w:bCs/>
          <w:b/>
        </w:rPr>
        <w:t xml:space="preserve">Long-context的适用场景</w:t>
      </w:r>
      <w:r>
        <w:t xml:space="preserve">限于语料库小于约10MB（约200万tokens）、临时性或低量查询、以及跨文档推理重要且分块会破坏上下文的场景</w:t>
      </w:r>
      <w:r>
        <w:t xml:space="preserve"> </w:t>
      </w:r>
      <w:fldSimple w:instr="NOTEREF _Ref_Footnote_170 \h \f">
        <w:r>
          <w:rPr>
            <w:vertAlign w:val="superscript"/>
          </w:rPr>
          <w:t>170</w:t>
        </w:r>
      </w:fldSimple>
      <w:r>
        <w:t xml:space="preserve">。随着上下文窗口持续扩大，小语料库直接用长上下文处理变得更加简单，但大型语料库的注意力稀释问题仍然存在。</w:t>
      </w:r>
    </w:p>
    <w:p>
      <w:pPr>
        <w:pStyle w:val="BodyText"/>
      </w:pPr>
      <w:r>
        <w:t xml:space="preserve">实际生产环境中最常见的是混合架构</w:t>
      </w:r>
      <w:r>
        <w:t xml:space="preserve"> </w:t>
      </w:r>
      <w:fldSimple w:instr="NOTEREF _Ref_Footnote_170 \h \f">
        <w:r>
          <w:rPr>
            <w:vertAlign w:val="superscript"/>
          </w:rPr>
          <w:t>170</w:t>
        </w:r>
      </w:fldSimple>
      <w:r>
        <w:t xml:space="preserve"> </w:t>
      </w:r>
      <w:r>
        <w:rPr>
          <w:vertAlign w:val="superscript"/>
        </w:rPr>
        <w:footnoteReference w:id="172"/>
      </w:r>
      <w:r>
        <w:t xml:space="preserve">。推荐的组合策略是：</w:t>
      </w:r>
      <w:r>
        <w:rPr>
          <w:bCs/>
          <w:b/>
        </w:rPr>
        <w:t xml:space="preserve">RAG + Fine-tuning</w:t>
      </w:r>
      <w:r>
        <w:t xml:space="preserve">——RAG处理变化的语料，Fine-tuning处理语调、格式和领域词汇；</w:t>
      </w:r>
      <w:r>
        <w:rPr>
          <w:bCs/>
          <w:b/>
        </w:rPr>
        <w:t xml:space="preserve">RAG + Long-context</w:t>
      </w:r>
      <w:r>
        <w:t xml:space="preserve">——RAG检索更广泛的候选集，再由长上下文窗口执行跨文档推理；</w:t>
      </w:r>
      <w:r>
        <w:rPr>
          <w:bCs/>
          <w:b/>
        </w:rPr>
        <w:t xml:space="preserve">小模型+路由器</w:t>
      </w:r>
      <w:r>
        <w:t xml:space="preserve">——小型快速模型分类查询并路由到正确后端，可降低成本3至5倍</w:t>
      </w:r>
      <w:r>
        <w:t xml:space="preserve"> </w:t>
      </w:r>
      <w:fldSimple w:instr="NOTEREF _Ref_Footnote_170 \h \f">
        <w:r>
          <w:rPr>
            <w:vertAlign w:val="superscript"/>
          </w:rPr>
          <w:t>170</w:t>
        </w:r>
      </w:fldSimple>
      <w:r>
        <w:t xml:space="preserve">。Wavect的分析建议每6个月重新运行架构分析，因为”2025年的默认值将是2027年的错误默认值”</w:t>
      </w:r>
      <w:r>
        <w:t xml:space="preserve"> </w:t>
      </w:r>
      <w:fldSimple w:instr="NOTEREF _Ref_Footnote_170 \h \f">
        <w:r>
          <w:rPr>
            <w:vertAlign w:val="superscript"/>
          </w:rPr>
          <w:t>170</w:t>
        </w:r>
      </w:fldSimple>
      <w:r>
        <w:t xml:space="preserve">。对于企业SOP文档系统而言，考虑到SOP文档的持续更新特性和合规引用需求，大型/频繁更新语料库首选RAG+混合架构是当前最稳健的技术路线。</w:t>
      </w:r>
    </w:p>
    <w:p>
      <w:r>
        <w:pict>
          <v:rect style="width:0;height:1.5pt" o:hralign="center" o:hrstd="t" o:hr="t"/>
        </w:pict>
      </w:r>
    </w:p>
    <w:bookmarkEnd w:id="115"/>
    <w:bookmarkEnd w:id="116"/>
    <w:bookmarkEnd w:id="117"/>
    <w:bookmarkStart w:id="143" w:name="推荐方案与权衡分析"/>
    <w:p>
      <w:pPr>
        <w:pStyle w:val="Heading2"/>
      </w:pPr>
      <w:r>
        <w:t xml:space="preserve">7. 推荐方案与权衡分析</w:t>
      </w:r>
    </w:p>
    <w:p>
      <w:pPr>
        <w:pStyle w:val="FirstParagraph"/>
      </w:pPr>
      <w:r>
        <w:t xml:space="preserve">前六章从技术特性、平台能力、转换精度、RAG效果、多模态处理与Agent交互六个维度，系统分析了企业SOP文档在”人类编辑友好”与”AI处理友好”之间的张力。本章在此基础上提出兼顾双重需求的推荐架构，并通过量化模型进行系统性权衡分析，同时给出三条替代路径以供不同组织语境选择。</w:t>
      </w:r>
    </w:p>
    <w:bookmarkStart w:id="124" w:name="推荐架构三层混合模型"/>
    <w:p>
      <w:pPr>
        <w:pStyle w:val="Heading3"/>
      </w:pPr>
      <w:r>
        <w:t xml:space="preserve">7.1 推荐架构：三层混合模型</w:t>
      </w:r>
    </w:p>
    <w:p>
      <w:pPr>
        <w:pStyle w:val="FirstParagraph"/>
      </w:pPr>
      <w:r>
        <w:t xml:space="preserve">基于跨维度分析的核心结论——</w:t>
      </w:r>
      <w:r>
        <w:t xml:space="preserve">“</w:t>
      </w:r>
      <w:r>
        <w:t xml:space="preserve">结构规范是连接人类需求与AI需求的最小公分母</w:t>
      </w:r>
      <w:r>
        <w:t xml:space="preserve">”</w:t>
      </w:r>
      <w:r>
        <w:t xml:space="preserve">——本报告推荐采用”WYSIWYG编辑器 → Markdown存储 → 多格式输出”的三层混合架构。该架构的设计哲学直接借鉴了欧洲电子发票标准ZUGFeRD/XRechnung的混合格式理念：同一文档同时包含人类可读层与机器可读层，两者通过技术手段保持同步</w:t>
      </w:r>
      <w:r>
        <w:t xml:space="preserve"> </w:t>
      </w:r>
      <w:r>
        <w:rPr>
          <w:vertAlign w:val="superscript"/>
        </w:rPr>
        <w:footnoteReference w:id="173"/>
      </w:r>
      <w:r>
        <w:t xml:space="preserve">。</w:t>
      </w:r>
    </w:p>
    <w:bookmarkStart w:id="118" w:name="编辑层飞书文档"/>
    <w:p>
      <w:pPr>
        <w:pStyle w:val="Heading4"/>
      </w:pPr>
      <w:r>
        <w:t xml:space="preserve">7.1.1 编辑层：飞书文档</w:t>
      </w:r>
    </w:p>
    <w:p>
      <w:pPr>
        <w:pStyle w:val="FirstParagraph"/>
      </w:pPr>
      <w:r>
        <w:t xml:space="preserve">编辑层的核心诉求是最大化人类编辑效率。在第二章对五大平台的20维度评测中，飞书文档以综合评分8.50/10位居中国企业SOP场景首位</w:t>
      </w:r>
      <w:r>
        <w:t xml:space="preserve"> </w:t>
      </w:r>
      <w:fldSimple w:instr="NOTEREF _Ref_Footnote_4 \h \f">
        <w:r>
          <w:rPr>
            <w:vertAlign w:val="superscript"/>
          </w:rPr>
          <w:t>4</w:t>
        </w:r>
      </w:fldSimple>
      <w:r>
        <w:t xml:space="preserve">，其块编辑器（Block-based Editor）架构、多维表格集成与飞书IM深度联动，构成了完整的SOP生命周期管理闭环。关键优势包括：审批工作流通过飞书审批应用实现多节点并行审批</w:t>
      </w:r>
      <w:r>
        <w:t xml:space="preserve"> </w:t>
      </w:r>
      <w:fldSimple w:instr="NOTEREF _Ref_Footnote_41 \h \f">
        <w:r>
          <w:rPr>
            <w:vertAlign w:val="superscript"/>
          </w:rPr>
          <w:t>41</w:t>
        </w:r>
      </w:fldSimple>
      <w:r>
        <w:t xml:space="preserve">；多维表格单表支持1{,}000万行数据，满足复杂设备参数管理</w:t>
      </w:r>
      <w:r>
        <w:t xml:space="preserve"> </w:t>
      </w:r>
      <w:fldSimple w:instr="NOTEREF _Ref_Footnote_4 \h \f">
        <w:r>
          <w:rPr>
            <w:vertAlign w:val="superscript"/>
          </w:rPr>
          <w:t>4</w:t>
        </w:r>
      </w:fldSimple>
      <w:r>
        <w:t xml:space="preserve">；与飞书IM原生深度集成使得文档中@同事可直接跳转聊天窗口，用户文档平均协作人数较竞品高37%</w:t>
      </w:r>
      <w:r>
        <w:t xml:space="preserve"> </w:t>
      </w:r>
      <w:fldSimple w:instr="NOTEREF _Ref_Footnote_34 \h \f">
        <w:r>
          <w:rPr>
            <w:vertAlign w:val="superscript"/>
          </w:rPr>
          <w:t>34</w:t>
        </w:r>
      </w:fldSimple>
      <w:r>
        <w:t xml:space="preserve">。</w:t>
      </w:r>
    </w:p>
    <w:p>
      <w:pPr>
        <w:pStyle w:val="BodyText"/>
      </w:pPr>
      <w:r>
        <w:t xml:space="preserve">2026年5月，飞书官方正式上线云文档原生Markdown导出功能</w:t>
      </w:r>
      <w:r>
        <w:t xml:space="preserve"> </w:t>
      </w:r>
      <w:fldSimple w:instr="NOTEREF _Ref_Footnote_5 \h \f">
        <w:r>
          <w:rPr>
            <w:vertAlign w:val="superscript"/>
          </w:rPr>
          <w:t>5</w:t>
        </w:r>
      </w:fldSimple>
      <w:r>
        <w:t xml:space="preserve">，这一更新具有转折意义：它标志着中国最大企业协作平台正式承认”富文本编辑→Markdown存储→AI处理”管道的合理性，从根本上消除了中国企业采用混合文档方案的最大障碍——平台锁定。在此之前，飞书文档导出到Markdown的质量依赖第三方工具（如ELog），格式完整性参差不齐；原生导出后，标题层级、列表、代码块、链接、图片和表格的Markdown语法转换保真度达到约90%</w:t>
      </w:r>
      <w:r>
        <w:t xml:space="preserve"> </w:t>
      </w:r>
      <w:fldSimple w:instr="NOTEREF _Ref_Footnote_6 \h \f">
        <w:r>
          <w:rPr>
            <w:vertAlign w:val="superscript"/>
          </w:rPr>
          <w:t>6</w:t>
        </w:r>
      </w:fldSimple>
      <w:r>
        <w:t xml:space="preserve">，评论等协作元数据作为已知限制可接受。</w:t>
      </w:r>
    </w:p>
    <w:p>
      <w:pPr>
        <w:pStyle w:val="BodyText"/>
      </w:pPr>
      <w:r>
        <w:t xml:space="preserve">对于已部署飞书的企业，推荐直接复用现有平台作为编辑层，无需额外采购或迁移；对于未使用飞书的企业，飞书基础版100人以下免费</w:t>
      </w:r>
      <w:r>
        <w:t xml:space="preserve"> </w:t>
      </w:r>
      <w:r>
        <w:rPr>
          <w:vertAlign w:val="superscript"/>
        </w:rPr>
        <w:footnoteReference w:id="174"/>
      </w:r>
      <w:r>
        <w:t xml:space="preserve">，商业版约¥50-120/人/月，在企业协作SaaS中处于中等价位区间。</w:t>
      </w:r>
    </w:p>
    <w:bookmarkEnd w:id="118"/>
    <w:bookmarkStart w:id="119" w:name="存储层git-markdown作为single-source-of-truth"/>
    <w:p>
      <w:pPr>
        <w:pStyle w:val="Heading4"/>
      </w:pPr>
      <w:r>
        <w:t xml:space="preserve">7.1.2 存储层：Git + Markdown作为Single Source of Truth</w:t>
      </w:r>
    </w:p>
    <w:p>
      <w:pPr>
        <w:pStyle w:val="FirstParagraph"/>
      </w:pPr>
      <w:r>
        <w:t xml:space="preserve">存储层的核心诉求是确保数据的长期可访问性、版本可追溯性与AI处理一致性。Markdown作为单一事实来源（Single Source of Truth, SSOT）具备四项不可替代的优势：格式无关性（通过Pandoc可转换为40+种格式</w:t>
      </w:r>
      <w:r>
        <w:t xml:space="preserve"> </w:t>
      </w:r>
      <w:fldSimple w:instr="NOTEREF _Ref_Footnote_3 \h \f">
        <w:r>
          <w:rPr>
            <w:vertAlign w:val="superscript"/>
          </w:rPr>
          <w:t>3</w:t>
        </w:r>
      </w:fldSimple>
      <w:r>
        <w:t xml:space="preserve">）、版本控制友好性（Git原生支持diff/merge/blame）、AI处理友好性（LLM对Markdown的理解远超Word/PDF</w:t>
      </w:r>
      <w:r>
        <w:t xml:space="preserve"> </w:t>
      </w:r>
      <w:fldSimple w:instr="NOTEREF _Ref_Footnote_11 \h \f">
        <w:r>
          <w:rPr>
            <w:vertAlign w:val="superscript"/>
          </w:rPr>
          <w:t>11</w:t>
        </w:r>
      </w:fldSimple>
      <w:r>
        <w:t xml:space="preserve">），以及长期可访问性（纯文本格式无vendor lock-in风险</w:t>
      </w:r>
      <w:r>
        <w:t xml:space="preserve"> </w:t>
      </w:r>
      <w:r>
        <w:rPr>
          <w:vertAlign w:val="superscript"/>
        </w:rPr>
        <w:footnoteReference w:id="175"/>
      </w:r>
      <w:r>
        <w:t xml:space="preserve">）。</w:t>
      </w:r>
    </w:p>
    <w:p>
      <w:pPr>
        <w:pStyle w:val="BodyText"/>
      </w:pPr>
      <w:r>
        <w:t xml:space="preserve">Git作为版本控制系统，为SOP管理提供了工程级的变更追踪能力。每次文档修改以commit形式记录，配合CODEOWNERS机制可实现文件级责任人分配</w:t>
      </w:r>
      <w:r>
        <w:t xml:space="preserve"> </w:t>
      </w:r>
      <w:r>
        <w:rPr>
          <w:vertAlign w:val="superscript"/>
        </w:rPr>
        <w:footnoteReference w:id="176"/>
      </w:r>
      <w:r>
        <w:t xml:space="preserve">，Pull Request审查流程确保内容变更经过同行评审后合并——这一工作流与SOP的”起草→同行评审→合规审查→运营主管批准”标准路径</w:t>
      </w:r>
      <w:r>
        <w:t xml:space="preserve"> </w:t>
      </w:r>
      <w:r>
        <w:rPr>
          <w:vertAlign w:val="superscript"/>
        </w:rPr>
        <w:footnoteReference w:id="177"/>
      </w:r>
      <w:r>
        <w:t xml:space="preserve">天然对齐。对象存储（S3/MinIO）用于托管图片与附件，与Markdown文件中的相对路径引用配合，解决了Git仓库不适合存储大量二进制文件的问题。</w:t>
      </w:r>
    </w:p>
    <w:p>
      <w:pPr>
        <w:pStyle w:val="BodyText"/>
      </w:pPr>
      <w:r>
        <w:t xml:space="preserve">需要强调的是，Markdown作为SSOT并不意味着所有用户都直接编辑Markdown。编辑层通过WYSIWYG编辑器对用户屏蔽Markdown语法，存储层在后台自动完成格式同步——这是三层架构的关键设计原则。</w:t>
      </w:r>
    </w:p>
    <w:bookmarkEnd w:id="119"/>
    <w:bookmarkStart w:id="123" w:name="处理层自动转换管道-多模态rag"/>
    <w:p>
      <w:pPr>
        <w:pStyle w:val="Heading4"/>
      </w:pPr>
      <w:r>
        <w:t xml:space="preserve">7.1.3 处理层：自动转换管道 + 多模态RAG</w:t>
      </w:r>
    </w:p>
    <w:p>
      <w:pPr>
        <w:pStyle w:val="FirstParagraph"/>
      </w:pPr>
      <w:r>
        <w:t xml:space="preserve">处理层负责将Markdown SSOT转化为AI系统可高效处理的输入。该层由三个串行组件构成：</w:t>
      </w:r>
    </w:p>
    <w:p>
      <w:pPr>
        <w:pStyle w:val="BodyText"/>
      </w:pPr>
      <w:r>
        <w:rPr>
          <w:bCs/>
          <w:b/>
        </w:rPr>
        <w:t xml:space="preserve">转换管道（Conversion Pipeline）</w:t>
      </w:r>
      <w:r>
        <w:t xml:space="preserve">。飞书原生Markdown导出（~90%保真度）已能满足大多数SOP场景，对于复杂表格或PDF遗留文档，可通过Docling（97.9%表格单元格准确率</w:t>
      </w:r>
      <w:r>
        <w:t xml:space="preserve"> </w:t>
      </w:r>
      <w:fldSimple w:instr="NOTEREF _Ref_Footnote_12 \h \f">
        <w:r>
          <w:rPr>
            <w:vertAlign w:val="superscript"/>
          </w:rPr>
          <w:t>12</w:t>
        </w:r>
      </w:fldSimple>
      <w:r>
        <w:t xml:space="preserve">）或MarkItDown（82% F1、12秒/百页</w:t>
      </w:r>
      <w:r>
        <w:t xml:space="preserve"> </w:t>
      </w:r>
      <w:fldSimple w:instr="NOTEREF _Ref_Footnote_11 \h \f">
        <w:r>
          <w:rPr>
            <w:vertAlign w:val="superscript"/>
          </w:rPr>
          <w:t>11</w:t>
        </w:r>
      </w:fldSimple>
      <w:r>
        <w:t xml:space="preserve">）进行补充转换。转换管道的部署模式可根据组织需求选择：批处理模式（定时全量更新，适合历史文档迁移）、实时模式（Webhook触发增量转换，适合活跃文档库）或混合模式（活跃文档实时处理+归档文档夜间批处理）</w:t>
      </w:r>
      <w:fldSimple w:instr="NOTEREF _Ref_Footnote_129 \h \f">
        <w:r>
          <w:rPr>
            <w:vertAlign w:val="superscript"/>
          </w:rPr>
          <w:t>129</w:t>
        </w:r>
      </w:fldSimple>
      <w:r>
        <w:t xml:space="preserve">。</w:t>
      </w:r>
    </w:p>
    <w:p>
      <w:pPr>
        <w:pStyle w:val="BodyText"/>
      </w:pPr>
      <w:r>
        <w:rPr>
          <w:bCs/>
          <w:b/>
        </w:rPr>
        <w:t xml:space="preserve">结构感知分块（Structural Chunking）</w:t>
      </w:r>
      <w:r>
        <w:t xml:space="preserve">。第三章的研究表明，基于Markdown标题层次的结构感知分块准确率可达87%，远超固定大小分块的60-65%</w:t>
      </w:r>
      <w:r>
        <w:t xml:space="preserve"> </w:t>
      </w:r>
      <w:fldSimple w:instr="NOTEREF _Ref_Footnote_8 \h \f">
        <w:r>
          <w:rPr>
            <w:vertAlign w:val="superscript"/>
          </w:rPr>
          <w:t>8</w:t>
        </w:r>
      </w:fldSimple>
      <w:r>
        <w:t xml:space="preserve">，分块策略对RAG最终效果的贡献度达35%。推荐采用”Hybrid Chunking”策略：以标题层级为主要分块边界，结合语义相似度进行块内合并，在600-token块大小基础上设置100-token重叠</w:t>
      </w:r>
      <w:r>
        <w:t xml:space="preserve"> </w:t>
      </w:r>
      <w:fldSimple w:instr="NOTEREF _Ref_Footnote_1 \h \f">
        <w:r>
          <w:rPr>
            <w:vertAlign w:val="superscript"/>
          </w:rPr>
          <w:t>1</w:t>
        </w:r>
      </w:fldSimple>
      <w:r>
        <w:t xml:space="preserve">。</w:t>
      </w:r>
    </w:p>
    <w:p>
      <w:pPr>
        <w:pStyle w:val="BodyText"/>
      </w:pPr>
      <w:r>
        <w:rPr>
          <w:bCs/>
          <w:b/>
        </w:rPr>
        <w:t xml:space="preserve">多模态RAG（Multimodal RAG）</w:t>
      </w:r>
      <w:r>
        <w:t xml:space="preserve">。第五章的评测显示，text-image fusion策略在UniDoc-Bench上取得最优表现（0.654），视觉RAG在金融PDF场景下达到84%准确率，较纯文本RAG的62%高出22个百分点。推荐采用阿里云百炼作为RAG基础设施，其视觉理解类型自动调用qwen3-vl-embedding（MMEB-V2排名第一），支持图文并茂的整页理解</w:t>
      </w:r>
      <w:r>
        <w:t xml:space="preserve"> </w:t>
      </w:r>
      <w:r>
        <w:rPr>
          <w:vertAlign w:val="superscript"/>
        </w:rPr>
        <w:footnoteReference w:id="178"/>
      </w:r>
      <w:r>
        <w:t xml:space="preserve">。SOP文档中的设备截图、流程图、设备照片不再需要被单独提取和手动标注——多模态RAG的成熟从根本上降低了文档格式选择的复杂度。</w:t>
      </w:r>
    </w:p>
    <w:p>
      <w:pPr>
        <w:pStyle w:val="BodyText"/>
      </w:pPr>
      <w:r>
        <w:t xml:space="preserve">Agent接口层通过MCP（Model Context Protocol）协议实现。第六章确认MCP已成为Agent与文档交互的事实标准，Docling与飞书等平台均提供MCP server</w:t>
      </w:r>
      <w:r>
        <w:t xml:space="preserve"> </w:t>
      </w:r>
      <w:fldSimple w:instr="NOTEREF _Ref_Footnote_108 \h \f">
        <w:r>
          <w:rPr>
            <w:vertAlign w:val="superscript"/>
          </w:rPr>
          <w:t>108</w:t>
        </w:r>
      </w:fldSimple>
      <w:r>
        <w:t xml:space="preserve">。需注意的是，Tool Poisoning攻击成功率达72.8%，生产环境必须实施输入验证与权限隔离等安全防护措施。</w:t>
      </w:r>
    </w:p>
    <w:p>
      <w:pPr>
        <w:pStyle w:val="CaptionedFigure"/>
      </w:pPr>
      <w:r>
        <w:drawing>
          <wp:inline>
            <wp:extent cx="5334000" cy="3411144"/>
            <wp:effectExtent b="0" l="0" r="0" t="0"/>
            <wp:docPr descr="推荐架构：三层混合模型" title="" id="121" name="Picture"/>
            <a:graphic>
              <a:graphicData uri="http://schemas.openxmlformats.org/drawingml/2006/picture">
                <pic:pic>
                  <pic:nvPicPr>
                    <pic:cNvPr descr="fig7_1_architecture.png" id="122" name="Picture"/>
                    <pic:cNvPicPr>
                      <a:picLocks noChangeArrowheads="1" noChangeAspect="1"/>
                    </pic:cNvPicPr>
                  </pic:nvPicPr>
                  <pic:blipFill>
                    <a:blip r:embed="rId120"/>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推荐架构：三层混合模型</w:t>
      </w:r>
    </w:p>
    <w:p>
      <w:pPr>
        <w:pStyle w:val="BodyText"/>
      </w:pPr>
      <w:r>
        <w:t xml:space="preserve">上图展示了三层混合架构的完整组件关系。编辑层的人类用户在飞书文档中以WYSIWYG模式编辑SOP，系统自动同步到存储层的Git仓库；存储层的Markdown文件通过Webhook触发处理层的转换管道，经结构感知分块后送入多模态RAG系统；Agent通过MCP协议与整个架构交互，实现文档的读取与更新操作。</w:t>
      </w:r>
    </w:p>
    <w:bookmarkEnd w:id="123"/>
    <w:bookmarkEnd w:id="124"/>
    <w:bookmarkStart w:id="134" w:name="权衡分析"/>
    <w:p>
      <w:pPr>
        <w:pStyle w:val="Heading3"/>
      </w:pPr>
      <w:r>
        <w:t xml:space="preserve">7.2 权衡分析</w:t>
      </w:r>
    </w:p>
    <w:bookmarkStart w:id="128" w:name="编辑体验与ai效果的量化权衡"/>
    <w:p>
      <w:pPr>
        <w:pStyle w:val="Heading4"/>
      </w:pPr>
      <w:r>
        <w:t xml:space="preserve">7.2.1 编辑体验与AI效果的量化权衡</w:t>
      </w:r>
    </w:p>
    <w:p>
      <w:pPr>
        <w:pStyle w:val="FirstParagraph"/>
      </w:pPr>
      <w:r>
        <w:t xml:space="preserve">任何文档架构都面临编辑体验与AI友好度之间的内在张力。本报告采用1-10分的量化评分模型，从五个维度对主流方案进行评估：</w:t>
      </w:r>
    </w:p>
    <w:tbl>
      <w:tblPr>
        <w:tblStyle w:val="Table"/>
        <w:tblW w:type="pct" w:w="5000"/>
        <w:tblLook w:firstRow="1" w:lastRow="0" w:firstColumn="0" w:lastColumn="0" w:noHBand="0" w:noVBand="0" w:val="0020"/>
      </w:tblPr>
      <w:tblGrid>
        <w:gridCol w:w="766"/>
        <w:gridCol w:w="1277"/>
        <w:gridCol w:w="1405"/>
        <w:gridCol w:w="1021"/>
        <w:gridCol w:w="1660"/>
        <w:gridCol w:w="1788"/>
      </w:tblGrid>
      <w:tr>
        <w:trPr>
          <w:tblHeader w:val="true"/>
        </w:trPr>
        <w:tc>
          <w:tcPr/>
          <w:p>
            <w:pPr>
              <w:pStyle w:val="Compact"/>
              <w:jc w:val="left"/>
            </w:pPr>
            <w:r>
              <w:t xml:space="preserve">维度</w:t>
            </w:r>
          </w:p>
        </w:tc>
        <w:tc>
          <w:tcPr/>
          <w:p>
            <w:pPr>
              <w:pStyle w:val="Compact"/>
              <w:jc w:val="left"/>
            </w:pPr>
            <w:r>
              <w:t xml:space="preserve">Word/PDF</w:t>
            </w:r>
          </w:p>
        </w:tc>
        <w:tc>
          <w:tcPr/>
          <w:p>
            <w:pPr>
              <w:pStyle w:val="Compact"/>
              <w:jc w:val="left"/>
            </w:pPr>
            <w:r>
              <w:t xml:space="preserve">Confluence</w:t>
            </w:r>
          </w:p>
        </w:tc>
        <w:tc>
          <w:tcPr/>
          <w:p>
            <w:pPr>
              <w:pStyle w:val="Compact"/>
              <w:jc w:val="left"/>
            </w:pPr>
            <w:r>
              <w:t xml:space="preserve">Notion</w:t>
            </w:r>
          </w:p>
        </w:tc>
        <w:tc>
          <w:tcPr/>
          <w:p>
            <w:pPr>
              <w:pStyle w:val="Compact"/>
              <w:jc w:val="left"/>
            </w:pPr>
            <w:r>
              <w:t xml:space="preserve">Git+Markdown</w:t>
            </w:r>
          </w:p>
        </w:tc>
        <w:tc>
          <w:tcPr/>
          <w:p>
            <w:pPr>
              <w:pStyle w:val="Compact"/>
              <w:jc w:val="left"/>
            </w:pPr>
            <w:r>
              <w:t xml:space="preserve">混合方案(推荐)</w:t>
            </w:r>
          </w:p>
        </w:tc>
      </w:tr>
      <w:tr>
        <w:tc>
          <w:tcPr/>
          <w:p>
            <w:pPr>
              <w:pStyle w:val="Compact"/>
              <w:jc w:val="left"/>
            </w:pPr>
            <w:r>
              <w:t xml:space="preserve">人类编辑体验</w:t>
            </w:r>
          </w:p>
        </w:tc>
        <w:tc>
          <w:tcPr/>
          <w:p>
            <w:pPr>
              <w:pStyle w:val="Compact"/>
              <w:jc w:val="left"/>
            </w:pPr>
            <w:r>
              <w:t xml:space="preserve">9</w:t>
            </w:r>
          </w:p>
        </w:tc>
        <w:tc>
          <w:tcPr/>
          <w:p>
            <w:pPr>
              <w:pStyle w:val="Compact"/>
              <w:jc w:val="left"/>
            </w:pPr>
            <w:r>
              <w:t xml:space="preserve">7</w:t>
            </w:r>
          </w:p>
        </w:tc>
        <w:tc>
          <w:tcPr/>
          <w:p>
            <w:pPr>
              <w:pStyle w:val="Compact"/>
              <w:jc w:val="left"/>
            </w:pPr>
            <w:r>
              <w:t xml:space="preserve">8</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AI处理友好度</w:t>
            </w:r>
          </w:p>
        </w:tc>
        <w:tc>
          <w:tcPr/>
          <w:p>
            <w:pPr>
              <w:pStyle w:val="Compact"/>
              <w:jc w:val="left"/>
            </w:pPr>
            <w:r>
              <w:t xml:space="preserve">2</w:t>
            </w:r>
          </w:p>
        </w:tc>
        <w:tc>
          <w:tcPr/>
          <w:p>
            <w:pPr>
              <w:pStyle w:val="Compact"/>
              <w:jc w:val="left"/>
            </w:pPr>
            <w:r>
              <w:t xml:space="preserve">5</w:t>
            </w:r>
          </w:p>
        </w:tc>
        <w:tc>
          <w:tcPr/>
          <w:p>
            <w:pPr>
              <w:pStyle w:val="Compact"/>
              <w:jc w:val="left"/>
            </w:pPr>
            <w:r>
              <w:t xml:space="preserve">5</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可维护性</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成本效益</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8</w:t>
            </w:r>
          </w:p>
        </w:tc>
        <w:tc>
          <w:tcPr/>
          <w:p>
            <w:pPr>
              <w:pStyle w:val="Compact"/>
              <w:jc w:val="left"/>
            </w:pPr>
            <w:r>
              <w:t xml:space="preserve">7</w:t>
            </w:r>
          </w:p>
        </w:tc>
      </w:tr>
      <w:tr>
        <w:tc>
          <w:tcPr/>
          <w:p>
            <w:pPr>
              <w:pStyle w:val="Compact"/>
              <w:jc w:val="left"/>
            </w:pPr>
            <w:r>
              <w:t xml:space="preserve">可扩展性</w:t>
            </w:r>
          </w:p>
        </w:tc>
        <w:tc>
          <w:tcPr/>
          <w:p>
            <w:pPr>
              <w:pStyle w:val="Compact"/>
              <w:jc w:val="left"/>
            </w:pPr>
            <w:r>
              <w:t xml:space="preserve">5</w:t>
            </w:r>
          </w:p>
        </w:tc>
        <w:tc>
          <w:tcPr/>
          <w:p>
            <w:pPr>
              <w:pStyle w:val="Compact"/>
              <w:jc w:val="left"/>
            </w:pPr>
            <w:r>
              <w:t xml:space="preserve">8</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r>
      <w:tr>
        <w:tc>
          <w:tcPr/>
          <w:p>
            <w:pPr>
              <w:pStyle w:val="Compact"/>
              <w:jc w:val="left"/>
            </w:pPr>
            <w:r>
              <w:rPr>
                <w:bCs/>
                <w:b/>
              </w:rPr>
              <w:t xml:space="preserve">综合得分(平衡权重)</w:t>
            </w:r>
          </w:p>
        </w:tc>
        <w:tc>
          <w:tcPr/>
          <w:p>
            <w:pPr>
              <w:pStyle w:val="Compact"/>
              <w:jc w:val="left"/>
            </w:pPr>
            <w:r>
              <w:rPr>
                <w:bCs/>
                <w:b/>
              </w:rPr>
              <w:t xml:space="preserve">4.7</w:t>
            </w:r>
          </w:p>
        </w:tc>
        <w:tc>
          <w:tcPr/>
          <w:p>
            <w:pPr>
              <w:pStyle w:val="Compact"/>
              <w:jc w:val="left"/>
            </w:pPr>
            <w:r>
              <w:rPr>
                <w:bCs/>
                <w:b/>
              </w:rPr>
              <w:t xml:space="preserve">6.2</w:t>
            </w:r>
          </w:p>
        </w:tc>
        <w:tc>
          <w:tcPr/>
          <w:p>
            <w:pPr>
              <w:pStyle w:val="Compact"/>
              <w:jc w:val="left"/>
            </w:pPr>
            <w:r>
              <w:rPr>
                <w:bCs/>
                <w:b/>
              </w:rPr>
              <w:t xml:space="preserve">6.1</w:t>
            </w:r>
          </w:p>
        </w:tc>
        <w:tc>
          <w:tcPr/>
          <w:p>
            <w:pPr>
              <w:pStyle w:val="Compact"/>
              <w:jc w:val="left"/>
            </w:pPr>
            <w:r>
              <w:rPr>
                <w:bCs/>
                <w:b/>
              </w:rPr>
              <w:t xml:space="preserve">7.2</w:t>
            </w:r>
          </w:p>
        </w:tc>
        <w:tc>
          <w:tcPr/>
          <w:p>
            <w:pPr>
              <w:pStyle w:val="Compact"/>
              <w:jc w:val="left"/>
            </w:pPr>
            <w:r>
              <w:rPr>
                <w:bCs/>
                <w:b/>
              </w:rPr>
              <w:t xml:space="preserve">8.2</w:t>
            </w:r>
          </w:p>
        </w:tc>
      </w:tr>
    </w:tbl>
    <w:p>
      <w:pPr>
        <w:pStyle w:val="BodyText"/>
      </w:pPr>
      <w:r>
        <w:rPr>
          <w:iCs/>
          <w:i/>
        </w:rPr>
        <w:t xml:space="preserve">评分说明：人类编辑体验考量WYSIWYG完整性、协作功能与学习曲线；AI处理友好度考量格式结构化程度、分块边界清晰度与元数据丰富度；可维护性考量版本控制、审计追踪与自动化能力；成本效益基于100人团队5年TCO；可扩展性考量10人到1{,}000人的架构演进能力。综合得分采用平衡权重（w₁=0.25, w₂=0.25, w₃=0.20, w₄=0.15, w₅=0.15）计算。</w:t>
      </w:r>
    </w:p>
    <w:p>
      <w:pPr>
        <w:pStyle w:val="CaptionedFigure"/>
      </w:pPr>
      <w:r>
        <w:drawing>
          <wp:inline>
            <wp:extent cx="5334000" cy="2620920"/>
            <wp:effectExtent b="0" l="0" r="0" t="0"/>
            <wp:docPr descr="各方案人/AI友好度量化评估" title="" id="126" name="Picture"/>
            <a:graphic>
              <a:graphicData uri="http://schemas.openxmlformats.org/drawingml/2006/picture">
                <pic:pic>
                  <pic:nvPicPr>
                    <pic:cNvPr descr="fig7_2_human_ai_score.png" id="127" name="Picture"/>
                    <pic:cNvPicPr>
                      <a:picLocks noChangeArrowheads="1" noChangeAspect="1"/>
                    </pic:cNvPicPr>
                  </pic:nvPicPr>
                  <pic:blipFill>
                    <a:blip r:embed="rId125"/>
                    <a:stretch>
                      <a:fillRect/>
                    </a:stretch>
                  </pic:blipFill>
                  <pic:spPr bwMode="auto">
                    <a:xfrm>
                      <a:off x="0" y="0"/>
                      <a:ext cx="5334000" cy="2620920"/>
                    </a:xfrm>
                    <a:prstGeom prst="rect">
                      <a:avLst/>
                    </a:prstGeom>
                    <a:noFill/>
                    <a:ln w="9525">
                      <a:noFill/>
                      <a:headEnd/>
                      <a:tailEnd/>
                    </a:ln>
                  </pic:spPr>
                </pic:pic>
              </a:graphicData>
            </a:graphic>
          </wp:inline>
        </w:drawing>
      </w:r>
    </w:p>
    <w:p>
      <w:pPr>
        <w:pStyle w:val="ImageCaption"/>
      </w:pPr>
      <w:r>
        <w:t xml:space="preserve">各方案人/AI友好度量化评估</w:t>
      </w:r>
    </w:p>
    <w:p>
      <w:pPr>
        <w:pStyle w:val="BodyText"/>
      </w:pPr>
      <w:r>
        <w:t xml:space="preserve">上表的量化数据揭示了三个关键规律。第一，Word/PDF方案在人类编辑体验上评分最高（9分），但AI处理友好度仅为2分——这与第一章发现的”Markdown减少67-90% token消耗”</w:t>
      </w:r>
      <w:r>
        <w:t xml:space="preserve"> </w:t>
      </w:r>
      <w:fldSimple w:instr="NOTEREF _Ref_Footnote_48 \h \f">
        <w:r>
          <w:rPr>
            <w:vertAlign w:val="superscript"/>
          </w:rPr>
          <w:t>48</w:t>
        </w:r>
      </w:fldSimple>
      <w:r>
        <w:t xml:space="preserve">形成鲜明对照，说明传统Office格式的语义信息密度不足以支撑高效AI处理。第二，Git+Markdown方案在AI处理维度达到满分（9分），但人类编辑体验仅为3分——Markdown的表格编辑被技术文档社区普遍评价为”awful”</w:t>
      </w:r>
      <w:r>
        <w:t xml:space="preserve"> </w:t>
      </w:r>
      <w:fldSimple w:instr="NOTEREF _Ref_Footnote_4 \h \f">
        <w:r>
          <w:rPr>
            <w:vertAlign w:val="superscript"/>
          </w:rPr>
          <w:t>4</w:t>
        </w:r>
      </w:fldSimple>
      <w:r>
        <w:t xml:space="preserve">，图片插入的摩擦成本也显著高于富文本编辑器。第三，混合方案（推荐）在人类编辑（8分）与AI处理（9分）两个维度均达到或接近最优，综合得分8.2分，较次优方案Git+Markdown的7.2分高出14%。</w:t>
      </w:r>
    </w:p>
    <w:p>
      <w:pPr>
        <w:pStyle w:val="BodyText"/>
      </w:pPr>
      <w:r>
        <w:t xml:space="preserve">混合方案实现双重高分的关键机制在于”关注点分离”（Separation of Concerns）：WYSIWYG编辑器负责保留人类体验，Markdown后端负责确保AI可用性，自动转换管道负责两者之间的无损桥接。Milkdown等编辑器基于ProseMirror+Remark架构实现了100%准确的Markdown双向解析</w:t>
      </w:r>
      <w:r>
        <w:t xml:space="preserve"> </w:t>
      </w:r>
      <w:fldSimple w:instr="NOTEREF _Ref_Footnote_51 \h \f">
        <w:r>
          <w:rPr>
            <w:vertAlign w:val="superscript"/>
          </w:rPr>
          <w:t>51</w:t>
        </w:r>
      </w:fldSimple>
      <w:r>
        <w:t xml:space="preserve">，证明了”前端富文本、后端Markdown”在技术上完全可行。飞书2026年5月的原生Markdown导出进一步验证了这一架构方向的行业趋势。</w:t>
      </w:r>
    </w:p>
    <w:p>
      <w:pPr>
        <w:pStyle w:val="BodyText"/>
      </w:pPr>
      <w:r>
        <w:t xml:space="preserve">对于组织决策者，上表提供了明确的选型依据：若组织以非技术用户为主且SOP更新频率高，混合方案的综合优势最为显著；若组织以工程师为主且已具备Git工作流文化，Git+Markdown方案的综合得分7.2分亦可接受；纯Word/PDF方案（4.7分）与纯富文本方案（Confluence 6.2分、Notion 6.1分）在AI时代的综合性价比已不具备竞争力。</w:t>
      </w:r>
    </w:p>
    <w:bookmarkEnd w:id="128"/>
    <w:bookmarkStart w:id="132" w:name="tco对比分析"/>
    <w:p>
      <w:pPr>
        <w:pStyle w:val="Heading4"/>
      </w:pPr>
      <w:r>
        <w:t xml:space="preserve">7.2.2 TCO对比分析</w:t>
      </w:r>
    </w:p>
    <w:p>
      <w:pPr>
        <w:pStyle w:val="FirstParagraph"/>
      </w:pPr>
      <w:r>
        <w:t xml:space="preserve">总拥有成本（Total Cost of Ownership, TCO）是架构选型的决定性因素之一。以下基于100人团队5年生命周期的TCO模型，对四种代表性方案进行量化对比。</w:t>
      </w:r>
    </w:p>
    <w:tbl>
      <w:tblPr>
        <w:tblStyle w:val="Table"/>
        <w:tblW w:type="pct" w:w="5000"/>
        <w:tblLook w:firstRow="1" w:lastRow="0" w:firstColumn="0" w:lastColumn="0" w:noHBand="0" w:noVBand="0" w:val="0020"/>
      </w:tblPr>
      <w:tblGrid>
        <w:gridCol w:w="1470"/>
        <w:gridCol w:w="1244"/>
        <w:gridCol w:w="2149"/>
        <w:gridCol w:w="1244"/>
        <w:gridCol w:w="1810"/>
      </w:tblGrid>
      <w:tr>
        <w:trPr>
          <w:tblHeader w:val="true"/>
        </w:trPr>
        <w:tc>
          <w:tcPr/>
          <w:p>
            <w:pPr>
              <w:pStyle w:val="Compact"/>
              <w:jc w:val="left"/>
            </w:pPr>
            <w:r>
              <w:t xml:space="preserve">成本项（USD）</w:t>
            </w:r>
          </w:p>
        </w:tc>
        <w:tc>
          <w:tcPr/>
          <w:p>
            <w:pPr>
              <w:pStyle w:val="Compact"/>
              <w:jc w:val="left"/>
            </w:pPr>
            <w:r>
              <w:t xml:space="preserve">开源自托管</w:t>
            </w:r>
          </w:p>
        </w:tc>
        <w:tc>
          <w:tcPr/>
          <w:p>
            <w:pPr>
              <w:pStyle w:val="Compact"/>
              <w:jc w:val="left"/>
            </w:pPr>
            <w:r>
              <w:t xml:space="preserve">Confluence Premium</w:t>
            </w:r>
          </w:p>
        </w:tc>
        <w:tc>
          <w:tcPr/>
          <w:p>
            <w:pPr>
              <w:pStyle w:val="Compact"/>
              <w:jc w:val="left"/>
            </w:pPr>
            <w:r>
              <w:t xml:space="preserve">飞书企业版</w:t>
            </w:r>
          </w:p>
        </w:tc>
        <w:tc>
          <w:tcPr/>
          <w:p>
            <w:pPr>
              <w:pStyle w:val="Compact"/>
              <w:jc w:val="left"/>
            </w:pPr>
            <w:r>
              <w:t xml:space="preserve">Notion Business</w:t>
            </w:r>
          </w:p>
        </w:tc>
      </w:tr>
      <w:tr>
        <w:tc>
          <w:tcPr/>
          <w:p>
            <w:pPr>
              <w:pStyle w:val="Compact"/>
              <w:jc w:val="left"/>
            </w:pPr>
            <w:r>
              <w:rPr>
                <w:bCs/>
                <w:b/>
              </w:rPr>
              <w:t xml:space="preserve">初始设置</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基础设施搭建</w:t>
            </w:r>
          </w:p>
        </w:tc>
        <w:tc>
          <w:tcPr/>
          <w:p>
            <w:pPr>
              <w:pStyle w:val="Compact"/>
              <w:jc w:val="left"/>
            </w:pPr>
            <w:r>
              <w:t xml:space="preserve">5{,}000</w:t>
            </w:r>
          </w:p>
        </w:tc>
        <w:tc>
          <w:tcPr/>
          <w:p>
            <w:pPr>
              <w:pStyle w:val="Compact"/>
              <w:jc w:val="left"/>
            </w:pPr>
            <w:r>
              <w:t xml:space="preserve">0</w:t>
            </w:r>
          </w:p>
        </w:tc>
        <w:tc>
          <w:tcPr/>
          <w:p>
            <w:pPr>
              <w:pStyle w:val="Compact"/>
              <w:jc w:val="left"/>
            </w:pPr>
            <w:r>
              <w:t xml:space="preserve">2{,}000</w:t>
            </w:r>
          </w:p>
        </w:tc>
        <w:tc>
          <w:tcPr/>
          <w:p>
            <w:pPr>
              <w:pStyle w:val="Compact"/>
              <w:jc w:val="left"/>
            </w:pPr>
            <w:r>
              <w:t xml:space="preserve">0</w:t>
            </w:r>
          </w:p>
        </w:tc>
      </w:tr>
      <w:tr>
        <w:tc>
          <w:tcPr/>
          <w:p>
            <w:pPr>
              <w:pStyle w:val="Compact"/>
              <w:jc w:val="left"/>
            </w:pPr>
            <w:r>
              <w:t xml:space="preserve">迁移与集成</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8{,}000</w:t>
            </w:r>
          </w:p>
        </w:tc>
        <w:tc>
          <w:tcPr/>
          <w:p>
            <w:pPr>
              <w:pStyle w:val="Compact"/>
              <w:jc w:val="left"/>
            </w:pPr>
            <w:r>
              <w:t xml:space="preserve">10{,}000</w:t>
            </w:r>
          </w:p>
        </w:tc>
      </w:tr>
      <w:tr>
        <w:tc>
          <w:tcPr/>
          <w:p>
            <w:pPr>
              <w:pStyle w:val="Compact"/>
              <w:jc w:val="left"/>
            </w:pPr>
            <w:r>
              <w:t xml:space="preserve">定制开发</w:t>
            </w:r>
          </w:p>
        </w:tc>
        <w:tc>
          <w:tcPr/>
          <w:p>
            <w:pPr>
              <w:pStyle w:val="Compact"/>
              <w:jc w:val="left"/>
            </w:pPr>
            <w:r>
              <w:t xml:space="preserve">15{,}000</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0</w:t>
            </w:r>
          </w:p>
        </w:tc>
      </w:tr>
      <w:tr>
        <w:tc>
          <w:tcPr/>
          <w:p>
            <w:pPr>
              <w:pStyle w:val="Compact"/>
              <w:jc w:val="left"/>
            </w:pPr>
            <w:r>
              <w:rPr>
                <w:bCs/>
                <w:b/>
              </w:rPr>
              <w:t xml:space="preserve">5年订阅费用</w:t>
            </w:r>
          </w:p>
        </w:tc>
        <w:tc>
          <w:tcPr/>
          <w:p>
            <w:pPr>
              <w:pStyle w:val="Compact"/>
              <w:jc w:val="left"/>
            </w:pPr>
            <w:r>
              <w:t xml:space="preserve">0</w:t>
            </w:r>
          </w:p>
        </w:tc>
        <w:tc>
          <w:tcPr/>
          <w:p>
            <w:pPr>
              <w:pStyle w:val="Compact"/>
              <w:jc w:val="left"/>
            </w:pPr>
            <w:r>
              <w:t xml:space="preserve">363{,}000</w:t>
            </w:r>
          </w:p>
        </w:tc>
        <w:tc>
          <w:tcPr/>
          <w:p>
            <w:pPr>
              <w:pStyle w:val="Compact"/>
              <w:jc w:val="left"/>
            </w:pPr>
            <w:r>
              <w:t xml:space="preserve">240{,}000*</w:t>
            </w:r>
          </w:p>
        </w:tc>
        <w:tc>
          <w:tcPr/>
          <w:p>
            <w:pPr>
              <w:pStyle w:val="Compact"/>
              <w:jc w:val="left"/>
            </w:pPr>
            <w:r>
              <w:t xml:space="preserve">600{,}000</w:t>
            </w:r>
          </w:p>
        </w:tc>
      </w:tr>
      <w:tr>
        <w:tc>
          <w:tcPr/>
          <w:p>
            <w:pPr>
              <w:pStyle w:val="Compact"/>
              <w:jc w:val="left"/>
            </w:pPr>
            <w:r>
              <w:rPr>
                <w:bCs/>
                <w:b/>
              </w:rPr>
              <w:t xml:space="preserve">5年基础设施</w:t>
            </w:r>
          </w:p>
        </w:tc>
        <w:tc>
          <w:tcPr/>
          <w:p>
            <w:pPr>
              <w:pStyle w:val="Compact"/>
              <w:jc w:val="left"/>
            </w:pPr>
            <w:r>
              <w:t xml:space="preserve">30{,}000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5年人力运维</w:t>
            </w:r>
          </w:p>
        </w:tc>
        <w:tc>
          <w:tcPr/>
          <w:p>
            <w:pPr>
              <w:pStyle w:val="Compact"/>
              <w:jc w:val="left"/>
            </w:pPr>
            <w:r>
              <w:t xml:space="preserve">300{,}000</w:t>
            </w:r>
          </w:p>
        </w:tc>
        <w:tc>
          <w:tcPr/>
          <w:p>
            <w:pPr>
              <w:pStyle w:val="Compact"/>
              <w:jc w:val="left"/>
            </w:pPr>
            <w:r>
              <w:t xml:space="preserve">60{,}000</w:t>
            </w:r>
          </w:p>
        </w:tc>
        <w:tc>
          <w:tcPr/>
          <w:p>
            <w:pPr>
              <w:pStyle w:val="Compact"/>
              <w:jc w:val="left"/>
            </w:pPr>
            <w:r>
              <w:t xml:space="preserve">90{,}000</w:t>
            </w:r>
          </w:p>
        </w:tc>
        <w:tc>
          <w:tcPr/>
          <w:p>
            <w:pPr>
              <w:pStyle w:val="Compact"/>
              <w:jc w:val="left"/>
            </w:pPr>
            <w:r>
              <w:t xml:space="preserve">60{,}000</w:t>
            </w:r>
          </w:p>
        </w:tc>
      </w:tr>
      <w:tr>
        <w:tc>
          <w:tcPr/>
          <w:p>
            <w:pPr>
              <w:pStyle w:val="Compact"/>
              <w:jc w:val="left"/>
            </w:pPr>
            <w:r>
              <w:rPr>
                <w:bCs/>
                <w:b/>
              </w:rPr>
              <w:t xml:space="preserve">5年培训成本</w:t>
            </w:r>
          </w:p>
        </w:tc>
        <w:tc>
          <w:tcPr/>
          <w:p>
            <w:pPr>
              <w:pStyle w:val="Compact"/>
              <w:jc w:val="left"/>
            </w:pPr>
            <w:r>
              <w:t xml:space="preserve">10{,}000</w:t>
            </w:r>
          </w:p>
        </w:tc>
        <w:tc>
          <w:tcPr/>
          <w:p>
            <w:pPr>
              <w:pStyle w:val="Compact"/>
              <w:jc w:val="left"/>
            </w:pPr>
            <w:r>
              <w:t xml:space="preserve">27{,}500</w:t>
            </w:r>
          </w:p>
        </w:tc>
        <w:tc>
          <w:tcPr/>
          <w:p>
            <w:pPr>
              <w:pStyle w:val="Compact"/>
              <w:jc w:val="left"/>
            </w:pPr>
            <w:r>
              <w:t xml:space="preserve">25{,}000</w:t>
            </w:r>
          </w:p>
        </w:tc>
        <w:tc>
          <w:tcPr/>
          <w:p>
            <w:pPr>
              <w:pStyle w:val="Compact"/>
              <w:jc w:val="left"/>
            </w:pPr>
            <w:r>
              <w:t xml:space="preserve">15{,}000</w:t>
            </w:r>
          </w:p>
        </w:tc>
      </w:tr>
      <w:tr>
        <w:tc>
          <w:tcPr/>
          <w:p>
            <w:pPr>
              <w:pStyle w:val="Compact"/>
              <w:jc w:val="left"/>
            </w:pPr>
            <w:r>
              <w:rPr>
                <w:bCs/>
                <w:b/>
              </w:rPr>
              <w:t xml:space="preserve">5年TCO总计</w:t>
            </w:r>
          </w:p>
        </w:tc>
        <w:tc>
          <w:tcPr/>
          <w:p>
            <w:pPr>
              <w:pStyle w:val="Compact"/>
              <w:jc w:val="left"/>
            </w:pPr>
            <w:r>
              <w:rPr>
                <w:bCs/>
                <w:b/>
              </w:rPr>
              <w:t xml:space="preserve">~370{,}000</w:t>
            </w:r>
          </w:p>
        </w:tc>
        <w:tc>
          <w:tcPr/>
          <w:p>
            <w:pPr>
              <w:pStyle w:val="Compact"/>
              <w:jc w:val="left"/>
            </w:pPr>
            <w:r>
              <w:rPr>
                <w:bCs/>
                <w:b/>
              </w:rPr>
              <w:t xml:space="preserve">~460{,}000</w:t>
            </w:r>
          </w:p>
        </w:tc>
        <w:tc>
          <w:tcPr/>
          <w:p>
            <w:pPr>
              <w:pStyle w:val="Compact"/>
              <w:jc w:val="left"/>
            </w:pPr>
            <w:r>
              <w:rPr>
                <w:bCs/>
                <w:b/>
              </w:rPr>
              <w:t xml:space="preserve">~370{,}000</w:t>
            </w:r>
          </w:p>
        </w:tc>
        <w:tc>
          <w:tcPr/>
          <w:p>
            <w:pPr>
              <w:pStyle w:val="Compact"/>
              <w:jc w:val="left"/>
            </w:pPr>
            <w:r>
              <w:rPr>
                <w:bCs/>
                <w:b/>
              </w:rPr>
              <w:t xml:space="preserve">~685{,}000</w:t>
            </w:r>
          </w:p>
        </w:tc>
      </w:tr>
      <w:tr>
        <w:tc>
          <w:tcPr/>
          <w:p>
            <w:pPr>
              <w:pStyle w:val="Compact"/>
              <w:jc w:val="left"/>
            </w:pPr>
            <w:r>
              <w:t xml:space="preserve">每用户/年</w:t>
            </w:r>
          </w:p>
        </w:tc>
        <w:tc>
          <w:tcPr/>
          <w:p>
            <w:pPr>
              <w:pStyle w:val="Compact"/>
              <w:jc w:val="left"/>
            </w:pPr>
            <w:r>
              <w:t xml:space="preserve">740</w:t>
            </w:r>
          </w:p>
        </w:tc>
        <w:tc>
          <w:tcPr/>
          <w:p>
            <w:pPr>
              <w:pStyle w:val="Compact"/>
              <w:jc w:val="left"/>
            </w:pPr>
            <w:r>
              <w:t xml:space="preserve">920</w:t>
            </w:r>
          </w:p>
        </w:tc>
        <w:tc>
          <w:tcPr/>
          <w:p>
            <w:pPr>
              <w:pStyle w:val="Compact"/>
              <w:jc w:val="left"/>
            </w:pPr>
            <w:r>
              <w:t xml:space="preserve">740</w:t>
            </w:r>
          </w:p>
        </w:tc>
        <w:tc>
          <w:tcPr/>
          <w:p>
            <w:pPr>
              <w:pStyle w:val="Compact"/>
              <w:jc w:val="left"/>
            </w:pPr>
            <w:r>
              <w:t xml:space="preserve">1{,}370</w:t>
            </w:r>
          </w:p>
        </w:tc>
      </w:tr>
    </w:tbl>
    <w:p>
      <w:pPr>
        <w:pStyle w:val="BodyText"/>
      </w:pPr>
      <w:r>
        <w:rPr>
          <w:iCs/>
          <w:i/>
        </w:rPr>
        <w:t xml:space="preserve">数据来源：基于开源社区基准</w:t>
      </w:r>
      <w:r>
        <w:rPr>
          <w:iCs/>
          <w:i/>
        </w:rPr>
        <w:t xml:space="preserve"> </w:t>
      </w:r>
      <w:fldSimple w:instr="NOTEREF _Ref_Footnote_23 \h \f">
        <w:r>
          <w:rPr>
            <w:vertAlign w:val="superscript"/>
          </w:rPr>
          <w:t>23</w:t>
        </w:r>
      </w:fldSimple>
      <w:r>
        <w:rPr>
          <w:iCs/>
          <w:i/>
        </w:rPr>
        <w:t xml:space="preserve"> </w:t>
      </w:r>
      <w:fldSimple w:instr="NOTEREF _Ref_Footnote_24 \h \f">
        <w:r>
          <w:rPr>
            <w:vertAlign w:val="superscript"/>
          </w:rPr>
          <w:t>24</w:t>
        </w:r>
      </w:fldSimple>
      <w:r>
        <w:rPr>
          <w:iCs/>
          <w:i/>
        </w:rPr>
        <w:t xml:space="preserve">与厂商公开定价</w:t>
      </w:r>
      <w:r>
        <w:rPr>
          <w:iCs/>
          <w:i/>
        </w:rPr>
        <w:t xml:space="preserve"> </w:t>
      </w:r>
      <w:fldSimple w:instr="NOTEREF _Ref_Footnote_37 \h \f">
        <w:r>
          <w:rPr>
            <w:vertAlign w:val="superscript"/>
          </w:rPr>
          <w:t>37</w:t>
        </w:r>
      </w:fldSimple>
      <w:r>
        <w:rPr>
          <w:iCs/>
          <w:i/>
        </w:rPr>
        <w:t xml:space="preserve">构建的TCO模型。飞书企业版订阅费按¥50-120/人/月中间值估算。初始建设成本占真实生命周期成本的25-40%</w:t>
      </w:r>
      <w:r>
        <w:rPr>
          <w:iCs/>
          <w:i/>
        </w:rPr>
        <w:t xml:space="preserve"> </w:t>
      </w:r>
      <w:r>
        <w:rPr>
          <w:vertAlign w:val="superscript"/>
        </w:rPr>
        <w:footnoteReference w:id="179"/>
      </w:r>
      <w:r>
        <w:rPr>
          <w:iCs/>
          <w:i/>
        </w:rPr>
        <w:t xml:space="preserve">，运营维护成本才是长期TCO的主体。</w:t>
      </w:r>
    </w:p>
    <w:p>
      <w:pPr>
        <w:pStyle w:val="CaptionedFigure"/>
      </w:pPr>
      <w:r>
        <w:drawing>
          <wp:inline>
            <wp:extent cx="5334000" cy="2265123"/>
            <wp:effectExtent b="0" l="0" r="0" t="0"/>
            <wp:docPr descr="5年TCO对比分析" title="" id="130" name="Picture"/>
            <a:graphic>
              <a:graphicData uri="http://schemas.openxmlformats.org/drawingml/2006/picture">
                <pic:pic>
                  <pic:nvPicPr>
                    <pic:cNvPr descr="fig7_3_tco_comparison.png" id="131" name="Picture"/>
                    <pic:cNvPicPr>
                      <a:picLocks noChangeArrowheads="1" noChangeAspect="1"/>
                    </pic:cNvPicPr>
                  </pic:nvPicPr>
                  <pic:blipFill>
                    <a:blip r:embed="rId129"/>
                    <a:stretch>
                      <a:fillRect/>
                    </a:stretch>
                  </pic:blipFill>
                  <pic:spPr bwMode="auto">
                    <a:xfrm>
                      <a:off x="0" y="0"/>
                      <a:ext cx="5334000" cy="2265123"/>
                    </a:xfrm>
                    <a:prstGeom prst="rect">
                      <a:avLst/>
                    </a:prstGeom>
                    <a:noFill/>
                    <a:ln w="9525">
                      <a:noFill/>
                      <a:headEnd/>
                      <a:tailEnd/>
                    </a:ln>
                  </pic:spPr>
                </pic:pic>
              </a:graphicData>
            </a:graphic>
          </wp:inline>
        </w:drawing>
      </w:r>
    </w:p>
    <w:p>
      <w:pPr>
        <w:pStyle w:val="ImageCaption"/>
      </w:pPr>
      <w:r>
        <w:t xml:space="preserve">5年TCO对比分析</w:t>
      </w:r>
    </w:p>
    <w:p>
      <w:pPr>
        <w:pStyle w:val="BodyText"/>
      </w:pPr>
      <w:r>
        <w:t xml:space="preserve">TCO分析揭示了三项对决策具有实质性影响的发现。第一，开源自托管方案与飞书企业版在5年TCO层面基本持平（均为~$370K），但成本结构截然不同：开源方案81%的TCO来自人力运维（0.5 FTE运维工程师×5年），飞书方案65%来自订阅费用</w:t>
      </w:r>
      <w:r>
        <w:t xml:space="preserve"> </w:t>
      </w:r>
      <w:fldSimple w:instr="NOTEREF _Ref_Footnote_23 \h \f">
        <w:r>
          <w:rPr>
            <w:vertAlign w:val="superscript"/>
          </w:rPr>
          <w:t>23</w:t>
        </w:r>
      </w:fldSimple>
      <w:r>
        <w:t xml:space="preserve">。这意味着开源方案对组织的DevOps能力有隐性门槛——若团队缺乏Linux服务器管理能力，开源方案的隐性成本将显著上升。第二，Notion Business方案的TCO高达$685K，每用户/年成本$1{,}370，是开源方案的1.85倍，其高订阅费用与Business方案才能解锁的完整AI功能直接相关</w:t>
      </w:r>
      <w:r>
        <w:t xml:space="preserve"> </w:t>
      </w:r>
      <w:fldSimple w:instr="NOTEREF _Ref_Footnote_65 \h \f">
        <w:r>
          <w:rPr>
            <w:vertAlign w:val="superscript"/>
          </w:rPr>
          <w:t>65</w:t>
        </w:r>
      </w:fldSimple>
      <w:r>
        <w:t xml:space="preserve">。第三，Confluence Premium方案TCO为$460K，在提供企业级SOP合规功能（电子签名、审计追踪、21 CFR Part 11合规</w:t>
      </w:r>
      <w:r>
        <w:t xml:space="preserve"> </w:t>
      </w:r>
      <w:fldSimple w:instr="NOTEREF _Ref_Footnote_42 \h \f">
        <w:r>
          <w:rPr>
            <w:vertAlign w:val="superscript"/>
          </w:rPr>
          <w:t>42</w:t>
        </w:r>
      </w:fldSimple>
      <w:r>
        <w:t xml:space="preserve">）的同时，成本处于中等区间。</w:t>
      </w:r>
    </w:p>
    <w:p>
      <w:pPr>
        <w:pStyle w:val="BodyText"/>
      </w:pPr>
      <w:r>
        <w:t xml:space="preserve">对于中国企业，TCO评估还需纳入隐性成本维度。开源方案需自行负责安全补丁管理、合规认证（SOC2/ISO27001）与数据备份恢复，这些在商业方案中通常已包含</w:t>
      </w:r>
      <w:r>
        <w:t xml:space="preserve"> </w:t>
      </w:r>
      <w:fldSimple w:instr="NOTEREF _Ref_Footnote_23 \h \f">
        <w:r>
          <w:rPr>
            <w:vertAlign w:val="superscript"/>
          </w:rPr>
          <w:t>23</w:t>
        </w:r>
      </w:fldSimple>
      <w:r>
        <w:t xml:space="preserve">。此外，信创要求推动下的国产化替代（2027年前央企国企核心系统100%国产化）意味着海外SaaS平台（Notion/Confluence）可能面临额外的合规适配成本。飞书作为国内平台，在等保三级、数据本地化与ISO 27001/27701认证方面已完成适配</w:t>
      </w:r>
      <w:r>
        <w:t xml:space="preserve"> </w:t>
      </w:r>
      <w:r>
        <w:rPr>
          <w:vertAlign w:val="superscript"/>
        </w:rPr>
        <w:footnoteReference w:id="180"/>
      </w:r>
      <w:r>
        <w:t xml:space="preserve"> </w:t>
      </w:r>
      <w:r>
        <w:rPr>
          <w:vertAlign w:val="superscript"/>
        </w:rPr>
        <w:footnoteReference w:id="181"/>
      </w:r>
      <w:r>
        <w:t xml:space="preserve">，可有效降低合规隐性成本。</w:t>
      </w:r>
    </w:p>
    <w:bookmarkEnd w:id="132"/>
    <w:bookmarkStart w:id="133" w:name="可扩展性评估10人100人1000人规模的架构演进路径"/>
    <w:p>
      <w:pPr>
        <w:pStyle w:val="Heading4"/>
      </w:pPr>
      <w:r>
        <w:t xml:space="preserve">7.2.3 可扩展性评估：10人→100人→1{,}000人规模的架构演进路径</w:t>
      </w:r>
    </w:p>
    <w:p>
      <w:pPr>
        <w:pStyle w:val="FirstParagraph"/>
      </w:pPr>
      <w:r>
        <w:t xml:space="preserve">文档架构的可扩展性不仅取决于技术组件的性能上限，更取决于组织治理复杂度随规模增长的适配能力。以下分阶段评估推荐架构的演进路径：</w:t>
      </w:r>
    </w:p>
    <w:p>
      <w:pPr>
        <w:pStyle w:val="BodyText"/>
      </w:pPr>
      <w:r>
        <w:rPr>
          <w:bCs/>
          <w:b/>
        </w:rPr>
        <w:t xml:space="preserve">10-20人阶段（初创团队/部门试点）</w:t>
      </w:r>
      <w:r>
        <w:t xml:space="preserve">。推荐采用飞书文档+Git备份的轻量模式。飞书基础版100人以下免费</w:t>
      </w:r>
      <w:r>
        <w:t xml:space="preserve"> </w:t>
      </w:r>
      <w:fldSimple w:instr="NOTEREF _Ref_Footnote_174 \h \f">
        <w:r>
          <w:rPr>
            <w:vertAlign w:val="superscript"/>
          </w:rPr>
          <w:t>174</w:t>
        </w:r>
      </w:fldSimple>
      <w:r>
        <w:t xml:space="preserve">，Git仓库可使用Gitea或GitHub免费私有仓库。此阶段的核心目标是建立”编辑-导出-版本控制”的工作习惯，无需专职运维人员。转换管道可暂时省略，飞书原生Markdown导出（~90%保真度）直接作为RAG输入即可。</w:t>
      </w:r>
    </w:p>
    <w:p>
      <w:pPr>
        <w:pStyle w:val="BodyText"/>
      </w:pPr>
      <w:r>
        <w:rPr>
          <w:bCs/>
          <w:b/>
        </w:rPr>
        <w:t xml:space="preserve">20-50人阶段（多部门协作）</w:t>
      </w:r>
      <w:r>
        <w:t xml:space="preserve">。引入自动转换管道（Pandoc + MarkItDown）与结构感知分块。此阶段开始出现文档治理需求：需建立Markdown模板库与文档规范（标题层级、Front Matter元数据格式）。建议配置0.25 FTE的技术文档工程师负责模板维护与质量审核。Git仓库规模在此阶段通常不超过5GB，性能无瓶颈。</w:t>
      </w:r>
    </w:p>
    <w:p>
      <w:pPr>
        <w:pStyle w:val="BodyText"/>
      </w:pPr>
      <w:r>
        <w:rPr>
          <w:bCs/>
          <w:b/>
        </w:rPr>
        <w:t xml:space="preserve">50-200人阶段（企业级推广）</w:t>
      </w:r>
      <w:r>
        <w:t xml:space="preserve">。部署完整的三层架构：飞书企业版提供SSO/SAML集成与企业级审计日志；Git仓库配合Git LFS处理大文件；对象存储（MinIO/S3）独立托管图片与附件；CI/CD管道集成Markdown lint、链接检查与自动发布。此阶段需要0.5 FTE的平台运维工程师，RAG系统需配置向量数据库（PgVector或Weaviate）与专用推理资源。</w:t>
      </w:r>
    </w:p>
    <w:p>
      <w:pPr>
        <w:pStyle w:val="BodyText"/>
      </w:pPr>
      <w:r>
        <w:rPr>
          <w:bCs/>
          <w:b/>
        </w:rPr>
        <w:t xml:space="preserve">200-1{,}000人阶段（集团化/多区域）</w:t>
      </w:r>
      <w:r>
        <w:t xml:space="preserve">。架构需演进为多实例+中央目录模式：各事业部/区域维护独立的飞书租户与Git仓库，中央目录服务提供跨域搜索与统一权限管理。Confluence在此规模区间已验证可支持150{,}000用户/站点</w:t>
      </w:r>
      <w:r>
        <w:t xml:space="preserve"> </w:t>
      </w:r>
      <w:fldSimple w:instr="NOTEREF _Ref_Footnote_40 \h \f">
        <w:r>
          <w:rPr>
            <w:vertAlign w:val="superscript"/>
          </w:rPr>
          <w:t>40</w:t>
        </w:r>
      </w:fldSimple>
      <w:r>
        <w:t xml:space="preserve">，而Markdown+Git方案需要专业运维团队（2+ FTE）处理仓库拆分、并发冲突与全文搜索性能优化（10K+文档后需引入专用搜索引擎如Elasticsearch）。</w:t>
      </w:r>
    </w:p>
    <w:p>
      <w:pPr>
        <w:pStyle w:val="BodyText"/>
      </w:pPr>
      <w:r>
        <w:t xml:space="preserve">可扩展性的关键瓶颈不在Markdown格式本身，而在Git仓库的二进制文件存储能力与实时协作的并发连接数限制。解决方案包括：Git LFS处理大文件、CDN加速静态站点、数据库读写分离以及向量数据库的水平扩展</w:t>
      </w:r>
      <w:r>
        <w:t xml:space="preserve"> </w:t>
      </w:r>
      <w:r>
        <w:rPr>
          <w:vertAlign w:val="superscript"/>
        </w:rPr>
        <w:footnoteReference w:id="182"/>
      </w:r>
      <w:r>
        <w:t xml:space="preserve">。</w:t>
      </w:r>
    </w:p>
    <w:bookmarkEnd w:id="133"/>
    <w:bookmarkEnd w:id="134"/>
    <w:bookmarkStart w:id="142" w:name="替代方案"/>
    <w:p>
      <w:pPr>
        <w:pStyle w:val="Heading3"/>
      </w:pPr>
      <w:r>
        <w:t xml:space="preserve">7.3 替代方案</w:t>
      </w:r>
    </w:p>
    <w:p>
      <w:pPr>
        <w:pStyle w:val="FirstParagraph"/>
      </w:pPr>
      <w:r>
        <w:t xml:space="preserve">推荐方案（三层混合模型）虽在综合评分中领先，但不同组织的团队构成、技术能力与合规约束可能导致其他方案更为适配。以下给出三条结构化的替代路径。</w:t>
      </w:r>
    </w:p>
    <w:bookmarkStart w:id="135" w:name="方案b纯markdown方案typora-milkdown-git"/>
    <w:p>
      <w:pPr>
        <w:pStyle w:val="Heading4"/>
      </w:pPr>
      <w:r>
        <w:t xml:space="preserve">7.3.1 方案B：纯Markdown方案（Typora + Milkdown + Git）</w:t>
      </w:r>
    </w:p>
    <w:p>
      <w:pPr>
        <w:pStyle w:val="FirstParagraph"/>
      </w:pPr>
      <w:r>
        <w:t xml:space="preserve">纯Markdown方案的核心主张是”以AI友好度为最高优先级”。编辑层采用Typora或Milkdown提供WYSIWYG Markdown体验，存储层使用Git+Markdown作为SSOT，处理层无需转换管道（Markdown即为最终格式）。</w:t>
      </w:r>
    </w:p>
    <w:p>
      <w:pPr>
        <w:pStyle w:val="BodyText"/>
      </w:pPr>
      <w:r>
        <w:t xml:space="preserve">该方案的AI处理友好度达到满分（10分）——Markdown的语义化标题层级天然适配结构感知分块，减少42%的LLM幻觉</w:t>
      </w:r>
      <w:r>
        <w:t xml:space="preserve"> </w:t>
      </w:r>
      <w:fldSimple w:instr="NOTEREF _Ref_Footnote_74 \h \f">
        <w:r>
          <w:rPr>
            <w:vertAlign w:val="superscript"/>
          </w:rPr>
          <w:t>74</w:t>
        </w:r>
      </w:fldSimple>
      <w:r>
        <w:t xml:space="preserve">；纯文本格式消除了转换管道的信息丢失风险；Git版本控制为Agent的CRUD操作提供了完整的审计链。Milkdown基于ProseMirror+Remark的插件化架构实现了100%准确的Markdown双向解析，支持表格、LaTeX公式、Mermaid图表与斜杠命令，框架无关且gzipped后仅约40KB</w:t>
      </w:r>
      <w:r>
        <w:t xml:space="preserve"> </w:t>
      </w:r>
      <w:fldSimple w:instr="NOTEREF _Ref_Footnote_52 \h \f">
        <w:r>
          <w:rPr>
            <w:vertAlign w:val="superscript"/>
          </w:rPr>
          <w:t>52</w:t>
        </w:r>
      </w:fldSimple>
      <w:r>
        <w:t xml:space="preserve">。</w:t>
      </w:r>
    </w:p>
    <w:p>
      <w:pPr>
        <w:pStyle w:val="BodyText"/>
      </w:pPr>
      <w:r>
        <w:t xml:space="preserve">然而，该方案的人类编辑体验评分为4分，显著低于推荐方案的8分。根本限制在于：即使是最先进的WYSIWYG Markdown编辑器（如Milkdown），在图片精确调整尺寸、浮动布局、多维表格等富文本功能上仍不及飞书/Notion原生支持；非技术用户面对Git工作流（commit、push、pull request、merge conflict）的学习曲线陡峭，变革管理阻力较大</w:t>
      </w:r>
      <w:r>
        <w:t xml:space="preserve"> </w:t>
      </w:r>
      <w:r>
        <w:rPr>
          <w:vertAlign w:val="superscript"/>
        </w:rPr>
        <w:footnoteReference w:id="183"/>
      </w:r>
      <w:r>
        <w:t xml:space="preserve">。该方案最适合工程师占比超过70%的技术团队，或已深度实践Docs as Code文化的组织。</w:t>
      </w:r>
    </w:p>
    <w:bookmarkEnd w:id="135"/>
    <w:bookmarkStart w:id="136" w:name="方案c纯富文本方案notion-confluence"/>
    <w:p>
      <w:pPr>
        <w:pStyle w:val="Heading4"/>
      </w:pPr>
      <w:r>
        <w:t xml:space="preserve">7.3.2 方案C：纯富文本方案（Notion / Confluence）</w:t>
      </w:r>
    </w:p>
    <w:p>
      <w:pPr>
        <w:pStyle w:val="FirstParagraph"/>
      </w:pPr>
      <w:r>
        <w:t xml:space="preserve">纯富文本方案的核心主张是”以人类编辑体验为最高优先级”。编辑层采用Notion或Confluence，存储层直接使用平台原生格式，处理层通过API导出+转换管道实现AI可读。</w:t>
      </w:r>
    </w:p>
    <w:p>
      <w:pPr>
        <w:pStyle w:val="BodyText"/>
      </w:pPr>
      <w:r>
        <w:t xml:space="preserve">该方案的人类编辑体验评分最高（9分）。Notion的块编辑器灵活性极高，数据库驱动的SOP管理支持多视图（表格、看板、日历、时间线）</w:t>
      </w:r>
      <w:fldSimple w:instr="NOTEREF _Ref_Footnote_37 \h \f">
        <w:r>
          <w:rPr>
            <w:vertAlign w:val="superscript"/>
          </w:rPr>
          <w:t>37</w:t>
        </w:r>
      </w:fldSimple>
      <w:r>
        <w:t xml:space="preserve">；Confluence通过Comala插件提供唯一支持FDA 21 CFR Part 11合规电子签名的SOP管理方案</w:t>
      </w:r>
      <w:r>
        <w:t xml:space="preserve"> </w:t>
      </w:r>
      <w:fldSimple w:instr="NOTEREF _Ref_Footnote_42 \h \f">
        <w:r>
          <w:rPr>
            <w:vertAlign w:val="superscript"/>
          </w:rPr>
          <w:t>42</w:t>
        </w:r>
      </w:fldSimple>
      <w:r>
        <w:t xml:space="preserve">，在医药、制造等受监管行业具有不可替代性。</w:t>
      </w:r>
    </w:p>
    <w:p>
      <w:pPr>
        <w:pStyle w:val="BodyText"/>
      </w:pPr>
      <w:r>
        <w:t xml:space="preserve">但该方案的AI处理友好度仅为5分。关键瓶颈在于：Notion的API导出存在质量漂移问题——长工作流中输出质量下降，外部源索引可能延迟72小时</w:t>
      </w:r>
      <w:r>
        <w:t xml:space="preserve"> </w:t>
      </w:r>
      <w:r>
        <w:rPr>
          <w:vertAlign w:val="superscript"/>
        </w:rPr>
        <w:footnoteReference w:id="184"/>
      </w:r>
      <w:r>
        <w:t xml:space="preserve">；数据库导出为Markdown时结构丢失，嵌套页面链接可能断裂</w:t>
      </w:r>
      <w:r>
        <w:t xml:space="preserve"> </w:t>
      </w:r>
      <w:r>
        <w:rPr>
          <w:vertAlign w:val="superscript"/>
        </w:rPr>
        <w:footnoteReference w:id="185"/>
      </w:r>
      <w:r>
        <w:t xml:space="preserve">。Confluence的Markdown导出需依赖插件，原生格式对AI的结构化理解不够友好。此外，Notion在5{,}000+记录时数据库性能显著下降，大页面AI响应延迟可达数分钟</w:t>
      </w:r>
      <w:r>
        <w:t xml:space="preserve"> </w:t>
      </w:r>
      <w:fldSimple w:instr="NOTEREF _Ref_Footnote_54 \h \f">
        <w:r>
          <w:rPr>
            <w:vertAlign w:val="superscript"/>
          </w:rPr>
          <w:t>54</w:t>
        </w:r>
      </w:fldSimple>
      <w:r>
        <w:t xml:space="preserve">；Notion不支持私有化部署</w:t>
      </w:r>
      <w:r>
        <w:t xml:space="preserve"> </w:t>
      </w:r>
      <w:fldSimple w:instr="NOTEREF _Ref_Footnote_62 \h \f">
        <w:r>
          <w:rPr>
            <w:vertAlign w:val="superscript"/>
          </w:rPr>
          <w:t>62</w:t>
        </w:r>
      </w:fldSimple>
      <w:r>
        <w:t xml:space="preserve">，对金融、医疗等数据不能出企业的场景构成硬性约束。该方案适合团队规模小于100人、以非技术用户为主、对AI集成需求不迫切的组织。</w:t>
      </w:r>
    </w:p>
    <w:bookmarkEnd w:id="136"/>
    <w:bookmarkStart w:id="137" w:name="方案d文档即代码docs-as-code"/>
    <w:p>
      <w:pPr>
        <w:pStyle w:val="Heading4"/>
      </w:pPr>
      <w:r>
        <w:t xml:space="preserve">7.3.3 方案D：文档即代码（Docs as Code）</w:t>
      </w:r>
    </w:p>
    <w:p>
      <w:pPr>
        <w:pStyle w:val="FirstParagraph"/>
      </w:pPr>
      <w:r>
        <w:t xml:space="preserve">文档即代码（Docs as Code）方案将SOP文档视为软件代码进行管理：使用Markdown或AsciiDoc编写，Git进行版本控制，CI/CD流水线自动化构建和部署，Pull Request进行协作审查</w:t>
      </w:r>
      <w:r>
        <w:t xml:space="preserve"> </w:t>
      </w:r>
      <w:r>
        <w:rPr>
          <w:vertAlign w:val="superscript"/>
        </w:rPr>
        <w:footnoteReference w:id="186"/>
      </w:r>
      <w:r>
        <w:t xml:space="preserve">。</w:t>
      </w:r>
    </w:p>
    <w:p>
      <w:pPr>
        <w:pStyle w:val="BodyText"/>
      </w:pPr>
      <w:r>
        <w:t xml:space="preserve">该方案在安全性（9分）与AI处理友好度（9分）上表现优异。Git的完整审计链（编辑者姓名、时间戳、修改摘要）天然满足合规要求</w:t>
      </w:r>
      <w:r>
        <w:t xml:space="preserve"> </w:t>
      </w:r>
      <w:r>
        <w:rPr>
          <w:vertAlign w:val="superscript"/>
        </w:rPr>
        <w:footnoteReference w:id="187"/>
      </w:r>
      <w:r>
        <w:t xml:space="preserve">；CODEOWNERS机制实现文件级权限控制</w:t>
      </w:r>
      <w:r>
        <w:t xml:space="preserve"> </w:t>
      </w:r>
      <w:r>
        <w:rPr>
          <w:vertAlign w:val="superscript"/>
        </w:rPr>
        <w:footnoteReference w:id="188"/>
      </w:r>
      <w:r>
        <w:t xml:space="preserve">；CI/CD管道集成Vale风格检查、Markdownlint格式校验与链接有效性检查，确保文档质量的持续一致性。对于工程师团队，该方案提供了最熟悉的工作范式——</w:t>
      </w:r>
      <w:r>
        <w:t xml:space="preserve">“</w:t>
      </w:r>
      <w:r>
        <w:t xml:space="preserve">git commit -m</w:t>
      </w:r>
      <w:r>
        <w:t xml:space="preserve"> </w:t>
      </w:r>
      <w:r>
        <w:t xml:space="preserve">‘</w:t>
      </w:r>
      <w:r>
        <w:t xml:space="preserve">feat(sop): add health check step</w:t>
      </w:r>
      <w:r>
        <w:t xml:space="preserve">’</w:t>
      </w:r>
      <w:r>
        <w:t xml:space="preserve">”</w:t>
      </w:r>
      <w:r>
        <w:t xml:space="preserve">与代码提交完全一致</w:t>
      </w:r>
      <w:r>
        <w:t xml:space="preserve"> </w:t>
      </w:r>
      <w:r>
        <w:rPr>
          <w:vertAlign w:val="superscript"/>
        </w:rPr>
        <w:footnoteReference w:id="189"/>
      </w:r>
      <w:r>
        <w:t xml:space="preserve">。</w:t>
      </w:r>
    </w:p>
    <w:p>
      <w:pPr>
        <w:pStyle w:val="BodyText"/>
      </w:pPr>
      <w:r>
        <w:t xml:space="preserve">但该方案的人类编辑体验评分仅为3分——非技术用户面对Git CLI、分支管理、合并冲突解决的门槛极高。Microsoft Docs（docs.microsoft.com）采用此架构管理数百万页文档，但其成功前提是贡献者几乎全部为工程师</w:t>
      </w:r>
      <w:r>
        <w:t xml:space="preserve"> </w:t>
      </w:r>
      <w:r>
        <w:rPr>
          <w:vertAlign w:val="superscript"/>
        </w:rPr>
        <w:footnoteReference w:id="190"/>
      </w:r>
      <w:r>
        <w:t xml:space="preserve">。该方案最适合DevOps文化成熟、团队成员均具备Git操作能力的工程师组织。</w:t>
      </w:r>
    </w:p>
    <w:bookmarkEnd w:id="137"/>
    <w:bookmarkStart w:id="141" w:name="四方案完整对比矩阵"/>
    <w:p>
      <w:pPr>
        <w:pStyle w:val="Heading4"/>
      </w:pPr>
      <w:r>
        <w:t xml:space="preserve">7.3.4 四方案完整对比矩阵</w:t>
      </w:r>
    </w:p>
    <w:tbl>
      <w:tblPr>
        <w:tblStyle w:val="Table"/>
        <w:tblW w:type="pct" w:w="5000"/>
        <w:tblLook w:firstRow="1" w:lastRow="0" w:firstColumn="0" w:lastColumn="0" w:noHBand="0" w:noVBand="0" w:val="0020"/>
      </w:tblPr>
      <w:tblGrid>
        <w:gridCol w:w="858"/>
        <w:gridCol w:w="2003"/>
        <w:gridCol w:w="1717"/>
        <w:gridCol w:w="1526"/>
        <w:gridCol w:w="1813"/>
      </w:tblGrid>
      <w:tr>
        <w:trPr>
          <w:tblHeader w:val="true"/>
        </w:trPr>
        <w:tc>
          <w:tcPr/>
          <w:p>
            <w:pPr>
              <w:pStyle w:val="Compact"/>
              <w:jc w:val="left"/>
            </w:pPr>
            <w:r>
              <w:t xml:space="preserve">评估维度</w:t>
            </w:r>
          </w:p>
        </w:tc>
        <w:tc>
          <w:tcPr/>
          <w:p>
            <w:pPr>
              <w:pStyle w:val="Compact"/>
              <w:jc w:val="left"/>
            </w:pPr>
            <w:r>
              <w:t xml:space="preserve">方案A：混合方案(推荐)</w:t>
            </w:r>
          </w:p>
        </w:tc>
        <w:tc>
          <w:tcPr/>
          <w:p>
            <w:pPr>
              <w:pStyle w:val="Compact"/>
              <w:jc w:val="left"/>
            </w:pPr>
            <w:r>
              <w:t xml:space="preserve">方案B：纯Markdown</w:t>
            </w:r>
          </w:p>
        </w:tc>
        <w:tc>
          <w:tcPr/>
          <w:p>
            <w:pPr>
              <w:pStyle w:val="Compact"/>
              <w:jc w:val="left"/>
            </w:pPr>
            <w:r>
              <w:t xml:space="preserve">方案C：纯富文本</w:t>
            </w:r>
          </w:p>
        </w:tc>
        <w:tc>
          <w:tcPr/>
          <w:p>
            <w:pPr>
              <w:pStyle w:val="Compact"/>
              <w:jc w:val="left"/>
            </w:pPr>
            <w:r>
              <w:t xml:space="preserve">方案D：Docs as Code</w:t>
            </w:r>
          </w:p>
        </w:tc>
      </w:tr>
      <w:tr>
        <w:tc>
          <w:tcPr/>
          <w:p>
            <w:pPr>
              <w:pStyle w:val="Compact"/>
              <w:jc w:val="left"/>
            </w:pPr>
            <w:r>
              <w:rPr>
                <w:bCs/>
                <w:b/>
              </w:rPr>
              <w:t xml:space="preserve">核心架构</w:t>
            </w:r>
          </w:p>
        </w:tc>
        <w:tc>
          <w:tcPr/>
          <w:p>
            <w:pPr>
              <w:pStyle w:val="Compact"/>
              <w:jc w:val="left"/>
            </w:pPr>
            <w:r>
              <w:t xml:space="preserve">飞书编辑 + Git/Markdown SSOT + 转换管道 + 多模态RAG</w:t>
            </w:r>
          </w:p>
        </w:tc>
        <w:tc>
          <w:tcPr/>
          <w:p>
            <w:pPr>
              <w:pStyle w:val="Compact"/>
              <w:jc w:val="left"/>
            </w:pPr>
            <w:r>
              <w:t xml:space="preserve">Typora/Milkdown + Git/Markdown</w:t>
            </w:r>
          </w:p>
        </w:tc>
        <w:tc>
          <w:tcPr/>
          <w:p>
            <w:pPr>
              <w:pStyle w:val="Compact"/>
              <w:jc w:val="left"/>
            </w:pPr>
            <w:r>
              <w:t xml:space="preserve">Notion/Confluence原生格式 + API导出</w:t>
            </w:r>
          </w:p>
        </w:tc>
        <w:tc>
          <w:tcPr/>
          <w:p>
            <w:pPr>
              <w:pStyle w:val="Compact"/>
              <w:jc w:val="left"/>
            </w:pPr>
            <w:r>
              <w:t xml:space="preserve">Git+Markdown + CI/CD + PR Review</w:t>
            </w:r>
          </w:p>
        </w:tc>
      </w:tr>
      <w:tr>
        <w:tc>
          <w:tcPr/>
          <w:p>
            <w:pPr>
              <w:pStyle w:val="Compact"/>
              <w:jc w:val="left"/>
            </w:pPr>
            <w:r>
              <w:rPr>
                <w:bCs/>
                <w:b/>
              </w:rPr>
              <w:t xml:space="preserve">人类编辑体验</w:t>
            </w:r>
          </w:p>
        </w:tc>
        <w:tc>
          <w:tcPr/>
          <w:p>
            <w:pPr>
              <w:pStyle w:val="Compact"/>
              <w:jc w:val="left"/>
            </w:pPr>
            <w:r>
              <w:t xml:space="preserve">8</w:t>
            </w:r>
          </w:p>
        </w:tc>
        <w:tc>
          <w:tcPr/>
          <w:p>
            <w:pPr>
              <w:pStyle w:val="Compact"/>
              <w:jc w:val="left"/>
            </w:pPr>
            <w:r>
              <w:t xml:space="preserve">4</w:t>
            </w:r>
          </w:p>
        </w:tc>
        <w:tc>
          <w:tcPr/>
          <w:p>
            <w:pPr>
              <w:pStyle w:val="Compact"/>
              <w:jc w:val="left"/>
            </w:pPr>
            <w:r>
              <w:t xml:space="preserve">9</w:t>
            </w:r>
          </w:p>
        </w:tc>
        <w:tc>
          <w:tcPr/>
          <w:p>
            <w:pPr>
              <w:pStyle w:val="Compact"/>
              <w:jc w:val="left"/>
            </w:pPr>
            <w:r>
              <w:t xml:space="preserve">3</w:t>
            </w:r>
          </w:p>
        </w:tc>
      </w:tr>
      <w:tr>
        <w:tc>
          <w:tcPr/>
          <w:p>
            <w:pPr>
              <w:pStyle w:val="Compact"/>
              <w:jc w:val="left"/>
            </w:pPr>
            <w:r>
              <w:rPr>
                <w:bCs/>
                <w:b/>
              </w:rPr>
              <w:t xml:space="preserve">AI处理友好度</w:t>
            </w:r>
          </w:p>
        </w:tc>
        <w:tc>
          <w:tcPr/>
          <w:p>
            <w:pPr>
              <w:pStyle w:val="Compact"/>
              <w:jc w:val="left"/>
            </w:pPr>
            <w:r>
              <w:t xml:space="preserve">9</w:t>
            </w:r>
          </w:p>
        </w:tc>
        <w:tc>
          <w:tcPr/>
          <w:p>
            <w:pPr>
              <w:pStyle w:val="Compact"/>
              <w:jc w:val="left"/>
            </w:pPr>
            <w:r>
              <w:t xml:space="preserve">10</w:t>
            </w:r>
          </w:p>
        </w:tc>
        <w:tc>
          <w:tcPr/>
          <w:p>
            <w:pPr>
              <w:pStyle w:val="Compact"/>
              <w:jc w:val="left"/>
            </w:pPr>
            <w:r>
              <w:t xml:space="preserve">5</w:t>
            </w:r>
          </w:p>
        </w:tc>
        <w:tc>
          <w:tcPr/>
          <w:p>
            <w:pPr>
              <w:pStyle w:val="Compact"/>
              <w:jc w:val="left"/>
            </w:pPr>
            <w:r>
              <w:t xml:space="preserve">9</w:t>
            </w:r>
          </w:p>
        </w:tc>
      </w:tr>
      <w:tr>
        <w:tc>
          <w:tcPr/>
          <w:p>
            <w:pPr>
              <w:pStyle w:val="Compact"/>
              <w:jc w:val="left"/>
            </w:pPr>
            <w:r>
              <w:rPr>
                <w:bCs/>
                <w:b/>
              </w:rPr>
              <w:t xml:space="preserve">成本控制</w:t>
            </w:r>
          </w:p>
        </w:tc>
        <w:tc>
          <w:tcPr/>
          <w:p>
            <w:pPr>
              <w:pStyle w:val="Compact"/>
              <w:jc w:val="left"/>
            </w:pPr>
            <w:r>
              <w:t xml:space="preserve">7</w:t>
            </w:r>
          </w:p>
        </w:tc>
        <w:tc>
          <w:tcPr/>
          <w:p>
            <w:pPr>
              <w:pStyle w:val="Compact"/>
              <w:jc w:val="left"/>
            </w:pPr>
            <w:r>
              <w:t xml:space="preserve">8</w:t>
            </w:r>
          </w:p>
        </w:tc>
        <w:tc>
          <w:tcPr/>
          <w:p>
            <w:pPr>
              <w:pStyle w:val="Compact"/>
              <w:jc w:val="left"/>
            </w:pPr>
            <w:r>
              <w:t xml:space="preserve">5</w:t>
            </w:r>
          </w:p>
        </w:tc>
        <w:tc>
          <w:tcPr/>
          <w:p>
            <w:pPr>
              <w:pStyle w:val="Compact"/>
              <w:jc w:val="left"/>
            </w:pPr>
            <w:r>
              <w:t xml:space="preserve">8</w:t>
            </w:r>
          </w:p>
        </w:tc>
      </w:tr>
      <w:tr>
        <w:tc>
          <w:tcPr/>
          <w:p>
            <w:pPr>
              <w:pStyle w:val="Compact"/>
              <w:jc w:val="left"/>
            </w:pPr>
            <w:r>
              <w:rPr>
                <w:bCs/>
                <w:b/>
              </w:rPr>
              <w:t xml:space="preserve">可扩展性</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7</w:t>
            </w:r>
          </w:p>
        </w:tc>
      </w:tr>
      <w:tr>
        <w:tc>
          <w:tcPr/>
          <w:p>
            <w:pPr>
              <w:pStyle w:val="Compact"/>
              <w:jc w:val="left"/>
            </w:pPr>
            <w:r>
              <w:rPr>
                <w:bCs/>
                <w:b/>
              </w:rPr>
              <w:t xml:space="preserve">安全合规</w:t>
            </w:r>
          </w:p>
        </w:tc>
        <w:tc>
          <w:tcPr/>
          <w:p>
            <w:pPr>
              <w:pStyle w:val="Compact"/>
              <w:jc w:val="left"/>
            </w:pPr>
            <w:r>
              <w:t xml:space="preserve">8</w:t>
            </w:r>
          </w:p>
        </w:tc>
        <w:tc>
          <w:tcPr/>
          <w:p>
            <w:pPr>
              <w:pStyle w:val="Compact"/>
              <w:jc w:val="left"/>
            </w:pPr>
            <w:r>
              <w:t xml:space="preserve">8</w:t>
            </w:r>
          </w:p>
        </w:tc>
        <w:tc>
          <w:tcPr/>
          <w:p>
            <w:pPr>
              <w:pStyle w:val="Compact"/>
              <w:jc w:val="left"/>
            </w:pPr>
            <w:r>
              <w:t xml:space="preserve">5</w:t>
            </w:r>
          </w:p>
        </w:tc>
        <w:tc>
          <w:tcPr/>
          <w:p>
            <w:pPr>
              <w:pStyle w:val="Compact"/>
              <w:jc w:val="left"/>
            </w:pPr>
            <w:r>
              <w:t xml:space="preserve">9</w:t>
            </w:r>
          </w:p>
        </w:tc>
      </w:tr>
      <w:tr>
        <w:tc>
          <w:tcPr/>
          <w:p>
            <w:pPr>
              <w:pStyle w:val="Compact"/>
              <w:jc w:val="left"/>
            </w:pPr>
            <w:r>
              <w:rPr>
                <w:bCs/>
                <w:b/>
              </w:rPr>
              <w:t xml:space="preserve">维护便捷性</w:t>
            </w:r>
          </w:p>
        </w:tc>
        <w:tc>
          <w:tcPr/>
          <w:p>
            <w:pPr>
              <w:pStyle w:val="Compact"/>
              <w:jc w:val="left"/>
            </w:pPr>
            <w:r>
              <w:t xml:space="preserve">8</w:t>
            </w:r>
          </w:p>
        </w:tc>
        <w:tc>
          <w:tcPr/>
          <w:p>
            <w:pPr>
              <w:pStyle w:val="Compact"/>
              <w:jc w:val="left"/>
            </w:pPr>
            <w:r>
              <w:t xml:space="preserve">6</w:t>
            </w:r>
          </w:p>
        </w:tc>
        <w:tc>
          <w:tcPr/>
          <w:p>
            <w:pPr>
              <w:pStyle w:val="Compact"/>
              <w:jc w:val="left"/>
            </w:pPr>
            <w:r>
              <w:t xml:space="preserve">7</w:t>
            </w:r>
          </w:p>
        </w:tc>
        <w:tc>
          <w:tcPr/>
          <w:p>
            <w:pPr>
              <w:pStyle w:val="Compact"/>
              <w:jc w:val="left"/>
            </w:pPr>
            <w:r>
              <w:t xml:space="preserve">5</w:t>
            </w:r>
          </w:p>
        </w:tc>
      </w:tr>
      <w:tr>
        <w:tc>
          <w:tcPr/>
          <w:p>
            <w:pPr>
              <w:pStyle w:val="Compact"/>
              <w:jc w:val="left"/>
            </w:pPr>
            <w:r>
              <w:rPr>
                <w:bCs/>
                <w:b/>
              </w:rPr>
              <w:t xml:space="preserve">迁移容易度</w:t>
            </w:r>
          </w:p>
        </w:tc>
        <w:tc>
          <w:tcPr/>
          <w:p>
            <w:pPr>
              <w:pStyle w:val="Compact"/>
              <w:jc w:val="left"/>
            </w:pPr>
            <w:r>
              <w:t xml:space="preserve">8</w:t>
            </w:r>
          </w:p>
        </w:tc>
        <w:tc>
          <w:tcPr/>
          <w:p>
            <w:pPr>
              <w:pStyle w:val="Compact"/>
              <w:jc w:val="left"/>
            </w:pPr>
            <w:r>
              <w:t xml:space="preserve">4</w:t>
            </w:r>
          </w:p>
        </w:tc>
        <w:tc>
          <w:tcPr/>
          <w:p>
            <w:pPr>
              <w:pStyle w:val="Compact"/>
              <w:jc w:val="left"/>
            </w:pPr>
            <w:r>
              <w:t xml:space="preserve">7</w:t>
            </w:r>
          </w:p>
        </w:tc>
        <w:tc>
          <w:tcPr/>
          <w:p>
            <w:pPr>
              <w:pStyle w:val="Compact"/>
              <w:jc w:val="left"/>
            </w:pPr>
            <w:r>
              <w:t xml:space="preserve">3</w:t>
            </w:r>
          </w:p>
        </w:tc>
      </w:tr>
      <w:tr>
        <w:tc>
          <w:tcPr/>
          <w:p>
            <w:pPr>
              <w:pStyle w:val="Compact"/>
              <w:jc w:val="left"/>
            </w:pPr>
            <w:r>
              <w:rPr>
                <w:bCs/>
                <w:b/>
              </w:rPr>
              <w:t xml:space="preserve">未来适配性</w:t>
            </w:r>
          </w:p>
        </w:tc>
        <w:tc>
          <w:tcPr/>
          <w:p>
            <w:pPr>
              <w:pStyle w:val="Compact"/>
              <w:jc w:val="left"/>
            </w:pPr>
            <w:r>
              <w:t xml:space="preserve">9</w:t>
            </w:r>
          </w:p>
        </w:tc>
        <w:tc>
          <w:tcPr/>
          <w:p>
            <w:pPr>
              <w:pStyle w:val="Compact"/>
              <w:jc w:val="left"/>
            </w:pPr>
            <w:r>
              <w:t xml:space="preserve">8</w:t>
            </w:r>
          </w:p>
        </w:tc>
        <w:tc>
          <w:tcPr/>
          <w:p>
            <w:pPr>
              <w:pStyle w:val="Compact"/>
              <w:jc w:val="left"/>
            </w:pPr>
            <w:r>
              <w:t xml:space="preserve">5</w:t>
            </w:r>
          </w:p>
        </w:tc>
        <w:tc>
          <w:tcPr/>
          <w:p>
            <w:pPr>
              <w:pStyle w:val="Compact"/>
              <w:jc w:val="left"/>
            </w:pPr>
            <w:r>
              <w:t xml:space="preserve">7</w:t>
            </w:r>
          </w:p>
        </w:tc>
      </w:tr>
      <w:tr>
        <w:tc>
          <w:tcPr/>
          <w:p>
            <w:pPr>
              <w:pStyle w:val="Compact"/>
              <w:jc w:val="left"/>
            </w:pPr>
            <w:r>
              <w:rPr>
                <w:bCs/>
                <w:b/>
              </w:rPr>
              <w:t xml:space="preserve">5年TCO(100人)</w:t>
            </w:r>
          </w:p>
        </w:tc>
        <w:tc>
          <w:tcPr/>
          <w:p>
            <w:pPr>
              <w:pStyle w:val="Compact"/>
              <w:jc w:val="left"/>
            </w:pPr>
            <w:r>
              <w:t xml:space="preserve">~$370K</w:t>
            </w:r>
          </w:p>
        </w:tc>
        <w:tc>
          <w:tcPr/>
          <w:p>
            <w:pPr>
              <w:pStyle w:val="Compact"/>
              <w:jc w:val="left"/>
            </w:pPr>
            <w:r>
              <w:t xml:space="preserve">~$300K</w:t>
            </w:r>
          </w:p>
        </w:tc>
        <w:tc>
          <w:tcPr/>
          <w:p>
            <w:pPr>
              <w:pStyle w:val="Compact"/>
              <w:jc w:val="left"/>
            </w:pPr>
            <w:r>
              <w:t xml:space="preserve">~$460-685K</w:t>
            </w:r>
          </w:p>
        </w:tc>
        <w:tc>
          <w:tcPr/>
          <w:p>
            <w:pPr>
              <w:pStyle w:val="Compact"/>
              <w:jc w:val="left"/>
            </w:pPr>
            <w:r>
              <w:t xml:space="preserve">~$320K</w:t>
            </w:r>
          </w:p>
        </w:tc>
      </w:tr>
      <w:tr>
        <w:tc>
          <w:tcPr/>
          <w:p>
            <w:pPr>
              <w:pStyle w:val="Compact"/>
              <w:jc w:val="left"/>
            </w:pPr>
            <w:r>
              <w:rPr>
                <w:bCs/>
                <w:b/>
              </w:rPr>
              <w:t xml:space="preserve">综合加权得分</w:t>
            </w:r>
          </w:p>
        </w:tc>
        <w:tc>
          <w:tcPr/>
          <w:p>
            <w:pPr>
              <w:pStyle w:val="Compact"/>
              <w:jc w:val="left"/>
            </w:pPr>
            <w:r>
              <w:rPr>
                <w:bCs/>
                <w:b/>
              </w:rPr>
              <w:t xml:space="preserve">8.4</w:t>
            </w:r>
          </w:p>
        </w:tc>
        <w:tc>
          <w:tcPr/>
          <w:p>
            <w:pPr>
              <w:pStyle w:val="Compact"/>
              <w:jc w:val="left"/>
            </w:pPr>
            <w:r>
              <w:rPr>
                <w:bCs/>
                <w:b/>
              </w:rPr>
              <w:t xml:space="preserve">6.6</w:t>
            </w:r>
          </w:p>
        </w:tc>
        <w:tc>
          <w:tcPr/>
          <w:p>
            <w:pPr>
              <w:pStyle w:val="Compact"/>
              <w:jc w:val="left"/>
            </w:pPr>
            <w:r>
              <w:rPr>
                <w:bCs/>
                <w:b/>
              </w:rPr>
              <w:t xml:space="preserve">5.9</w:t>
            </w:r>
          </w:p>
        </w:tc>
        <w:tc>
          <w:tcPr/>
          <w:p>
            <w:pPr>
              <w:pStyle w:val="Compact"/>
              <w:jc w:val="left"/>
            </w:pPr>
            <w:r>
              <w:rPr>
                <w:bCs/>
                <w:b/>
              </w:rPr>
              <w:t xml:space="preserve">6.4</w:t>
            </w:r>
          </w:p>
        </w:tc>
      </w:tr>
      <w:tr>
        <w:tc>
          <w:tcPr/>
          <w:p>
            <w:pPr>
              <w:pStyle w:val="Compact"/>
              <w:jc w:val="left"/>
            </w:pPr>
            <w:r>
              <w:rPr>
                <w:bCs/>
                <w:b/>
              </w:rPr>
              <w:t xml:space="preserve">最适合组织</w:t>
            </w:r>
          </w:p>
        </w:tc>
        <w:tc>
          <w:tcPr/>
          <w:p>
            <w:pPr>
              <w:pStyle w:val="Compact"/>
              <w:jc w:val="left"/>
            </w:pPr>
            <w:r>
              <w:t xml:space="preserve">人技混合团队、中大型企业</w:t>
            </w:r>
          </w:p>
        </w:tc>
        <w:tc>
          <w:tcPr/>
          <w:p>
            <w:pPr>
              <w:pStyle w:val="Compact"/>
              <w:jc w:val="left"/>
            </w:pPr>
            <w:r>
              <w:t xml:space="preserve">工程师主导团队</w:t>
            </w:r>
          </w:p>
        </w:tc>
        <w:tc>
          <w:tcPr/>
          <w:p>
            <w:pPr>
              <w:pStyle w:val="Compact"/>
              <w:jc w:val="left"/>
            </w:pPr>
            <w:r>
              <w:t xml:space="preserve">小型非技术团队、合规敏感行业</w:t>
            </w:r>
          </w:p>
        </w:tc>
        <w:tc>
          <w:tcPr/>
          <w:p>
            <w:pPr>
              <w:pStyle w:val="Compact"/>
              <w:jc w:val="left"/>
            </w:pPr>
            <w:r>
              <w:t xml:space="preserve">DevOps成熟企业</w:t>
            </w:r>
          </w:p>
        </w:tc>
      </w:tr>
      <w:tr>
        <w:tc>
          <w:tcPr/>
          <w:p>
            <w:pPr>
              <w:pStyle w:val="Compact"/>
              <w:jc w:val="left"/>
            </w:pPr>
            <w:r>
              <w:rPr>
                <w:bCs/>
                <w:b/>
              </w:rPr>
              <w:t xml:space="preserve">关键前提条件</w:t>
            </w:r>
          </w:p>
        </w:tc>
        <w:tc>
          <w:tcPr/>
          <w:p>
            <w:pPr>
              <w:pStyle w:val="Compact"/>
              <w:jc w:val="left"/>
            </w:pPr>
            <w:r>
              <w:t xml:space="preserve">飞书已部署或有采购计划</w:t>
            </w:r>
          </w:p>
        </w:tc>
        <w:tc>
          <w:tcPr/>
          <w:p>
            <w:pPr>
              <w:pStyle w:val="Compact"/>
              <w:jc w:val="left"/>
            </w:pPr>
            <w:r>
              <w:t xml:space="preserve">团队接受Markdown编辑</w:t>
            </w:r>
          </w:p>
        </w:tc>
        <w:tc>
          <w:tcPr/>
          <w:p>
            <w:pPr>
              <w:pStyle w:val="Compact"/>
              <w:jc w:val="left"/>
            </w:pPr>
            <w:r>
              <w:t xml:space="preserve">接受转换管道的信息损耗</w:t>
            </w:r>
          </w:p>
        </w:tc>
        <w:tc>
          <w:tcPr/>
          <w:p>
            <w:pPr>
              <w:pStyle w:val="Compact"/>
              <w:jc w:val="left"/>
            </w:pPr>
            <w:r>
              <w:t xml:space="preserve">全员具备Git能力</w:t>
            </w:r>
          </w:p>
        </w:tc>
      </w:tr>
      <w:tr>
        <w:tc>
          <w:tcPr/>
          <w:p>
            <w:pPr>
              <w:pStyle w:val="Compact"/>
              <w:jc w:val="left"/>
            </w:pPr>
            <w:r>
              <w:rPr>
                <w:bCs/>
                <w:b/>
              </w:rPr>
              <w:t xml:space="preserve">最大风险</w:t>
            </w:r>
          </w:p>
        </w:tc>
        <w:tc>
          <w:tcPr/>
          <w:p>
            <w:pPr>
              <w:pStyle w:val="Compact"/>
              <w:jc w:val="left"/>
            </w:pPr>
            <w:r>
              <w:t xml:space="preserve">飞书vendor lock-in（已因MD导出缓解）</w:t>
            </w:r>
          </w:p>
        </w:tc>
        <w:tc>
          <w:tcPr/>
          <w:p>
            <w:pPr>
              <w:pStyle w:val="Compact"/>
              <w:jc w:val="left"/>
            </w:pPr>
            <w:r>
              <w:t xml:space="preserve">非技术用户采纳阻力</w:t>
            </w:r>
          </w:p>
        </w:tc>
        <w:tc>
          <w:tcPr/>
          <w:p>
            <w:pPr>
              <w:pStyle w:val="Compact"/>
              <w:jc w:val="left"/>
            </w:pPr>
            <w:r>
              <w:t xml:space="preserve">AI效果受导出质量制约</w:t>
            </w:r>
          </w:p>
        </w:tc>
        <w:tc>
          <w:tcPr/>
          <w:p>
            <w:pPr>
              <w:pStyle w:val="Compact"/>
              <w:jc w:val="left"/>
            </w:pPr>
            <w:r>
              <w:t xml:space="preserve">非技术用户完全无法参与</w:t>
            </w:r>
          </w:p>
        </w:tc>
      </w:tr>
    </w:tbl>
    <w:p>
      <w:pPr>
        <w:pStyle w:val="BodyText"/>
      </w:pPr>
      <w:r>
        <w:rPr>
          <w:iCs/>
          <w:i/>
        </w:rPr>
        <w:t xml:space="preserve">评分维度说明：人类编辑体验（WYSIWYG完整性、协作功能、学习曲线）；AI处理友好度（格式结构化、分块清晰度、元数据丰富度）；成本控制（5年TCO）；可扩展性（10→1{,}000人演进能力）；安全合规（数据主权、审计追踪、认证完备度）；维护便捷性（运维人力需求、自动化程度）；迁移容易度（从现有系统迁移的工作量）；未来适配性（技术演进韧性、架构灵活性）。综合加权得分采用权重w=[0.20, 0.20, 0.10, 0.10, 0.10, 0.10, 0.10, 0.10]计算。</w:t>
      </w:r>
    </w:p>
    <w:p>
      <w:pPr>
        <w:pStyle w:val="CaptionedFigure"/>
      </w:pPr>
      <w:r>
        <w:drawing>
          <wp:inline>
            <wp:extent cx="5334000" cy="2880402"/>
            <wp:effectExtent b="0" l="0" r="0" t="0"/>
            <wp:docPr descr="四方案完整对比矩阵" title="" id="139" name="Picture"/>
            <a:graphic>
              <a:graphicData uri="http://schemas.openxmlformats.org/drawingml/2006/picture">
                <pic:pic>
                  <pic:nvPicPr>
                    <pic:cNvPr descr="fig7_4_four_scheme_matrix.png" id="140" name="Picture"/>
                    <pic:cNvPicPr>
                      <a:picLocks noChangeArrowheads="1" noChangeAspect="1"/>
                    </pic:cNvPicPr>
                  </pic:nvPicPr>
                  <pic:blipFill>
                    <a:blip r:embed="rId138"/>
                    <a:stretch>
                      <a:fillRect/>
                    </a:stretch>
                  </pic:blipFill>
                  <pic:spPr bwMode="auto">
                    <a:xfrm>
                      <a:off x="0" y="0"/>
                      <a:ext cx="5334000" cy="2880402"/>
                    </a:xfrm>
                    <a:prstGeom prst="rect">
                      <a:avLst/>
                    </a:prstGeom>
                    <a:noFill/>
                    <a:ln w="9525">
                      <a:noFill/>
                      <a:headEnd/>
                      <a:tailEnd/>
                    </a:ln>
                  </pic:spPr>
                </pic:pic>
              </a:graphicData>
            </a:graphic>
          </wp:inline>
        </w:drawing>
      </w:r>
    </w:p>
    <w:p>
      <w:pPr>
        <w:pStyle w:val="ImageCaption"/>
      </w:pPr>
      <w:r>
        <w:t xml:space="preserve">四方案完整对比矩阵</w:t>
      </w:r>
    </w:p>
    <w:p>
      <w:pPr>
        <w:pStyle w:val="BodyText"/>
      </w:pPr>
      <w:r>
        <w:t xml:space="preserve">上表的热力图直观呈现了各方案的优劣势分布。方案A（混合方案）在所有维度上均无短板，呈深蓝色均匀分布，这是其综合得分最高的直接原因。方案B（纯Markdown）在AI处理维度满分但人类编辑维度明显偏浅。方案C（纯富文本）的人类编辑维度深蓝但AI处理维度显著偏浅——这一” polarized”分布模式意味着纯富文本方案在AI集成日益重要的趋势下面临结构性风险。方案D（Docs as Code）在安全合规维度表现突出，但维护便捷性与迁移容易度的浅色条表明其对组织文化的苛刻要求。</w:t>
      </w:r>
    </w:p>
    <w:p>
      <w:pPr>
        <w:pStyle w:val="BodyText"/>
      </w:pPr>
      <w:r>
        <w:t xml:space="preserve">从TCO角度看，方案B（</w:t>
      </w:r>
      <w:r>
        <w:rPr>
          <w:vertAlign w:val="subscript"/>
        </w:rPr>
        <w:t xml:space="preserve">$300K）与方案D（</w:t>
      </w:r>
      <w:r>
        <w:t xml:space="preserve">$320K）的5年成本低于方案A（~$370K），但成本节省主要来自于省略了商业SaaS订阅费。若将非技术用户因学习曲线导致的时间成本量化为财务影响，纯Markdown方案的实际TCO可能被低估。知识管理ROI研究框架显示，文档创建时间减少50%、信息检索时间从23分钟降至3分钟以下的效率提升，可在3年内产生超过400%的ROI</w:t>
      </w:r>
      <w:r>
        <w:t xml:space="preserve"> </w:t>
      </w:r>
      <w:fldSimple w:instr="NOTEREF _Ref_Footnote_31 \h \f">
        <w:r>
          <w:rPr>
            <w:vertAlign w:val="superscript"/>
          </w:rPr>
          <w:t>31</w:t>
        </w:r>
      </w:fldSimple>
      <w:r>
        <w:t xml:space="preserve"> </w:t>
      </w:r>
      <w:fldSimple w:instr="NOTEREF _Ref_Footnote_30 \h \f">
        <w:r>
          <w:rPr>
            <w:vertAlign w:val="superscript"/>
          </w:rPr>
          <w:t>30</w:t>
        </w:r>
      </w:fldSimple>
      <w:r>
        <w:t xml:space="preserve">——在此框架下，混合方案对人类编辑体验的保护实质上是对组织长期生产力的投资。</w:t>
      </w:r>
    </w:p>
    <w:p>
      <w:pPr>
        <w:pStyle w:val="BodyText"/>
      </w:pPr>
      <w:r>
        <w:t xml:space="preserve">决策建议如下：若组织已部署飞书且团队成员中工程师占比低于70%，方案A为最优选择；若组织以工程师为主且已具备成熟的Git工作流文化，方案B或D可在更低TCO下实现同等AI效果；若组织处于严格受监管行业（医药、航空、金融）且合规性优先于AI集成度，Confluence（方案C）的电子签名与审计追踪能力在短期内不可替代，但需为转换管道的维护投入额外预算。无论选择哪种方案，</w:t>
      </w:r>
      <w:r>
        <w:t xml:space="preserve">“</w:t>
      </w:r>
      <w:r>
        <w:t xml:space="preserve">结构规范&gt;格式选择</w:t>
      </w:r>
      <w:r>
        <w:t xml:space="preserve">”</w:t>
      </w:r>
      <w:r>
        <w:t xml:space="preserve">的原则始终适用——清晰的标题层级、独立完整的段落与一致的元数据schema是同时服务人类编辑与AI处理的最小公分母。</w:t>
      </w:r>
    </w:p>
    <w:p>
      <w:r>
        <w:pict>
          <v:rect style="width:0;height:1.5pt" o:hralign="center" o:hrstd="t" o:hr="t"/>
        </w:pict>
      </w:r>
    </w:p>
    <w:bookmarkEnd w:id="141"/>
    <w:bookmarkEnd w:id="142"/>
    <w:bookmarkEnd w:id="143"/>
    <w:bookmarkStart w:id="158" w:name="中国企业特殊考量"/>
    <w:p>
      <w:pPr>
        <w:pStyle w:val="Heading2"/>
      </w:pPr>
      <w:r>
        <w:t xml:space="preserve">8. 中国企业特殊考量</w:t>
      </w:r>
    </w:p>
    <w:p>
      <w:pPr>
        <w:pStyle w:val="FirstParagraph"/>
      </w:pPr>
      <w:r>
        <w:t xml:space="preserve">中国企业在文档方案选型时，面临全球企业共有的技术挑战之外，还需应对信创替代、数据主权合规、中文技术生态适配等独特约束。这些约束并非孤立存在，而是与AI知识库建设需求在同一时间窗口叠加，形成”信创+AI”的双重时间压力</w:t>
      </w:r>
      <w:r>
        <w:t xml:space="preserve"> </w:t>
      </w:r>
      <w:fldSimple w:instr="NOTEREF _Ref_Footnote_25 \h \f">
        <w:r>
          <w:rPr>
            <w:vertAlign w:val="superscript"/>
          </w:rPr>
          <w:t>25</w:t>
        </w:r>
      </w:fldSimple>
      <w:r>
        <w:t xml:space="preserve">。本章从合规政策、技术生态和组织变革三个维度，分析中国企业实施文档构建方案时必须纳入考量的特殊因素。</w:t>
      </w:r>
    </w:p>
    <w:bookmarkStart w:id="147" w:name="信创与数据安全"/>
    <w:p>
      <w:pPr>
        <w:pStyle w:val="Heading3"/>
      </w:pPr>
      <w:r>
        <w:t xml:space="preserve">8.1 信创与数据安全</w:t>
      </w:r>
    </w:p>
    <w:bookmarkStart w:id="144" w:name="年前央企国企核心系统100国产化替代要求"/>
    <w:p>
      <w:pPr>
        <w:pStyle w:val="Heading4"/>
      </w:pPr>
      <w:r>
        <w:t xml:space="preserve">8.1.1 2027年前央企国企核心系统100%国产化替代要求</w:t>
      </w:r>
    </w:p>
    <w:p>
      <w:pPr>
        <w:pStyle w:val="FirstParagraph"/>
      </w:pPr>
      <w:r>
        <w:t xml:space="preserve">国资委79号文明确要求，2027年前央企国企核心系统需实现100%信创（信息技术应用创新产业）替代</w:t>
      </w:r>
      <w:r>
        <w:t xml:space="preserve"> </w:t>
      </w:r>
      <w:fldSimple w:instr="NOTEREF _Ref_Footnote_25 \h \f">
        <w:r>
          <w:rPr>
            <w:vertAlign w:val="superscript"/>
          </w:rPr>
          <w:t>25</w:t>
        </w:r>
      </w:fldSimple>
      <w:r>
        <w:t xml:space="preserve">。这一政策时间表构成了中国企业文档方案选型的刚性约束。然而，信创替代的实际推进并非均衡：OLTP交易类系统国产化成功率达76%，而文档类场景的成功率不足41%</w:t>
      </w:r>
      <w:r>
        <w:t xml:space="preserve"> </w:t>
      </w:r>
      <w:fldSimple w:instr="NOTEREF _Ref_Footnote_25 \h \f">
        <w:r>
          <w:rPr>
            <w:vertAlign w:val="superscript"/>
          </w:rPr>
          <w:t>25</w:t>
        </w:r>
      </w:fldSimple>
      <w:r>
        <w:t xml:space="preserve">。这一差距反映出文档处理场景在技术复杂度上的特殊挑战——文档格式多样性、版式分析不确定性、中英文混排处理等，均对国产替代方案提出了更高要求。</w:t>
      </w:r>
    </w:p>
    <w:p>
      <w:pPr>
        <w:pStyle w:val="BodyText"/>
      </w:pPr>
      <w:r>
        <w:t xml:space="preserve">对文档方案而言，信创要求意味着：文档管理系统需通过信创认证，向量数据库需支持国产CPU架构（鲲鹏、飞腾、海光、龙芯），OCR和NLP模型需适配国产算力（昇腾、寒武纪等），且需支持国密SM系列加密算法</w:t>
      </w:r>
      <w:r>
        <w:t xml:space="preserve"> </w:t>
      </w:r>
      <w:r>
        <w:rPr>
          <w:vertAlign w:val="superscript"/>
        </w:rPr>
        <w:footnoteReference w:id="191"/>
      </w:r>
      <w:r>
        <w:t xml:space="preserve">。以MongoDB为例，其在国产ARM架构上的性能损耗高达30%</w:t>
      </w:r>
      <w:r>
        <w:t xml:space="preserve"> </w:t>
      </w:r>
      <w:fldSimple w:instr="NOTEREF _Ref_Footnote_25 \h \f">
        <w:r>
          <w:rPr>
            <w:vertAlign w:val="superscript"/>
          </w:rPr>
          <w:t>25</w:t>
        </w:r>
      </w:fldSimple>
      <w:r>
        <w:t xml:space="preserve">，这一数据提示企业在评估国产替代方案时，不能仅关注功能对标，还需进行充分的性能基准测试。</w:t>
      </w:r>
    </w:p>
    <w:bookmarkEnd w:id="144"/>
    <w:bookmarkStart w:id="145" w:name="数据安全法规数据不出企业隐私保护供应链安全"/>
    <w:p>
      <w:pPr>
        <w:pStyle w:val="Heading4"/>
      </w:pPr>
      <w:r>
        <w:t xml:space="preserve">8.1.2 数据安全法规：数据不出企业、隐私保护、供应链安全</w:t>
      </w:r>
    </w:p>
    <w:p>
      <w:pPr>
        <w:pStyle w:val="FirstParagraph"/>
      </w:pPr>
      <w:r>
        <w:t xml:space="preserve">《数据安全法》（2021年9月）与《个人信息保护法》（2021年11月）构成了中国数据安全治理的双支柱</w:t>
      </w:r>
      <w:r>
        <w:t xml:space="preserve"> </w:t>
      </w:r>
      <w:r>
        <w:rPr>
          <w:vertAlign w:val="superscript"/>
        </w:rPr>
        <w:footnoteReference w:id="192"/>
      </w:r>
      <w:r>
        <w:t xml:space="preserve">。对文档方案的直接约束包括三个层面：其一，关键信息基础设施运营者（Critical Information Infrastructure Operator, CIIO）向境外传输数据需通过安全评估，向境外司法或执法机构提供数据需主管机关批准</w:t>
      </w:r>
      <w:r>
        <w:t xml:space="preserve"> </w:t>
      </w:r>
      <w:r>
        <w:rPr>
          <w:vertAlign w:val="superscript"/>
        </w:rPr>
        <w:footnoteReference w:id="193"/>
      </w:r>
      <w:r>
        <w:t xml:space="preserve">；其二，个人信息保护影响评估报告需保存至少三年；其三，企业需采取有效的技术和管理措施确保文档数据安全。</w:t>
      </w:r>
    </w:p>
    <w:p>
      <w:pPr>
        <w:pStyle w:val="BodyText"/>
      </w:pPr>
      <w:r>
        <w:t xml:space="preserve">“</w:t>
      </w:r>
      <w:r>
        <w:t xml:space="preserve">数据不出企业</w:t>
      </w:r>
      <w:r>
        <w:t xml:space="preserve">”</w:t>
      </w:r>
      <w:r>
        <w:t xml:space="preserve">已成为大型企业选择文档方案和RAG基础设施的默认原则。这一要求直接排除了依赖境外云服务的SaaS方案（如Notion、Confluence Cloud），推动企业选择国内平台（飞书、钉钉）或私有化部署方案。在RAG基础设施层面，阿里云百炼、火山引擎、百度千帆等国产方案均提供私有化部署选项，以满足数据主权要求</w:t>
      </w:r>
      <w:r>
        <w:t xml:space="preserve"> </w:t>
      </w:r>
      <w:r>
        <w:rPr>
          <w:vertAlign w:val="superscript"/>
        </w:rPr>
        <w:footnoteReference w:id="194"/>
      </w:r>
      <w:r>
        <w:t xml:space="preserve"> </w:t>
      </w:r>
      <w:r>
        <w:rPr>
          <w:vertAlign w:val="superscript"/>
        </w:rPr>
        <w:footnoteReference w:id="195"/>
      </w:r>
      <w:r>
        <w:t xml:space="preserve">。供应链安全则进一步要求文档解析工具、Embedding模型、大语言模型等全链路组件的可控性——MinerU等国产开源工具因此获得显著优势，其已适配10余种国产算力平台</w:t>
      </w:r>
      <w:r>
        <w:t xml:space="preserve"> </w:t>
      </w:r>
      <w:fldSimple w:instr="NOTEREF _Ref_Footnote_123 \h \f">
        <w:r>
          <w:rPr>
            <w:vertAlign w:val="superscript"/>
          </w:rPr>
          <w:t>123</w:t>
        </w:r>
      </w:fldSimple>
      <w:r>
        <w:t xml:space="preserve">。</w:t>
      </w:r>
    </w:p>
    <w:bookmarkEnd w:id="145"/>
    <w:bookmarkStart w:id="146" w:name="国产化适配飞书钉钉与notionconfluence的合规性差异"/>
    <w:p>
      <w:pPr>
        <w:pStyle w:val="Heading4"/>
      </w:pPr>
      <w:r>
        <w:t xml:space="preserve">8.1.3 国产化适配：飞书/钉钉与Notion/Confluence的合规性差异</w:t>
      </w:r>
    </w:p>
    <w:p>
      <w:pPr>
        <w:pStyle w:val="FirstParagraph"/>
      </w:pPr>
      <w:r>
        <w:t xml:space="preserve">在协作平台层面，国产替代已不再是”退而求其次”的选择，而是形成了具有竞争力的独立生态。飞书于2026年5月正式原生支持Markdown导出</w:t>
      </w:r>
      <w:r>
        <w:t xml:space="preserve"> </w:t>
      </w:r>
      <w:fldSimple w:instr="NOTEREF _Ref_Footnote_5 \h \f">
        <w:r>
          <w:rPr>
            <w:vertAlign w:val="superscript"/>
          </w:rPr>
          <w:t>5</w:t>
        </w:r>
      </w:fldSimple>
      <w:r>
        <w:t xml:space="preserve">，这一更新消除了”从在线协作到AI处理”的格式连接瓶颈，使其成为同时满足”人类协作+AI处理”双需求的合规选择。钉钉文档支持最多30人同时编辑，与企业通讯录、审批、考勤系统深度集成</w:t>
      </w:r>
      <w:r>
        <w:t xml:space="preserve"> </w:t>
      </w:r>
      <w:r>
        <w:rPr>
          <w:vertAlign w:val="superscript"/>
        </w:rPr>
        <w:footnoteReference w:id="196"/>
      </w:r>
      <w:r>
        <w:t xml:space="preserve">。语雀文档则获得公安部三级等保认证与ISO认证，支持SaaS与私有云双模式部署，并完成部分信创认证（华为鲲鹏）</w:t>
      </w:r>
      <w:r>
        <w:rPr>
          <w:vertAlign w:val="superscript"/>
        </w:rPr>
        <w:footnoteReference w:id="197"/>
      </w:r>
      <w:r>
        <w:t xml:space="preserve">。</w:t>
      </w:r>
    </w:p>
    <w:p>
      <w:pPr>
        <w:pStyle w:val="BodyText"/>
      </w:pPr>
      <w:r>
        <w:t xml:space="preserve">相比之下，Notion和Confluence作为海外SaaS产品，面临数据跨境传输的合规不确定性。即使通过境外数据中心的实例部署，也无法完全消除供应链安全风险。对于央企国企及金融、医疗等受监管行业，这一差异具有决定性意义。值得关注的是，飞书在2025年下半年起上线Bot API增强、工作流AI Agent节点（Beta）及MCP工具集支持</w:t>
      </w:r>
      <w:r>
        <w:t xml:space="preserve"> </w:t>
      </w:r>
      <w:r>
        <w:rPr>
          <w:vertAlign w:val="superscript"/>
        </w:rPr>
        <w:footnoteReference w:id="198"/>
      </w:r>
      <w:r>
        <w:t xml:space="preserve">，生态完整性正在快速追赶国际竞品。</w:t>
      </w:r>
    </w:p>
    <w:bookmarkEnd w:id="146"/>
    <w:bookmarkEnd w:id="147"/>
    <w:bookmarkStart w:id="154" w:name="中文技术生态"/>
    <w:p>
      <w:pPr>
        <w:pStyle w:val="Heading3"/>
      </w:pPr>
      <w:r>
        <w:t xml:space="preserve">8.2 中文技术生态</w:t>
      </w:r>
    </w:p>
    <w:bookmarkStart w:id="148" w:name="X70e05ed9e8e2107725c1bddd6981563cde5b831"/>
    <w:p>
      <w:pPr>
        <w:pStyle w:val="Heading4"/>
      </w:pPr>
      <w:r>
        <w:t xml:space="preserve">8.2.1 中文Embedding模型：BGE-M3、Qwen-Text-Embedding与GTE性能天梯</w:t>
      </w:r>
    </w:p>
    <w:p>
      <w:pPr>
        <w:pStyle w:val="FirstParagraph"/>
      </w:pPr>
      <w:r>
        <w:t xml:space="preserve">中文Embedding模型的选型直接影响RAG系统的检索质量。当前市场形成了以智源研究院BGE系列和阿里巴巴GTE/Qwen系列为主导的格局。在C-MTEB（Chinese Massive Text Embedding Benchmark）综合评测中，BGE-Large-Zh-v1.5以64.23分领先，检索任务单项达67.45分</w:t>
      </w:r>
      <w:r>
        <w:t xml:space="preserve"> </w:t>
      </w:r>
      <w:r>
        <w:rPr>
          <w:vertAlign w:val="superscript"/>
        </w:rPr>
        <w:footnoteReference w:id="199"/>
      </w:r>
      <w:r>
        <w:t xml:space="preserve">。BGE-M3进一步支持稠密+稀疏+多向量混合检索，上下文长度扩展至8K，在处理中英文混合查询时表现尤为突出</w:t>
      </w:r>
      <w:r>
        <w:t xml:space="preserve"> </w:t>
      </w:r>
      <w:fldSimple w:instr="NOTEREF _Ref_Footnote_128 \h \f">
        <w:r>
          <w:rPr>
            <w:vertAlign w:val="superscript"/>
          </w:rPr>
          <w:t>128</w:t>
        </w:r>
      </w:fldSimple>
      <w:r>
        <w:t xml:space="preserve">。</w:t>
      </w:r>
    </w:p>
    <w:p>
      <w:pPr>
        <w:pStyle w:val="BodyText"/>
      </w:pPr>
      <w:r>
        <w:t xml:space="preserve">Qwen3-Embedding系列则以更大的参数规模和更长的上下文窗口（128K）形成差异化竞争。根据Agentset的对比数据，Qwen3 Embedding 4B的ELO Rating（1482）略高于BGE-M3（1480），平均nDCG@10达0.705（vs BGE-M3的0.674），但价格也为后者的两倍（每1M tokens $0.020 vs $0.010）</w:t>
      </w:r>
      <w:r>
        <w:rPr>
          <w:vertAlign w:val="superscript"/>
        </w:rPr>
        <w:footnoteReference w:id="200"/>
      </w:r>
      <w:r>
        <w:t xml:space="preserve">。阿里巴巴GTE-Chinese-Large在金融、法律等垂直领域的中文优化最为深入，是极致精度场景的首选</w:t>
      </w:r>
      <w:r>
        <w:t xml:space="preserve"> </w:t>
      </w:r>
      <w:r>
        <w:rPr>
          <w:vertAlign w:val="superscript"/>
        </w:rPr>
        <w:footnoteReference w:id="201"/>
      </w:r>
      <w:r>
        <w:t xml:space="preserve">。选型时需综合考量精度、延迟、成本和领域适配性——BGE-zh作为”万金油”适用于需求不确定的场景，BGE-M3优于多语言需求，而m3e-base-v2（768维，仅220MB）则适合资源受限的部署环境。</w:t>
      </w:r>
    </w:p>
    <w:bookmarkEnd w:id="148"/>
    <w:bookmarkStart w:id="152" w:name="国内rag产品阿里云百炼火山引擎百度千帆与腾讯云ti"/>
    <w:p>
      <w:pPr>
        <w:pStyle w:val="Heading4"/>
      </w:pPr>
      <w:r>
        <w:t xml:space="preserve">8.2.2 国内RAG产品：阿里云百炼、火山引擎、百度千帆与腾讯云TI</w:t>
      </w:r>
    </w:p>
    <w:p>
      <w:pPr>
        <w:pStyle w:val="FirstParagraph"/>
      </w:pPr>
      <w:r>
        <w:t xml:space="preserve">国内云厂商的RAG/知识库产品已形成完整的企业级解决方案矩阵。以下从六个关键维度对比四大主流产品：</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阿里云百炼</w:t>
            </w:r>
          </w:p>
        </w:tc>
        <w:tc>
          <w:tcPr/>
          <w:p>
            <w:pPr>
              <w:pStyle w:val="Compact"/>
              <w:jc w:val="left"/>
            </w:pPr>
            <w:r>
              <w:t xml:space="preserve">火山引擎方舟</w:t>
            </w:r>
          </w:p>
        </w:tc>
        <w:tc>
          <w:tcPr/>
          <w:p>
            <w:pPr>
              <w:pStyle w:val="Compact"/>
              <w:jc w:val="left"/>
            </w:pPr>
            <w:r>
              <w:t xml:space="preserve">百度千帆</w:t>
            </w:r>
          </w:p>
        </w:tc>
        <w:tc>
          <w:tcPr/>
          <w:p>
            <w:pPr>
              <w:pStyle w:val="Compact"/>
              <w:jc w:val="left"/>
            </w:pPr>
            <w:r>
              <w:t xml:space="preserve">腾讯云TI</w:t>
            </w:r>
          </w:p>
        </w:tc>
      </w:tr>
      <w:tr>
        <w:tc>
          <w:tcPr/>
          <w:p>
            <w:pPr>
              <w:pStyle w:val="Compact"/>
              <w:jc w:val="left"/>
            </w:pPr>
            <w:r>
              <w:t xml:space="preserve">向量检索延迟</w:t>
            </w:r>
          </w:p>
        </w:tc>
        <w:tc>
          <w:tcPr/>
          <w:p>
            <w:pPr>
              <w:pStyle w:val="Compact"/>
              <w:jc w:val="left"/>
            </w:pPr>
            <w:r>
              <w:t xml:space="preserve">低</w:t>
            </w:r>
          </w:p>
        </w:tc>
        <w:tc>
          <w:tcPr/>
          <w:p>
            <w:pPr>
              <w:pStyle w:val="Compact"/>
              <w:jc w:val="left"/>
            </w:pPr>
            <w:r>
              <w:t xml:space="preserve">极低（10 ms级）</w:t>
            </w:r>
            <w:r>
              <w:t xml:space="preserve"> </w:t>
            </w:r>
            <w:fldSimple w:instr="NOTEREF _Ref_Footnote_195 \h \f">
              <w:r>
                <w:rPr>
                  <w:vertAlign w:val="superscript"/>
                </w:rPr>
                <w:t>195</w:t>
              </w:r>
            </w:fldSimple>
          </w:p>
        </w:tc>
        <w:tc>
          <w:tcPr/>
          <w:p>
            <w:pPr>
              <w:pStyle w:val="Compact"/>
              <w:jc w:val="left"/>
            </w:pPr>
            <w:r>
              <w:t xml:space="preserve">中等</w:t>
            </w:r>
          </w:p>
        </w:tc>
        <w:tc>
          <w:tcPr/>
          <w:p>
            <w:pPr>
              <w:pStyle w:val="Compact"/>
              <w:jc w:val="left"/>
            </w:pPr>
            <w:r>
              <w:t xml:space="preserve">中等</w:t>
            </w:r>
          </w:p>
        </w:tc>
      </w:tr>
      <w:tr>
        <w:tc>
          <w:tcPr/>
          <w:p>
            <w:pPr>
              <w:pStyle w:val="Compact"/>
              <w:jc w:val="left"/>
            </w:pPr>
            <w:r>
              <w:t xml:space="preserve">文档解析格式</w:t>
            </w:r>
          </w:p>
        </w:tc>
        <w:tc>
          <w:tcPr/>
          <w:p>
            <w:pPr>
              <w:pStyle w:val="Compact"/>
              <w:jc w:val="left"/>
            </w:pPr>
            <w:r>
              <w:t xml:space="preserve">PDF/Word/TXT/CSV</w:t>
            </w:r>
            <w:r>
              <w:t xml:space="preserve"> </w:t>
            </w:r>
            <w:fldSimple w:instr="NOTEREF _Ref_Footnote_194 \h \f">
              <w:r>
                <w:rPr>
                  <w:vertAlign w:val="superscript"/>
                </w:rPr>
                <w:t>194</w:t>
              </w:r>
            </w:fldSimple>
          </w:p>
        </w:tc>
        <w:tc>
          <w:tcPr/>
          <w:p>
            <w:pPr>
              <w:pStyle w:val="Compact"/>
              <w:jc w:val="left"/>
            </w:pPr>
            <w:r>
              <w:t xml:space="preserve">10+格式，单PDF 200 MB</w:t>
            </w:r>
            <w:r>
              <w:t xml:space="preserve"> </w:t>
            </w:r>
            <w:fldSimple w:instr="NOTEREF _Ref_Footnote_195 \h \f">
              <w:r>
                <w:rPr>
                  <w:vertAlign w:val="superscript"/>
                </w:rPr>
                <w:t>195</w:t>
              </w:r>
            </w:fldSimple>
          </w:p>
        </w:tc>
        <w:tc>
          <w:tcPr/>
          <w:p>
            <w:pPr>
              <w:pStyle w:val="Compact"/>
              <w:jc w:val="left"/>
            </w:pPr>
            <w:r>
              <w:t xml:space="preserve">PDF图表深度解析</w:t>
            </w:r>
            <w:r>
              <w:t xml:space="preserve"> </w:t>
            </w:r>
            <w:r>
              <w:rPr>
                <w:vertAlign w:val="superscript"/>
              </w:rPr>
              <w:footnoteReference w:id="202"/>
            </w:r>
          </w:p>
        </w:tc>
        <w:tc>
          <w:tcPr/>
          <w:p>
            <w:pPr>
              <w:pStyle w:val="Compact"/>
              <w:jc w:val="left"/>
            </w:pPr>
            <w:r>
              <w:t xml:space="preserve">图文音视频</w:t>
            </w:r>
            <w:r>
              <w:t xml:space="preserve"> </w:t>
            </w:r>
            <w:r>
              <w:rPr>
                <w:vertAlign w:val="superscript"/>
              </w:rPr>
              <w:footnoteReference w:id="203"/>
            </w:r>
          </w:p>
        </w:tc>
      </w:tr>
      <w:tr>
        <w:tc>
          <w:tcPr/>
          <w:p>
            <w:pPr>
              <w:pStyle w:val="Compact"/>
              <w:jc w:val="left"/>
            </w:pPr>
            <w:r>
              <w:t xml:space="preserve">Embedding模型</w:t>
            </w:r>
          </w:p>
        </w:tc>
        <w:tc>
          <w:tcPr/>
          <w:p>
            <w:pPr>
              <w:pStyle w:val="Compact"/>
              <w:jc w:val="left"/>
            </w:pPr>
            <w:r>
              <w:t xml:space="preserve">通义向量模型</w:t>
            </w:r>
          </w:p>
        </w:tc>
        <w:tc>
          <w:tcPr/>
          <w:p>
            <w:pPr>
              <w:pStyle w:val="Compact"/>
              <w:jc w:val="left"/>
            </w:pPr>
            <w:r>
              <w:t xml:space="preserve">doubao-embedding</w:t>
            </w:r>
          </w:p>
        </w:tc>
        <w:tc>
          <w:tcPr/>
          <w:p>
            <w:pPr>
              <w:pStyle w:val="Compact"/>
              <w:jc w:val="left"/>
            </w:pPr>
            <w:r>
              <w:t xml:space="preserve">文心Embedding</w:t>
            </w:r>
          </w:p>
        </w:tc>
        <w:tc>
          <w:tcPr/>
          <w:p>
            <w:pPr>
              <w:pStyle w:val="Compact"/>
              <w:jc w:val="left"/>
            </w:pPr>
            <w:r>
              <w:t xml:space="preserve">腾讯自研</w:t>
            </w:r>
          </w:p>
        </w:tc>
      </w:tr>
      <w:tr>
        <w:tc>
          <w:tcPr/>
          <w:p>
            <w:pPr>
              <w:pStyle w:val="Compact"/>
              <w:jc w:val="left"/>
            </w:pPr>
            <w:r>
              <w:t xml:space="preserve">混合检索</w:t>
            </w:r>
          </w:p>
        </w:tc>
        <w:tc>
          <w:tcPr/>
          <w:p>
            <w:pPr>
              <w:pStyle w:val="Compact"/>
              <w:jc w:val="left"/>
            </w:pPr>
            <w:r>
              <w:t xml:space="preserve">关键词+向量</w:t>
            </w:r>
            <w:r>
              <w:t xml:space="preserve"> </w:t>
            </w:r>
            <w:r>
              <w:rPr>
                <w:vertAlign w:val="superscript"/>
              </w:rPr>
              <w:footnoteReference w:id="204"/>
            </w:r>
          </w:p>
        </w:tc>
        <w:tc>
          <w:tcPr/>
          <w:p>
            <w:pPr>
              <w:pStyle w:val="Compact"/>
              <w:jc w:val="left"/>
            </w:pPr>
            <w:r>
              <w:t xml:space="preserve">Dense+Sparse</w:t>
            </w:r>
            <w:r>
              <w:t xml:space="preserve"> </w:t>
            </w:r>
            <w:r>
              <w:rPr>
                <w:vertAlign w:val="superscript"/>
              </w:rPr>
              <w:footnoteReference w:id="205"/>
            </w:r>
          </w:p>
        </w:tc>
        <w:tc>
          <w:tcPr/>
          <w:p>
            <w:pPr>
              <w:pStyle w:val="Compact"/>
              <w:jc w:val="left"/>
            </w:pPr>
            <w:r>
              <w:t xml:space="preserve">多策略增强</w:t>
            </w:r>
            <w:r>
              <w:t xml:space="preserve"> </w:t>
            </w:r>
            <w:r>
              <w:rPr>
                <w:vertAlign w:val="superscript"/>
              </w:rPr>
              <w:footnoteReference w:id="206"/>
            </w:r>
          </w:p>
        </w:tc>
        <w:tc>
          <w:tcPr/>
          <w:p>
            <w:pPr>
              <w:pStyle w:val="Compact"/>
              <w:jc w:val="left"/>
            </w:pPr>
            <w:r>
              <w:t xml:space="preserve">支持</w:t>
            </w:r>
          </w:p>
        </w:tc>
      </w:tr>
      <w:tr>
        <w:tc>
          <w:tcPr/>
          <w:p>
            <w:pPr>
              <w:pStyle w:val="Compact"/>
              <w:jc w:val="left"/>
            </w:pPr>
            <w:r>
              <w:t xml:space="preserve">私有化部署</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支持（功能与SaaS一致）</w:t>
            </w:r>
            <w:fldSimple w:instr="NOTEREF _Ref_Footnote_206 \h \f">
              <w:r>
                <w:rPr>
                  <w:vertAlign w:val="superscript"/>
                </w:rPr>
                <w:t>206</w:t>
              </w:r>
            </w:fldSimple>
          </w:p>
        </w:tc>
        <w:tc>
          <w:tcPr/>
          <w:p>
            <w:pPr>
              <w:pStyle w:val="Compact"/>
              <w:jc w:val="left"/>
            </w:pPr>
            <w:r>
              <w:t xml:space="preserve">支持</w:t>
            </w:r>
          </w:p>
        </w:tc>
      </w:tr>
      <w:tr>
        <w:tc>
          <w:tcPr/>
          <w:p>
            <w:pPr>
              <w:pStyle w:val="Compact"/>
              <w:jc w:val="left"/>
            </w:pPr>
            <w:r>
              <w:t xml:space="preserve">生态集成</w:t>
            </w:r>
          </w:p>
        </w:tc>
        <w:tc>
          <w:tcPr/>
          <w:p>
            <w:pPr>
              <w:pStyle w:val="Compact"/>
              <w:jc w:val="left"/>
            </w:pPr>
            <w:r>
              <w:t xml:space="preserve">阿里云深度集成</w:t>
            </w:r>
          </w:p>
        </w:tc>
        <w:tc>
          <w:tcPr/>
          <w:p>
            <w:pPr>
              <w:pStyle w:val="Compact"/>
              <w:jc w:val="left"/>
            </w:pPr>
            <w:r>
              <w:t xml:space="preserve">头条抖音同款架构</w:t>
            </w:r>
          </w:p>
        </w:tc>
        <w:tc>
          <w:tcPr/>
          <w:p>
            <w:pPr>
              <w:pStyle w:val="Compact"/>
              <w:jc w:val="left"/>
            </w:pPr>
            <w:r>
              <w:t xml:space="preserve">直连企业数据库</w:t>
            </w:r>
          </w:p>
        </w:tc>
        <w:tc>
          <w:tcPr/>
          <w:p>
            <w:pPr>
              <w:pStyle w:val="Compact"/>
              <w:jc w:val="left"/>
            </w:pPr>
            <w:r>
              <w:t xml:space="preserve">企业微信协同</w:t>
            </w:r>
          </w:p>
        </w:tc>
      </w:tr>
      <w:tr>
        <w:tc>
          <w:tcPr/>
          <w:p>
            <w:pPr>
              <w:pStyle w:val="Compact"/>
              <w:jc w:val="left"/>
            </w:pPr>
            <w:r>
              <w:t xml:space="preserve">典型落地案例</w:t>
            </w:r>
          </w:p>
        </w:tc>
        <w:tc>
          <w:tcPr/>
          <w:p>
            <w:pPr>
              <w:pStyle w:val="Compact"/>
              <w:jc w:val="left"/>
            </w:pPr>
            <w:r>
              <w:t xml:space="preserve">企业客服、法规合规</w:t>
            </w:r>
          </w:p>
        </w:tc>
        <w:tc>
          <w:tcPr/>
          <w:p>
            <w:pPr>
              <w:pStyle w:val="Compact"/>
              <w:jc w:val="left"/>
            </w:pPr>
            <w:r>
              <w:t xml:space="preserve">智能客服3000+家</w:t>
            </w:r>
            <w:r>
              <w:t xml:space="preserve"> </w:t>
            </w:r>
            <w:fldSimple w:instr="NOTEREF _Ref_Footnote_195 \h \f">
              <w:r>
                <w:rPr>
                  <w:vertAlign w:val="superscript"/>
                </w:rPr>
                <w:t>195</w:t>
              </w:r>
            </w:fldSimple>
          </w:p>
        </w:tc>
        <w:tc>
          <w:tcPr/>
          <w:p>
            <w:pPr>
              <w:pStyle w:val="Compact"/>
              <w:jc w:val="left"/>
            </w:pPr>
            <w:r>
              <w:t xml:space="preserve">制造业知识库</w:t>
            </w:r>
          </w:p>
        </w:tc>
        <w:tc>
          <w:tcPr/>
          <w:p>
            <w:pPr>
              <w:pStyle w:val="Compact"/>
              <w:jc w:val="left"/>
            </w:pPr>
            <w:r>
              <w:t xml:space="preserve">大参林5万员工、科沃斯人效+10%</w:t>
            </w:r>
            <w:r>
              <w:t xml:space="preserve"> </w:t>
            </w:r>
            <w:fldSimple w:instr="NOTEREF _Ref_Footnote_203 \h \f">
              <w:r>
                <w:rPr>
                  <w:vertAlign w:val="superscript"/>
                </w:rPr>
                <w:t>203</w:t>
              </w:r>
            </w:fldSimple>
          </w:p>
        </w:tc>
      </w:tr>
    </w:tbl>
    <w:p>
      <w:pPr>
        <w:pStyle w:val="BodyText"/>
      </w:pPr>
      <w:r>
        <w:t xml:space="preserve">从对比可以看出，四家厂商各有侧重：阿里云百炼胜在与阿里云生态的深度集成和完整链路能力，适合已部署阿里云基础设施的企业；火山引擎方舟以头条抖音同款的百亿级毫秒级向量检索架构见长</w:t>
      </w:r>
      <w:r>
        <w:t xml:space="preserve"> </w:t>
      </w:r>
      <w:fldSimple w:instr="NOTEREF _Ref_Footnote_195 \h \f">
        <w:r>
          <w:rPr>
            <w:vertAlign w:val="superscript"/>
          </w:rPr>
          <w:t>195</w:t>
        </w:r>
      </w:fldSimple>
      <w:r>
        <w:t xml:space="preserve">，自研doubao-embedding模型配合精排模型在高并发场景下具有性能优势；百度千帆突出企业数据库直连（基于nl2sql）和无限扩容的知识库能力</w:t>
      </w:r>
      <w:r>
        <w:t xml:space="preserve"> </w:t>
      </w:r>
      <w:fldSimple w:instr="NOTEREF _Ref_Footnote_202 \h \f">
        <w:r>
          <w:rPr>
            <w:vertAlign w:val="superscript"/>
          </w:rPr>
          <w:t>202</w:t>
        </w:r>
      </w:fldSimple>
      <w:r>
        <w:t xml:space="preserve">；腾讯云TI则与企业微信生态无缝协同，在大参林医药集团（5万名员工）和科沃斯（全国门店人效提升10%）等案例中展现了规模化落地能力</w:t>
      </w:r>
      <w:r>
        <w:t xml:space="preserve"> </w:t>
      </w:r>
      <w:fldSimple w:instr="NOTEREF _Ref_Footnote_203 \h \f">
        <w:r>
          <w:rPr>
            <w:vertAlign w:val="superscript"/>
          </w:rPr>
          <w:t>203</w:t>
        </w:r>
      </w:fldSimple>
      <w:r>
        <w:t xml:space="preserve">。</w:t>
      </w:r>
    </w:p>
    <w:p>
      <w:pPr>
        <w:pStyle w:val="CaptionedFigure"/>
      </w:pPr>
      <w:r>
        <w:drawing>
          <wp:inline>
            <wp:extent cx="5334000" cy="4278264"/>
            <wp:effectExtent b="0" l="0" r="0" t="0"/>
            <wp:docPr descr="国内主要云厂商RAG产品能力雷达图" title="" id="150" name="Picture"/>
            <a:graphic>
              <a:graphicData uri="http://schemas.openxmlformats.org/drawingml/2006/picture">
                <pic:pic>
                  <pic:nvPicPr>
                    <pic:cNvPr descr="ch8_rag_comparison_radar.png" id="151" name="Picture"/>
                    <pic:cNvPicPr>
                      <a:picLocks noChangeArrowheads="1" noChangeAspect="1"/>
                    </pic:cNvPicPr>
                  </pic:nvPicPr>
                  <pic:blipFill>
                    <a:blip r:embed="rId149"/>
                    <a:stretch>
                      <a:fillRect/>
                    </a:stretch>
                  </pic:blipFill>
                  <pic:spPr bwMode="auto">
                    <a:xfrm>
                      <a:off x="0" y="0"/>
                      <a:ext cx="5334000" cy="4278264"/>
                    </a:xfrm>
                    <a:prstGeom prst="rect">
                      <a:avLst/>
                    </a:prstGeom>
                    <a:noFill/>
                    <a:ln w="9525">
                      <a:noFill/>
                      <a:headEnd/>
                      <a:tailEnd/>
                    </a:ln>
                  </pic:spPr>
                </pic:pic>
              </a:graphicData>
            </a:graphic>
          </wp:inline>
        </w:drawing>
      </w:r>
    </w:p>
    <w:p>
      <w:pPr>
        <w:pStyle w:val="ImageCaption"/>
      </w:pPr>
      <w:r>
        <w:t xml:space="preserve">国内主要云厂商RAG产品能力雷达图</w:t>
      </w:r>
    </w:p>
    <w:p>
      <w:pPr>
        <w:pStyle w:val="BodyText"/>
      </w:pPr>
      <w:r>
        <w:t xml:space="preserve">上图从向量检索性能、文档解析能力、生态集成深度、私有化部署、多模态支持和模型中立性六个维度对四大产品进行量化评估。火山引擎在检索性能上领先，阿里云在生态集成上占优，百度千帆在私有化部署和模型中立性上表现均衡，腾讯云TI则凭借企业微信生态在集成深度上具有独特优势。企业选型时应根据既有基础设施、数据规模和业务场景进行匹配，而非简单追求单一性能指标。</w:t>
      </w:r>
    </w:p>
    <w:bookmarkEnd w:id="152"/>
    <w:bookmarkStart w:id="153" w:name="中文文档解析mineru-2.5-pro以1.2b参数超越gpt-4o"/>
    <w:p>
      <w:pPr>
        <w:pStyle w:val="Heading4"/>
      </w:pPr>
      <w:r>
        <w:t xml:space="preserve">8.2.3 中文文档解析：MinerU 2.5-Pro以1.2B参数超越GPT-4o</w:t>
      </w:r>
    </w:p>
    <w:p>
      <w:pPr>
        <w:pStyle w:val="FirstParagraph"/>
      </w:pPr>
      <w:r>
        <w:t xml:space="preserve">文档解析（将PDF等富文格式转换为结构化文本）是RAG流水线的关键前置环节。上海AI Lab开源的MinerU在这一领域取得了突破性进展：2.5-Pro版本以仅1.2B参数规模，在OmniDocBench v1.6权威基准上取得95.69分，大幅超越GPT-4o和Qwen2.5-VL-72B等数十倍参数规模的模型</w:t>
      </w:r>
      <w:r>
        <w:t xml:space="preserve"> </w:t>
      </w:r>
      <w:fldSimple w:instr="NOTEREF _Ref_Footnote_13 \h \f">
        <w:r>
          <w:rPr>
            <w:vertAlign w:val="superscript"/>
          </w:rPr>
          <w:t>13</w:t>
        </w:r>
      </w:fldSimple>
      <w:r>
        <w:t xml:space="preserve">。其技术路径采用VLM+OCR双引擎，LaTeX公式识别准确率98%，复杂表格识别准确率92%，支持109种语言</w:t>
      </w:r>
      <w:r>
        <w:t xml:space="preserve"> </w:t>
      </w:r>
      <w:fldSimple w:instr="NOTEREF _Ref_Footnote_121 \h \f">
        <w:r>
          <w:rPr>
            <w:vertAlign w:val="superscript"/>
          </w:rPr>
          <w:t>121</w:t>
        </w:r>
      </w:fldSimple>
      <w:r>
        <w:t xml:space="preserve">。</w:t>
      </w:r>
    </w:p>
    <w:p>
      <w:pPr>
        <w:pStyle w:val="BodyText"/>
      </w:pPr>
      <w:r>
        <w:t xml:space="preserve">MinerU的另一关键优势在于国产算力适配。其已完成了对昇腾、寒武纪、燧原、沐曦、摩尔线程、昆仑芯等10余种国产芯片的适配</w:t>
      </w:r>
      <w:r>
        <w:t xml:space="preserve"> </w:t>
      </w:r>
      <w:fldSimple w:instr="NOTEREF _Ref_Footnote_123 \h \f">
        <w:r>
          <w:rPr>
            <w:vertAlign w:val="superscript"/>
          </w:rPr>
          <w:t>123</w:t>
        </w:r>
      </w:fldSimple>
      <w:r>
        <w:t xml:space="preserve">，并通过MCP Server与Cursor、Claude Desktop、Windsurf等主流AI工具集成。在RAG框架层面，RAGFlow已于2025年10月原生支持MinerU作为文档解析方法</w:t>
      </w:r>
      <w:r>
        <w:t xml:space="preserve"> </w:t>
      </w:r>
      <w:r>
        <w:rPr>
          <w:vertAlign w:val="superscript"/>
        </w:rPr>
        <w:footnoteReference w:id="207"/>
      </w:r>
      <w:r>
        <w:t xml:space="preserve">，LangChain和LlamaIndex亦提供即插即用的集成方案。对于中国企业而言，MinerU不仅提供了世界一流的文档解析能力，更在供应链安全和信创适配上提供了不可复制的差异化价值。</w:t>
      </w:r>
    </w:p>
    <w:bookmarkEnd w:id="153"/>
    <w:bookmarkEnd w:id="154"/>
    <w:bookmarkStart w:id="157" w:name="组织变革管理"/>
    <w:p>
      <w:pPr>
        <w:pStyle w:val="Heading3"/>
      </w:pPr>
      <w:r>
        <w:t xml:space="preserve">8.3 组织变革管理</w:t>
      </w:r>
    </w:p>
    <w:bookmarkStart w:id="155" w:name="采纳率差距与驱动策略"/>
    <w:p>
      <w:pPr>
        <w:pStyle w:val="Heading4"/>
      </w:pPr>
      <w:r>
        <w:t xml:space="preserve">8.3.1 采纳率差距与驱动策略</w:t>
      </w:r>
    </w:p>
    <w:p>
      <w:pPr>
        <w:pStyle w:val="FirstParagraph"/>
      </w:pPr>
      <w:r>
        <w:t xml:space="preserve">技术方案的成功不仅取决于技术本身的质量，更取决于组织层面的采纳深度。Gartner 2024年AI采纳报告指出，50%的企业AI项目失败归因于变革管理失效而非技术缺陷，最常见的失败模式包括：员工未接受有效使用AI的培训（35%）、因岗位安全感担忧而主动回避AI（28%）、管理者未在日常工作流中强化AI使用（22%）</w:t>
      </w:r>
      <w:r>
        <w:rPr>
          <w:vertAlign w:val="superscript"/>
        </w:rPr>
        <w:footnoteReference w:id="208"/>
      </w:r>
      <w:r>
        <w:t xml:space="preserve">。这一发现对文档方案的实施具有直接警示意义——即使选用了最优的技术架构，若缺乏配套的变革管理策略，最终效果将大打折扣。</w:t>
      </w:r>
    </w:p>
    <w:p>
      <w:pPr>
        <w:pStyle w:val="BodyText"/>
      </w:pPr>
      <w:r>
        <w:t xml:space="preserve">Prosci基于2000余个变革项目的研究表明，应用结构化变革管理（Structured Change Management）的组织在业务成果上达到未应用者的6倍</w:t>
      </w:r>
      <w:r>
        <w:t xml:space="preserve"> </w:t>
      </w:r>
      <w:fldSimple w:instr="NOTEREF _Ref_Footnote_208 \h \f">
        <w:r>
          <w:rPr>
            <w:vertAlign w:val="superscript"/>
          </w:rPr>
          <w:t>208</w:t>
        </w:r>
      </w:fldSimple>
      <w:r>
        <w:t xml:space="preserve">。在文档方案实施场景中，采纳率的差距表现为：最佳实践组织通过系统性的变革管理可实现85%以上的员工活跃使用率，而典型企业在缺乏变革管理干预的情况下，自然采纳率通常停滞在34%左右，大量投资被闲置。</w:t>
      </w:r>
    </w:p>
    <w:p>
      <w:pPr>
        <w:pStyle w:val="BodyText"/>
      </w:pPr>
      <w:r>
        <w:t xml:space="preserve">缩小这一差距需要五大驱动策略：第一，高管赞助（Executive Sponsorship），由C-level领导持续传达变革必要性并分配资源；第二，分阶段推广（Phased Rollout），从试点部门验证价值再逐步扩展，避免”大爆炸”式部署引发的组织抵触；第三，超级用户网络（Super-User Network），在各业务单元培养早期采纳者作为 peer-level 的支持节点；第四，工作流嵌入（Workflow Integration），将新文档工具与员工日常使用的IM、审批、日历系统深度集成，降低切换成本——飞书在这一维度上具有天然优势；第五，量化激励（Metrics &amp; Incentives），将文档质量和活跃度纳入团队KPI与绩效评估体系。这五项策略需协同推进，单一举措难以突破采纳率瓶颈。</w:t>
      </w:r>
    </w:p>
    <w:bookmarkEnd w:id="155"/>
    <w:bookmarkStart w:id="156" w:name="培训与变革adkar模型与分层实施"/>
    <w:p>
      <w:pPr>
        <w:pStyle w:val="Heading4"/>
      </w:pPr>
      <w:r>
        <w:t xml:space="preserve">8.3.2 培训与变革：ADKAR模型与分层实施</w:t>
      </w:r>
    </w:p>
    <w:p>
      <w:pPr>
        <w:pStyle w:val="FirstParagraph"/>
      </w:pPr>
      <w:r>
        <w:t xml:space="preserve">ADKAR模型是指导个体层面变革 adoption 的系统性框架，由Prosci创始人Jeff Hiatt于1990年代末基于700余家组织的变革研究提出，包含五个递进阶段：Awareness（认知变革必要性）、Desire（产生参与意愿）、Knowledge（掌握新技能知识）、Ability（转化为实际能力）和Reinforcement（强化持续使用）</w:t>
      </w:r>
      <w:r>
        <w:rPr>
          <w:vertAlign w:val="superscript"/>
        </w:rPr>
        <w:footnoteReference w:id="209"/>
      </w:r>
      <w:r>
        <w:t xml:space="preserve">。该模型的核心诊断价值在于识别”首个失败环节”（First Failing Link）——若员工的Desire不足，直接推进培训（Knowledge）将事倍功半</w:t>
      </w:r>
      <w:r>
        <w:t xml:space="preserve"> </w:t>
      </w:r>
      <w:r>
        <w:rPr>
          <w:vertAlign w:val="superscript"/>
        </w:rPr>
        <w:footnoteReference w:id="210"/>
      </w:r>
      <w:r>
        <w:t xml:space="preserve">。</w:t>
      </w:r>
    </w:p>
    <w:p>
      <w:pPr>
        <w:pStyle w:val="BodyText"/>
      </w:pPr>
      <w:r>
        <w:t xml:space="preserve">在文档方案实施中，ADKAR模型可映射为分阶段干预策略。Awareness阶段通过”变革故事”（Change Story）传达现状风险与目标愿景，例如展示因SOP过期导致的合规处罚案例或新员工因文档混乱而延长上岗时间的量化数据。Desire阶段需回应员工的WIIFM（</w:t>
      </w:r>
      <w:r>
        <w:t xml:space="preserve">“</w:t>
      </w:r>
      <w:r>
        <w:t xml:space="preserve">这对我有什么好处？</w:t>
      </w:r>
      <w:r>
        <w:t xml:space="preserve">”</w:t>
      </w:r>
      <w:r>
        <w:t xml:space="preserve">）疑问，将文档方案与减少重复劳动、加速晋升等个人收益直接关联。Knowledge阶段采用分层培训设计：管理层聚焦治理框架和ROI监控，内容创作者聚焦结构化写作规范和模板使用，普通员工聚焦搜索查询和反馈机制，IT团队聚焦API集成和运维监控。Ability阶段通过沙箱环境和同伴辅导（Peer Coaching）提供实战演练机会，确保知识转化为可重复的操作能力。Reinforcement阶段则将新行为纳入绩效系统，通过季度审查、认可计划和刷新式微学习（Refresher Microlearning）防止行为倒退</w:t>
      </w:r>
      <w:r>
        <w:t xml:space="preserve"> </w:t>
      </w:r>
      <w:r>
        <w:rPr>
          <w:vertAlign w:val="superscript"/>
        </w:rPr>
        <w:footnoteReference w:id="211"/>
      </w:r>
      <w:r>
        <w:t xml:space="preserve">。</w:t>
      </w:r>
    </w:p>
    <w:p>
      <w:pPr>
        <w:pStyle w:val="BodyText"/>
      </w:pPr>
      <w:r>
        <w:t xml:space="preserve">根据Prosci的研究，大规模技术变革从部署到习惯养成通常需要18-24个月</w:t>
      </w:r>
      <w:r>
        <w:t xml:space="preserve"> </w:t>
      </w:r>
      <w:fldSimple w:instr="NOTEREF _Ref_Footnote_208 \h \f">
        <w:r>
          <w:rPr>
            <w:vertAlign w:val="superscript"/>
          </w:rPr>
          <w:t>208</w:t>
        </w:r>
      </w:fldSimple>
      <w:r>
        <w:t xml:space="preserve">。前3-6个月呈现早期采纳者的高使用率；6-18个月是关键的”混沌中期”（Messy Middle），抵触情绪在此阶段达到峰值，管理层的持续强化最为关键；18-24个月后 adoption 趋于稳定或固化，取决于前期Reinforcement的投入强度。中国企业在这一周期中还需叠加信创替代的额外学习成本，建议将文档方案与信创培训合并设计，避免员工因连续面对多轮变革而产生”变革疲劳”。Manual.to提出的90天采纳窗口为启动阶段提供了实用参考：第1-2周建立认知，第3-6周通过同伴冠军（Peer Champions）和15分钟实操演示推动初始采纳，第7-12周移除纸质替代方案并响应反馈以固化习惯</w:t>
      </w:r>
      <w:r>
        <w:t xml:space="preserve"> </w:t>
      </w:r>
      <w:fldSimple w:instr="NOTEREF _Ref_Footnote_33 \h \f">
        <w:r>
          <w:rPr>
            <w:vertAlign w:val="superscript"/>
          </w:rPr>
          <w:t>33</w:t>
        </w:r>
      </w:fldSimple>
      <w:r>
        <w:t xml:space="preserve">。</w:t>
      </w:r>
    </w:p>
    <w:p>
      <w:r>
        <w:pict>
          <v:rect style="width:0;height:1.5pt" o:hralign="center" o:hrstd="t" o:hr="t"/>
        </w:pict>
      </w:r>
    </w:p>
    <w:bookmarkEnd w:id="156"/>
    <w:bookmarkEnd w:id="157"/>
    <w:bookmarkEnd w:id="158"/>
    <w:bookmarkStart w:id="173" w:name="实施路径与路线图"/>
    <w:p>
      <w:pPr>
        <w:pStyle w:val="Heading2"/>
      </w:pPr>
      <w:r>
        <w:t xml:space="preserve">9. 实施路径与路线图</w:t>
      </w:r>
    </w:p>
    <w:p>
      <w:pPr>
        <w:pStyle w:val="FirstParagraph"/>
      </w:pPr>
      <w:r>
        <w:t xml:space="preserve">前述章节论证了”三层混合模型”——编辑层（飞书文档）→存储层（Git + Markdown SSOT）→处理层（转换管道 + 多模态RAG）——的综合得分达8.2分，较次优方案高出14%，100人团队5年TCO约$37万，较Notion方案节省46%</w:t>
      </w:r>
      <w:r>
        <w:t xml:space="preserve"> </w:t>
      </w:r>
      <w:fldSimple w:instr="NOTEREF _Ref_Footnote_23 \h \f">
        <w:r>
          <w:rPr>
            <w:vertAlign w:val="superscript"/>
          </w:rPr>
          <w:t>23</w:t>
        </w:r>
      </w:fldSimple>
      <w:r>
        <w:t xml:space="preserve">。本章将该架构设计转化为可落地的实施路线图，提供从现状到目标状态的完整迁移路径、分阶段计划与风险缓解策略。</w:t>
      </w:r>
    </w:p>
    <w:bookmarkStart w:id="162" w:name="迁移方法论"/>
    <w:p>
      <w:pPr>
        <w:pStyle w:val="Heading3"/>
      </w:pPr>
      <w:r>
        <w:t xml:space="preserve">9.1 迁移方法论</w:t>
      </w:r>
    </w:p>
    <w:bookmarkStart w:id="159" w:name="五阶段迁移模型评估清洗转换验证上线"/>
    <w:p>
      <w:pPr>
        <w:pStyle w:val="Heading4"/>
      </w:pPr>
      <w:r>
        <w:t xml:space="preserve">9.1.1 五阶段迁移模型：评估→清洗→转换→验证→上线</w:t>
      </w:r>
    </w:p>
    <w:p>
      <w:pPr>
        <w:pStyle w:val="FirstParagraph"/>
      </w:pPr>
      <w:r>
        <w:t xml:space="preserve">企业文档体系迁移是一项涉及技术、流程、人员与治理的系统性工程。业界成熟的五阶段方法论——评估（Assessment）→清洗（Cleansing）→转换（Conversion）→验证（Validation）→上线（Go-Live）——为企业提供了经过验证的操作框架</w:t>
      </w:r>
      <w:r>
        <w:t xml:space="preserve"> </w:t>
      </w:r>
      <w:fldSimple w:instr="NOTEREF _Ref_Footnote_28 \h \f">
        <w:r>
          <w:rPr>
            <w:vertAlign w:val="superscript"/>
          </w:rPr>
          <w:t>28</w:t>
        </w:r>
      </w:fldSimple>
      <w:r>
        <w:t xml:space="preserve"> </w:t>
      </w:r>
      <w:r>
        <w:rPr>
          <w:vertAlign w:val="superscript"/>
        </w:rPr>
        <w:footnoteReference w:id="212"/>
      </w:r>
      <w:r>
        <w:t xml:space="preserve">。各阶段应采用分层自动化策略，而非固定的人工比例：评估阶段数据画像与重复检测可高度自动化，建议自动化比例80/20；转换阶段工具链处理大部分格式迁移，异常处理需人工干预，比例约为90/10；验证阶段技术验证可自动化运行，业务验证则需主题专家（Subject Matter Expert, SME）参与，比例约为70/30</w:t>
      </w:r>
      <w:r>
        <w:t xml:space="preserve"> </w:t>
      </w:r>
      <w:r>
        <w:rPr>
          <w:vertAlign w:val="superscript"/>
        </w:rPr>
        <w:footnoteReference w:id="213"/>
      </w:r>
      <w:r>
        <w:t xml:space="preserve">。</w:t>
      </w:r>
    </w:p>
    <w:p>
      <w:pPr>
        <w:pStyle w:val="BodyText"/>
      </w:pPr>
      <w:r>
        <w:t xml:space="preserve">评估阶段的核心任务是建立数据基线。通过数据画像（Data Profiling）记录每个关键字段的分布、空值率、基数及极值，识别源系统中现有的质量问题，避免”垃圾进垃圾出”</w:t>
      </w:r>
      <w:r>
        <w:t xml:space="preserve"> </w:t>
      </w:r>
      <w:r>
        <w:rPr>
          <w:vertAlign w:val="superscript"/>
        </w:rPr>
        <w:footnoteReference w:id="214"/>
      </w:r>
      <w:r>
        <w:t xml:space="preserve">。此阶段需同步完成关系验证——映射表之间的外键完整性、父子层次结构——为后续转换建立精确的范围边界</w:t>
      </w:r>
      <w:r>
        <w:t xml:space="preserve"> </w:t>
      </w:r>
      <w:r>
        <w:rPr>
          <w:vertAlign w:val="superscript"/>
        </w:rPr>
        <w:footnoteReference w:id="215"/>
      </w:r>
      <w:r>
        <w:t xml:space="preserve">。清洗阶段的重点在于ROT数据（Redundant, Outdated, Trivial，冗余、过时、琐碎数据）的清除，这部分通常占企业存储数据的60-70%</w:t>
      </w:r>
      <w:r>
        <w:t xml:space="preserve"> </w:t>
      </w:r>
      <w:r>
        <w:rPr>
          <w:vertAlign w:val="superscript"/>
        </w:rPr>
        <w:footnoteReference w:id="216"/>
      </w:r>
      <w:r>
        <w:t xml:space="preserve">。数据清洗与预处理占总项目成本的30-50%，是最容易被低估的环节</w:t>
      </w:r>
      <w:r>
        <w:t xml:space="preserve"> </w:t>
      </w:r>
      <w:r>
        <w:rPr>
          <w:vertAlign w:val="superscript"/>
        </w:rPr>
        <w:footnoteReference w:id="217"/>
      </w:r>
      <w:r>
        <w:t xml:space="preserve">。转换阶段需根据源文档类型选择工具链：PDF格式推荐Docling（97.9%表格单元格准确率）</w:t>
      </w:r>
      <w:r>
        <w:rPr>
          <w:vertAlign w:val="superscript"/>
        </w:rPr>
        <w:footnoteReference w:id="218"/>
      </w:r>
      <w:r>
        <w:t xml:space="preserve">，Office文档推荐MarkItDown（82% F1分数，12秒/百页处理速度）</w:t>
      </w:r>
      <w:fldSimple w:instr="NOTEREF _Ref_Footnote_11 \h \f">
        <w:r>
          <w:rPr>
            <w:vertAlign w:val="superscript"/>
          </w:rPr>
          <w:t>11</w:t>
        </w:r>
      </w:fldSimple>
      <w:r>
        <w:t xml:space="preserve">或Pandoc（支持40余种格式互转）</w:t>
      </w:r>
      <w:fldSimple w:instr="NOTEREF _Ref_Footnote_3 \h \f">
        <w:r>
          <w:rPr>
            <w:vertAlign w:val="superscript"/>
          </w:rPr>
          <w:t>3</w:t>
        </w:r>
      </w:fldSimple>
      <w:r>
        <w:t xml:space="preserve">。验证阶段需执行技术验证（模式正确性、引用完整性）、业务验证（工作流功能、计算准确性）及协调测试（确保无数据丢失或错误更改）三层检查</w:t>
      </w:r>
      <w:r>
        <w:t xml:space="preserve"> </w:t>
      </w:r>
      <w:fldSimple w:instr="NOTEREF _Ref_Footnote_28 \h \f">
        <w:r>
          <w:rPr>
            <w:vertAlign w:val="superscript"/>
          </w:rPr>
          <w:t>28</w:t>
        </w:r>
      </w:fldSimple>
      <w:r>
        <w:t xml:space="preserve">，最终通过用户验收测试（User Acceptance Testing, UAT）由业务用户在真实场景下确认端到端工作流</w:t>
      </w:r>
      <w:r>
        <w:t xml:space="preserve"> </w:t>
      </w:r>
      <w:r>
        <w:rPr>
          <w:vertAlign w:val="superscript"/>
        </w:rPr>
        <w:footnoteReference w:id="219"/>
      </w:r>
      <w:r>
        <w:t xml:space="preserve">。</w:t>
      </w:r>
    </w:p>
    <w:bookmarkEnd w:id="159"/>
    <w:bookmarkStart w:id="160" w:name="渐进式改造三阶段"/>
    <w:p>
      <w:pPr>
        <w:pStyle w:val="Heading4"/>
      </w:pPr>
      <w:r>
        <w:t xml:space="preserve">9.1.2 渐进式改造三阶段</w:t>
      </w:r>
    </w:p>
    <w:p>
      <w:pPr>
        <w:pStyle w:val="FirstParagraph"/>
      </w:pPr>
      <w:r>
        <w:t xml:space="preserve">在三种迁移策略——大爆炸（Big Bang）、分阶段（Phased）、并行运行（Parallel）——中，分阶段迁移被推荐为大多数企业场景的首选方法。Atlassian的实践经验表明，分阶段迁移应将阶段保持尽可能小，为每个阶段定义明确里程碑，并在全面迁移前对每个阶段进行试点验证</w:t>
      </w:r>
      <w:r>
        <w:t xml:space="preserve"> </w:t>
      </w:r>
      <w:fldSimple w:instr="NOTEREF _Ref_Footnote_202 \h \f">
        <w:r>
          <w:rPr>
            <w:vertAlign w:val="superscript"/>
          </w:rPr>
          <w:t>202</w:t>
        </w:r>
      </w:fldSimple>
      <w:r>
        <w:t xml:space="preserve">。采用分阶段推出的组织报告比企业范围同时部署减少35%的关键问题</w:t>
      </w:r>
      <w:r>
        <w:t xml:space="preserve"> </w:t>
      </w:r>
      <w:r>
        <w:rPr>
          <w:vertAlign w:val="superscript"/>
        </w:rPr>
        <w:footnoteReference w:id="220"/>
      </w:r>
      <w:r>
        <w:t xml:space="preserve">。</w:t>
      </w:r>
    </w:p>
    <w:p>
      <w:pPr>
        <w:pStyle w:val="BodyText"/>
      </w:pPr>
      <w:r>
        <w:t xml:space="preserve">基于上述原则，推荐采用以下三阶段渐进式改造路径。</w:t>
      </w:r>
      <w:r>
        <w:rPr>
          <w:bCs/>
          <w:b/>
        </w:rPr>
        <w:t xml:space="preserve">第一阶段：基础建设（Month 1-3）</w:t>
      </w:r>
      <w:r>
        <w:t xml:space="preserve">，目标是建立战略方向和组织准备度</w:t>
      </w:r>
      <w:r>
        <w:t xml:space="preserve"> </w:t>
      </w:r>
      <w:fldSimple w:instr="NOTEREF _Ref_Footnote_220 \h \f">
        <w:r>
          <w:rPr>
            <w:vertAlign w:val="superscript"/>
          </w:rPr>
          <w:t>220</w:t>
        </w:r>
      </w:fldSimple>
      <w:r>
        <w:t xml:space="preserve">。关键活动包括获得高管赞助和预算分配（通常占年收入的3-5%）、组建跨职能团队（法律、IT、HR、业务部门）、选择试点部门（推荐热情高、痛点明确的团队），并完成基础设施评估与初始治理框架建立。</w:t>
      </w:r>
      <w:r>
        <w:rPr>
          <w:bCs/>
          <w:b/>
        </w:rPr>
        <w:t xml:space="preserve">第二阶段：扩展与集成（Month 3-6）</w:t>
      </w:r>
      <w:r>
        <w:t xml:space="preserve">，基于试点经验进行受控扩展，覆盖30-50%的组织</w:t>
      </w:r>
      <w:r>
        <w:t xml:space="preserve"> </w:t>
      </w:r>
      <w:r>
        <w:rPr>
          <w:vertAlign w:val="superscript"/>
        </w:rPr>
        <w:footnoteReference w:id="221"/>
      </w:r>
      <w:r>
        <w:t xml:space="preserve">。关键活动包括识别下一个接收部门的优先序列、实施”培训培训师”模式、建立分级支持系统，以及促进已实施部门与准备部门之间的知识共享。</w:t>
      </w:r>
      <w:r>
        <w:rPr>
          <w:bCs/>
          <w:b/>
        </w:rPr>
        <w:t xml:space="preserve">第三阶段：全面优化（Month 6-12）</w:t>
      </w:r>
      <w:r>
        <w:t xml:space="preserve">，完成全组织实施并建立持续改进机制</w:t>
      </w:r>
      <w:r>
        <w:t xml:space="preserve"> </w:t>
      </w:r>
      <w:r>
        <w:rPr>
          <w:vertAlign w:val="superscript"/>
        </w:rPr>
        <w:footnoteReference w:id="222"/>
      </w:r>
      <w:r>
        <w:t xml:space="preserve">。关键活动包括ERP/CRM/OA系统集成、政策标准化、全面知识库开发，以及性能优化与ROI全面评估。从第一阶段到第三阶段的典型过渡周期，50-500人的公司通常需要6-18个月</w:t>
      </w:r>
      <w:r>
        <w:t xml:space="preserve"> </w:t>
      </w:r>
      <w:r>
        <w:rPr>
          <w:vertAlign w:val="superscript"/>
        </w:rPr>
        <w:footnoteReference w:id="223"/>
      </w:r>
      <w:r>
        <w:t xml:space="preserve">。</w:t>
      </w:r>
    </w:p>
    <w:bookmarkEnd w:id="160"/>
    <w:bookmarkStart w:id="161" w:name="文档质量治理"/>
    <w:p>
      <w:pPr>
        <w:pStyle w:val="Heading4"/>
      </w:pPr>
      <w:r>
        <w:t xml:space="preserve">9.1.3 文档质量治理</w:t>
      </w:r>
    </w:p>
    <w:p>
      <w:pPr>
        <w:pStyle w:val="FirstParagraph"/>
      </w:pPr>
      <w:r>
        <w:t xml:space="preserve">文档质量治理是迁移成功的先决条件。有效的治理框架包含五大支柱：信息架构（保留计划需识别文档类型，元数据是基础）、访问控制（明确谁能归档、谁批准处置）、生命周期管理（制定保留计划覆盖主要文档类型）、明确角色（内容所有者必须批准保留期限和处置）、合规支持（通过系统处置实现数据最小化）</w:t>
      </w:r>
      <w:r>
        <w:rPr>
          <w:vertAlign w:val="superscript"/>
        </w:rPr>
        <w:footnoteReference w:id="224"/>
      </w:r>
      <w:r>
        <w:t xml:space="preserve">。</w:t>
      </w:r>
    </w:p>
    <w:p>
      <w:pPr>
        <w:pStyle w:val="BodyText"/>
      </w:pPr>
      <w:r>
        <w:t xml:space="preserve">去重策略是质量治理的核心环节。企业文档中最常见的质量问题是重复记录，有效的去重策略应包括五个维度：索引时使用确定性ID防止重复；建立标准化数据字典消除不一致输入根源；安排每周30-45分钟的重复扫描定期审计；合并时指定”主记录”保留最准确信息并确保历史数据转移；设置警报机制监控新产生的重复</w:t>
      </w:r>
      <w:r>
        <w:t xml:space="preserve"> </w:t>
      </w:r>
      <w:r>
        <w:rPr>
          <w:vertAlign w:val="superscript"/>
        </w:rPr>
        <w:footnoteReference w:id="225"/>
      </w:r>
      <w:r>
        <w:t xml:space="preserve"> </w:t>
      </w:r>
      <w:r>
        <w:rPr>
          <w:vertAlign w:val="superscript"/>
        </w:rPr>
        <w:footnoteReference w:id="226"/>
      </w:r>
      <w:r>
        <w:t xml:space="preserve">。清洗完成后，建议采用数据可观测性（Data Observability）框架替代一次性清理——实施自动化摄入验证、AI面向质量指标仪表板（维护标签一致性、文档陈旧度、重复内容密度）、异常检测以及对高速数据源的自动监控</w:t>
      </w:r>
      <w:r>
        <w:t xml:space="preserve"> </w:t>
      </w:r>
      <w:r>
        <w:rPr>
          <w:vertAlign w:val="superscript"/>
        </w:rPr>
        <w:footnoteReference w:id="227"/>
      </w:r>
      <w:r>
        <w:t xml:space="preserve">。治理的警告信号包括：没人能说出上次删除是什么时候、</w:t>
      </w:r>
      <w:r>
        <w:t xml:space="preserve">“</w:t>
      </w:r>
      <w:r>
        <w:t xml:space="preserve">归档</w:t>
      </w:r>
      <w:r>
        <w:t xml:space="preserve">”</w:t>
      </w:r>
      <w:r>
        <w:t xml:space="preserve">只是将文件夹移到别处、存储成本持续增长无人过问——出现任一信号即表明生命周期治理存在系统性问题</w:t>
      </w:r>
      <w:r>
        <w:t xml:space="preserve"> </w:t>
      </w:r>
      <w:fldSimple w:instr="NOTEREF _Ref_Footnote_224 \h \f">
        <w:r>
          <w:rPr>
            <w:vertAlign w:val="superscript"/>
          </w:rPr>
          <w:t>224</w:t>
        </w:r>
      </w:fldSimple>
      <w:r>
        <w:t xml:space="preserve">。</w:t>
      </w:r>
    </w:p>
    <w:bookmarkEnd w:id="161"/>
    <w:bookmarkEnd w:id="162"/>
    <w:bookmarkStart w:id="169" w:name="具体实施计划"/>
    <w:p>
      <w:pPr>
        <w:pStyle w:val="Heading3"/>
      </w:pPr>
      <w:r>
        <w:t xml:space="preserve">9.2 具体实施计划</w:t>
      </w:r>
    </w:p>
    <w:p>
      <w:pPr>
        <w:pStyle w:val="CaptionedFigure"/>
      </w:pPr>
      <w:r>
        <w:drawing>
          <wp:inline>
            <wp:extent cx="5334000" cy="3315684"/>
            <wp:effectExtent b="0" l="0" r="0" t="0"/>
            <wp:docPr descr="企业文档体系迁移实施路线图" title="" id="164" name="Picture"/>
            <a:graphic>
              <a:graphicData uri="http://schemas.openxmlformats.org/drawingml/2006/picture">
                <pic:pic>
                  <pic:nvPicPr>
                    <pic:cNvPr descr="implementation_roadmap_gantt.png" id="165" name="Picture"/>
                    <pic:cNvPicPr>
                      <a:picLocks noChangeArrowheads="1" noChangeAspect="1"/>
                    </pic:cNvPicPr>
                  </pic:nvPicPr>
                  <pic:blipFill>
                    <a:blip r:embed="rId163"/>
                    <a:stretch>
                      <a:fillRect/>
                    </a:stretch>
                  </pic:blipFill>
                  <pic:spPr bwMode="auto">
                    <a:xfrm>
                      <a:off x="0" y="0"/>
                      <a:ext cx="5334000" cy="3315684"/>
                    </a:xfrm>
                    <a:prstGeom prst="rect">
                      <a:avLst/>
                    </a:prstGeom>
                    <a:noFill/>
                    <a:ln w="9525">
                      <a:noFill/>
                      <a:headEnd/>
                      <a:tailEnd/>
                    </a:ln>
                  </pic:spPr>
                </pic:pic>
              </a:graphicData>
            </a:graphic>
          </wp:inline>
        </w:drawing>
      </w:r>
    </w:p>
    <w:p>
      <w:pPr>
        <w:pStyle w:val="ImageCaption"/>
      </w:pPr>
      <w:r>
        <w:t xml:space="preserve">企业文档体系迁移实施路线图</w:t>
      </w:r>
    </w:p>
    <w:p>
      <w:pPr>
        <w:pStyle w:val="BodyText"/>
      </w:pPr>
      <w:r>
        <w:t xml:space="preserve">上图呈现了12个月完整实施的甘特图视图，下表将三阶段计划的关键维度进行结构化对比。</w:t>
      </w:r>
    </w:p>
    <w:tbl>
      <w:tblPr>
        <w:tblStyle w:val="Table"/>
        <w:tblW w:type="pct" w:w="5000"/>
        <w:tblLook w:firstRow="1" w:lastRow="0" w:firstColumn="0" w:lastColumn="0" w:noHBand="0" w:noVBand="0" w:val="0020"/>
      </w:tblPr>
      <w:tblGrid>
        <w:gridCol w:w="1056"/>
        <w:gridCol w:w="2288"/>
        <w:gridCol w:w="2288"/>
        <w:gridCol w:w="2288"/>
      </w:tblGrid>
      <w:tr>
        <w:trPr>
          <w:tblHeader w:val="true"/>
        </w:trPr>
        <w:tc>
          <w:tcPr/>
          <w:p>
            <w:pPr>
              <w:pStyle w:val="Compact"/>
              <w:jc w:val="left"/>
            </w:pPr>
            <w:r>
              <w:t xml:space="preserve">维度</w:t>
            </w:r>
          </w:p>
        </w:tc>
        <w:tc>
          <w:tcPr/>
          <w:p>
            <w:pPr>
              <w:pStyle w:val="Compact"/>
              <w:jc w:val="left"/>
            </w:pPr>
            <w:r>
              <w:t xml:space="preserve">3个月速赢计划</w:t>
            </w:r>
          </w:p>
        </w:tc>
        <w:tc>
          <w:tcPr/>
          <w:p>
            <w:pPr>
              <w:pStyle w:val="Compact"/>
              <w:jc w:val="left"/>
            </w:pPr>
            <w:r>
              <w:t xml:space="preserve">6个月扩展计划</w:t>
            </w:r>
          </w:p>
        </w:tc>
        <w:tc>
          <w:tcPr/>
          <w:p>
            <w:pPr>
              <w:pStyle w:val="Compact"/>
              <w:jc w:val="left"/>
            </w:pPr>
            <w:r>
              <w:t xml:space="preserve">12个月全面计划</w:t>
            </w:r>
          </w:p>
        </w:tc>
      </w:tr>
      <w:tr>
        <w:tc>
          <w:tcPr/>
          <w:p>
            <w:pPr>
              <w:pStyle w:val="Compact"/>
              <w:jc w:val="left"/>
            </w:pPr>
            <w:r>
              <w:rPr>
                <w:bCs/>
                <w:b/>
              </w:rPr>
              <w:t xml:space="preserve">核心目标</w:t>
            </w:r>
          </w:p>
        </w:tc>
        <w:tc>
          <w:tcPr/>
          <w:p>
            <w:pPr>
              <w:pStyle w:val="Compact"/>
              <w:jc w:val="left"/>
            </w:pPr>
            <w:r>
              <w:t xml:space="preserve">模板标准化 + 基础RAG上线</w:t>
            </w:r>
          </w:p>
        </w:tc>
        <w:tc>
          <w:tcPr/>
          <w:p>
            <w:pPr>
              <w:pStyle w:val="Compact"/>
              <w:jc w:val="left"/>
            </w:pPr>
            <w:r>
              <w:t xml:space="preserve">多模态RAG + Agent交互</w:t>
            </w:r>
          </w:p>
        </w:tc>
        <w:tc>
          <w:tcPr/>
          <w:p>
            <w:pPr>
              <w:pStyle w:val="Compact"/>
              <w:jc w:val="left"/>
            </w:pPr>
            <w:r>
              <w:t xml:space="preserve">智能SOP助手 + 跨系统集成</w:t>
            </w:r>
          </w:p>
        </w:tc>
      </w:tr>
      <w:tr>
        <w:tc>
          <w:tcPr/>
          <w:p>
            <w:pPr>
              <w:pStyle w:val="Compact"/>
              <w:jc w:val="left"/>
            </w:pPr>
            <w:r>
              <w:rPr>
                <w:bCs/>
                <w:b/>
              </w:rPr>
              <w:t xml:space="preserve">技术范围</w:t>
            </w:r>
          </w:p>
        </w:tc>
        <w:tc>
          <w:tcPr/>
          <w:p>
            <w:pPr>
              <w:pStyle w:val="Compact"/>
              <w:jc w:val="left"/>
            </w:pPr>
            <w:r>
              <w:t xml:space="preserve">飞书→Markdown导出管道</w:t>
            </w:r>
            <w:r>
              <w:t xml:space="preserve"> </w:t>
            </w:r>
            <w:fldSimple w:instr="NOTEREF _Ref_Footnote_5 \h \f">
              <w:r>
                <w:rPr>
                  <w:vertAlign w:val="superscript"/>
                </w:rPr>
                <w:t>5</w:t>
              </w:r>
            </w:fldSimple>
            <w:r>
              <w:t xml:space="preserve">；结构感知分块</w:t>
            </w:r>
            <w:r>
              <w:t xml:space="preserve"> </w:t>
            </w:r>
            <w:fldSimple w:instr="NOTEREF _Ref_Footnote_8 \h \f">
              <w:r>
                <w:rPr>
                  <w:vertAlign w:val="superscript"/>
                </w:rPr>
                <w:t>8</w:t>
              </w:r>
            </w:fldSimple>
            <w:r>
              <w:t xml:space="preserve">；阿里云百炼基础RAG</w:t>
            </w:r>
          </w:p>
        </w:tc>
        <w:tc>
          <w:tcPr/>
          <w:p>
            <w:pPr>
              <w:pStyle w:val="Compact"/>
              <w:jc w:val="left"/>
            </w:pPr>
            <w:r>
              <w:t xml:space="preserve">Qwen3-VL-Embedding多模态检索；MCP Server部署</w:t>
            </w:r>
            <w:r>
              <w:t xml:space="preserve"> </w:t>
            </w:r>
            <w:r>
              <w:rPr>
                <w:vertAlign w:val="superscript"/>
              </w:rPr>
              <w:footnoteReference w:id="228"/>
            </w:r>
            <w:r>
              <w:t xml:space="preserve">；混合搜索</w:t>
            </w:r>
          </w:p>
        </w:tc>
        <w:tc>
          <w:tcPr/>
          <w:p>
            <w:pPr>
              <w:pStyle w:val="Compact"/>
              <w:jc w:val="left"/>
            </w:pPr>
            <w:r>
              <w:t xml:space="preserve">自动更新管道；ERP/CRM/OA集成</w:t>
            </w:r>
            <w:r>
              <w:t xml:space="preserve"> </w:t>
            </w:r>
            <w:r>
              <w:rPr>
                <w:vertAlign w:val="superscript"/>
              </w:rPr>
              <w:footnoteReference w:id="229"/>
            </w:r>
            <w:r>
              <w:t xml:space="preserve">；质量监控Dashboard</w:t>
            </w:r>
          </w:p>
        </w:tc>
      </w:tr>
      <w:tr>
        <w:tc>
          <w:tcPr/>
          <w:p>
            <w:pPr>
              <w:pStyle w:val="Compact"/>
              <w:jc w:val="left"/>
            </w:pPr>
            <w:r>
              <w:rPr>
                <w:bCs/>
                <w:b/>
              </w:rPr>
              <w:t xml:space="preserve">组织覆盖</w:t>
            </w:r>
          </w:p>
        </w:tc>
        <w:tc>
          <w:tcPr/>
          <w:p>
            <w:pPr>
              <w:pStyle w:val="Compact"/>
              <w:jc w:val="left"/>
            </w:pPr>
            <w:r>
              <w:t xml:space="preserve">1-2个Pilot部门（20篇高价值文档）</w:t>
            </w:r>
            <w:fldSimple w:instr="NOTEREF _Ref_Footnote_222 \h \f">
              <w:r>
                <w:rPr>
                  <w:vertAlign w:val="superscript"/>
                </w:rPr>
                <w:t>222</w:t>
              </w:r>
            </w:fldSimple>
          </w:p>
        </w:tc>
        <w:tc>
          <w:tcPr/>
          <w:p>
            <w:pPr>
              <w:pStyle w:val="Compact"/>
              <w:jc w:val="left"/>
            </w:pPr>
            <w:r>
              <w:t xml:space="preserve">3-5个部门（30-50%组织覆盖）</w:t>
            </w:r>
            <w:fldSimple w:instr="NOTEREF _Ref_Footnote_221 \h \f">
              <w:r>
                <w:rPr>
                  <w:vertAlign w:val="superscript"/>
                </w:rPr>
                <w:t>221</w:t>
              </w:r>
            </w:fldSimple>
          </w:p>
        </w:tc>
        <w:tc>
          <w:tcPr/>
          <w:p>
            <w:pPr>
              <w:pStyle w:val="Compact"/>
              <w:jc w:val="left"/>
            </w:pPr>
            <w:r>
              <w:t xml:space="preserve">100%组织覆盖</w:t>
            </w:r>
          </w:p>
        </w:tc>
      </w:tr>
      <w:tr>
        <w:tc>
          <w:tcPr/>
          <w:p>
            <w:pPr>
              <w:pStyle w:val="Compact"/>
              <w:jc w:val="left"/>
            </w:pPr>
            <w:r>
              <w:rPr>
                <w:bCs/>
                <w:b/>
              </w:rPr>
              <w:t xml:space="preserve">关键交付物</w:t>
            </w:r>
          </w:p>
        </w:tc>
        <w:tc>
          <w:tcPr/>
          <w:p>
            <w:pPr>
              <w:pStyle w:val="Compact"/>
              <w:jc w:val="left"/>
            </w:pPr>
            <w:r>
              <w:t xml:space="preserve">功能知识库平台；标准化模板；初始ROI数据</w:t>
            </w:r>
          </w:p>
        </w:tc>
        <w:tc>
          <w:tcPr/>
          <w:p>
            <w:pPr>
              <w:pStyle w:val="Compact"/>
              <w:jc w:val="left"/>
            </w:pPr>
            <w:r>
              <w:t xml:space="preserve">治理框架；培训体系；可衡量效率提升</w:t>
            </w:r>
          </w:p>
        </w:tc>
        <w:tc>
          <w:tcPr/>
          <w:p>
            <w:pPr>
              <w:pStyle w:val="Compact"/>
              <w:jc w:val="left"/>
            </w:pPr>
            <w:r>
              <w:t xml:space="preserve">持续改进框架；性能基线报告；治理成熟</w:t>
            </w:r>
          </w:p>
        </w:tc>
      </w:tr>
      <w:tr>
        <w:tc>
          <w:tcPr/>
          <w:p>
            <w:pPr>
              <w:pStyle w:val="Compact"/>
              <w:jc w:val="left"/>
            </w:pPr>
            <w:r>
              <w:rPr>
                <w:bCs/>
                <w:b/>
              </w:rPr>
              <w:t xml:space="preserve">自动化比例</w:t>
            </w:r>
          </w:p>
        </w:tc>
        <w:tc>
          <w:tcPr/>
          <w:p>
            <w:pPr>
              <w:pStyle w:val="Compact"/>
              <w:jc w:val="left"/>
            </w:pPr>
            <w:r>
              <w:t xml:space="preserve">评估80/20；转换90/10</w:t>
            </w:r>
            <w:r>
              <w:t xml:space="preserve"> </w:t>
            </w:r>
            <w:fldSimple w:instr="NOTEREF _Ref_Footnote_213 \h \f">
              <w:r>
                <w:rPr>
                  <w:vertAlign w:val="superscript"/>
                </w:rPr>
                <w:t>213</w:t>
              </w:r>
            </w:fldSimple>
          </w:p>
        </w:tc>
        <w:tc>
          <w:tcPr/>
          <w:p>
            <w:pPr>
              <w:pStyle w:val="Compact"/>
              <w:jc w:val="left"/>
            </w:pPr>
            <w:r>
              <w:t xml:space="preserve">验证70/30；监控85/15</w:t>
            </w:r>
          </w:p>
        </w:tc>
        <w:tc>
          <w:tcPr/>
          <w:p>
            <w:pPr>
              <w:pStyle w:val="Compact"/>
              <w:jc w:val="left"/>
            </w:pPr>
            <w:r>
              <w:t xml:space="preserve">全管道自动化</w:t>
            </w:r>
          </w:p>
        </w:tc>
      </w:tr>
      <w:tr>
        <w:tc>
          <w:tcPr/>
          <w:p>
            <w:pPr>
              <w:pStyle w:val="Compact"/>
              <w:jc w:val="left"/>
            </w:pPr>
            <w:r>
              <w:rPr>
                <w:bCs/>
                <w:b/>
              </w:rPr>
              <w:t xml:space="preserve">预算参考</w:t>
            </w:r>
          </w:p>
        </w:tc>
        <w:tc>
          <w:tcPr/>
          <w:p>
            <w:pPr>
              <w:pStyle w:val="Compact"/>
              <w:jc w:val="left"/>
            </w:pPr>
            <w:r>
              <w:t xml:space="preserve">初始$7,500-$13,200</w:t>
            </w:r>
            <w:r>
              <w:t xml:space="preserve"> </w:t>
            </w:r>
            <w:r>
              <w:rPr>
                <w:vertAlign w:val="superscript"/>
              </w:rPr>
              <w:footnoteReference w:id="230"/>
            </w:r>
          </w:p>
        </w:tc>
        <w:tc>
          <w:tcPr/>
          <w:p>
            <w:pPr>
              <w:pStyle w:val="Compact"/>
              <w:jc w:val="left"/>
            </w:pPr>
            <w:r>
              <w:t xml:space="preserve">累计$15,700-$27,000</w:t>
            </w:r>
          </w:p>
        </w:tc>
        <w:tc>
          <w:tcPr/>
          <w:p>
            <w:pPr>
              <w:pStyle w:val="Compact"/>
              <w:jc w:val="left"/>
            </w:pPr>
            <w:r>
              <w:t xml:space="preserve">累计$34,400-$58,000+（企业级）</w:t>
            </w:r>
          </w:p>
        </w:tc>
      </w:tr>
      <w:tr>
        <w:tc>
          <w:tcPr/>
          <w:p>
            <w:pPr>
              <w:pStyle w:val="Compact"/>
              <w:jc w:val="left"/>
            </w:pPr>
            <w:r>
              <w:rPr>
                <w:bCs/>
                <w:b/>
              </w:rPr>
              <w:t xml:space="preserve">采纳率目标</w:t>
            </w:r>
          </w:p>
        </w:tc>
        <w:tc>
          <w:tcPr/>
          <w:p>
            <w:pPr>
              <w:pStyle w:val="Compact"/>
              <w:jc w:val="left"/>
            </w:pPr>
            <w:r>
              <w:t xml:space="preserve">Pilot用户&gt;70%</w:t>
            </w:r>
          </w:p>
        </w:tc>
        <w:tc>
          <w:tcPr/>
          <w:p>
            <w:pPr>
              <w:pStyle w:val="Compact"/>
              <w:jc w:val="left"/>
            </w:pPr>
            <w:r>
              <w:t xml:space="preserve">组织范围&gt;70%</w:t>
            </w:r>
            <w:r>
              <w:t xml:space="preserve"> </w:t>
            </w:r>
            <w:fldSimple w:instr="NOTEREF _Ref_Footnote_29 \h \f">
              <w:r>
                <w:rPr>
                  <w:vertAlign w:val="superscript"/>
                </w:rPr>
                <w:t>29</w:t>
              </w:r>
            </w:fldSimple>
          </w:p>
        </w:tc>
        <w:tc>
          <w:tcPr/>
          <w:p>
            <w:pPr>
              <w:pStyle w:val="Compact"/>
              <w:jc w:val="left"/>
            </w:pPr>
            <w:r>
              <w:t xml:space="preserve">稳定&gt;85%（6个月时）</w:t>
            </w:r>
            <w:fldSimple w:instr="NOTEREF _Ref_Footnote_29 \h \f">
              <w:r>
                <w:rPr>
                  <w:vertAlign w:val="superscript"/>
                </w:rPr>
                <w:t>29</w:t>
              </w:r>
            </w:fldSimple>
          </w:p>
        </w:tc>
      </w:tr>
    </w:tbl>
    <w:p>
      <w:pPr>
        <w:pStyle w:val="BodyText"/>
      </w:pPr>
      <w:r>
        <w:t xml:space="preserve">上表的核心逻辑在于：3个月速赢计划的价值在于快速验证假设并展示可见成果，为后续阶段争取组织支持；6个月扩展计划的关键是从技术验证转向组织能力构建，培训体系与变更管理的重要性在此阶段显著上升；12个月全面计划则将文档体系从独立系统转变为企业数字基础设施的有机组成部分。三阶段累计预算与企业级RAG知识库实施成本的中位数区间基本吻合</w:t>
      </w:r>
      <w:r>
        <w:t xml:space="preserve"> </w:t>
      </w:r>
      <w:fldSimple w:instr="NOTEREF _Ref_Footnote_230 \h \f">
        <w:r>
          <w:rPr>
            <w:vertAlign w:val="superscript"/>
          </w:rPr>
          <w:t>230</w:t>
        </w:r>
      </w:fldSimple>
      <w:r>
        <w:t xml:space="preserve">，但数据清洗与预处理占总成本30-50%的比例</w:t>
      </w:r>
      <w:r>
        <w:t xml:space="preserve"> </w:t>
      </w:r>
      <w:fldSimple w:instr="NOTEREF _Ref_Footnote_217 \h \f">
        <w:r>
          <w:rPr>
            <w:vertAlign w:val="superscript"/>
          </w:rPr>
          <w:t>217</w:t>
        </w:r>
      </w:fldSimple>
      <w:r>
        <w:t xml:space="preserve">需要在每一阶段都预留充足资源。</w:t>
      </w:r>
    </w:p>
    <w:bookmarkStart w:id="166" w:name="个月速赢计划"/>
    <w:p>
      <w:pPr>
        <w:pStyle w:val="Heading4"/>
      </w:pPr>
      <w:r>
        <w:t xml:space="preserve">9.2.1 3个月速赢计划</w:t>
      </w:r>
    </w:p>
    <w:p>
      <w:pPr>
        <w:pStyle w:val="FirstParagraph"/>
      </w:pPr>
      <w:r>
        <w:t xml:space="preserve">速赢计划的核心是在最短时间内让业务用户感受到新体系的价值。</w:t>
      </w:r>
      <w:r>
        <w:rPr>
          <w:bCs/>
          <w:b/>
        </w:rPr>
        <w:t xml:space="preserve">Month 1</w:t>
      </w:r>
      <w:r>
        <w:t xml:space="preserve">聚焦项目启动与团队组建，同步开展现有文档评估与ROT分析。评估应采用”足够好”方法快速启动，而非追求完美方案</w:t>
      </w:r>
      <w:r>
        <w:t xml:space="preserve"> </w:t>
      </w:r>
      <w:fldSimple w:instr="NOTEREF _Ref_Footnote_222 \h \f">
        <w:r>
          <w:rPr>
            <w:vertAlign w:val="superscript"/>
          </w:rPr>
          <w:t>222</w:t>
        </w:r>
      </w:fldSimple>
      <w:r>
        <w:t xml:space="preserve">。</w:t>
      </w:r>
      <w:r>
        <w:rPr>
          <w:bCs/>
          <w:b/>
        </w:rPr>
        <w:t xml:space="preserve">Month 2</w:t>
      </w:r>
      <w:r>
        <w:t xml:space="preserve">完成模板标准化——SOP模板核心要素包括标题、SOP编号、版本号、生效日期、审核日期、负责人、目的、范围、职责、程序步骤和变更历史</w:t>
      </w:r>
      <w:r>
        <w:t xml:space="preserve"> </w:t>
      </w:r>
      <w:fldSimple w:instr="NOTEREF _Ref_Footnote_66 \h \f">
        <w:r>
          <w:rPr>
            <w:vertAlign w:val="superscript"/>
          </w:rPr>
          <w:t>66</w:t>
        </w:r>
      </w:fldSimple>
      <w:r>
        <w:t xml:space="preserve">——并搭建飞书→Markdown→RAG的端到端管道。Pilot内容选择20篇高频使用的高价值文档进行完整迁移与验证</w:t>
      </w:r>
      <w:r>
        <w:t xml:space="preserve"> </w:t>
      </w:r>
      <w:fldSimple w:instr="NOTEREF _Ref_Footnote_222 \h \f">
        <w:r>
          <w:rPr>
            <w:vertAlign w:val="superscript"/>
          </w:rPr>
          <w:t>222</w:t>
        </w:r>
      </w:fldSimple>
      <w:r>
        <w:t xml:space="preserve">。</w:t>
      </w:r>
      <w:r>
        <w:rPr>
          <w:bCs/>
          <w:b/>
        </w:rPr>
        <w:t xml:space="preserve">Month 3</w:t>
      </w:r>
      <w:r>
        <w:t xml:space="preserve">完成基础RAG知识库上线，基于结构感知分块策略（87%准确率，较固定分块提升30-49%）</w:t>
      </w:r>
      <w:fldSimple w:instr="NOTEREF _Ref_Footnote_8 \h \f">
        <w:r>
          <w:rPr>
            <w:vertAlign w:val="superscript"/>
          </w:rPr>
          <w:t>8</w:t>
        </w:r>
      </w:fldSimple>
      <w:r>
        <w:t xml:space="preserve"> </w:t>
      </w:r>
      <w:fldSimple w:instr="NOTEREF _Ref_Footnote_1 \h \f">
        <w:r>
          <w:rPr>
            <w:vertAlign w:val="superscript"/>
          </w:rPr>
          <w:t>1</w:t>
        </w:r>
      </w:fldSimple>
      <w:r>
        <w:t xml:space="preserve">实现文档智能检索，并基于Pilot反馈优化体验后扩展至第二个部门。此阶段退出标准为UAT通过率&gt;90%、Pilot用户满意度&gt;4/5</w:t>
      </w:r>
      <w:r>
        <w:t xml:space="preserve"> </w:t>
      </w:r>
      <w:r>
        <w:rPr>
          <w:vertAlign w:val="superscript"/>
        </w:rPr>
        <w:footnoteReference w:id="231"/>
      </w:r>
      <w:r>
        <w:t xml:space="preserve">。</w:t>
      </w:r>
    </w:p>
    <w:bookmarkEnd w:id="166"/>
    <w:bookmarkStart w:id="167" w:name="个月扩展计划"/>
    <w:p>
      <w:pPr>
        <w:pStyle w:val="Heading4"/>
      </w:pPr>
      <w:r>
        <w:t xml:space="preserve">9.2.2 6个月扩展计划</w:t>
      </w:r>
    </w:p>
    <w:p>
      <w:pPr>
        <w:pStyle w:val="FirstParagraph"/>
      </w:pPr>
      <w:r>
        <w:t xml:space="preserve">扩展阶段在速赢基础上构建多模态能力与Agent交互层。</w:t>
      </w:r>
      <w:r>
        <w:rPr>
          <w:bCs/>
          <w:b/>
        </w:rPr>
        <w:t xml:space="preserve">Month 3-4</w:t>
      </w:r>
      <w:r>
        <w:t xml:space="preserve">并行推进三项技术能力：集成Qwen3-VL-Embedding实现文本+图像统一检索（MMEB-V2排名第一的嵌入模型）；部署结构感知分块策略减少42% LLM幻觉</w:t>
      </w:r>
      <w:r>
        <w:t xml:space="preserve"> </w:t>
      </w:r>
      <w:fldSimple w:instr="NOTEREF _Ref_Footnote_74 \h \f">
        <w:r>
          <w:rPr>
            <w:vertAlign w:val="superscript"/>
          </w:rPr>
          <w:t>74</w:t>
        </w:r>
      </w:fldSimple>
      <w:r>
        <w:t xml:space="preserve">；基于阿里云百炼平台构建多模态RAG知识库。</w:t>
      </w:r>
      <w:r>
        <w:rPr>
          <w:bCs/>
          <w:b/>
        </w:rPr>
        <w:t xml:space="preserve">Month 4-6</w:t>
      </w:r>
      <w:r>
        <w:t xml:space="preserve">部署MCP（Model Context Protocol）Server，使Agent具备对文档的主动CRUD（Create, Read, Update, Delete）操作能力，将文档从被动读取对象转变为Agent可操作的对象</w:t>
      </w:r>
      <w:r>
        <w:t xml:space="preserve"> </w:t>
      </w:r>
      <w:fldSimple w:instr="NOTEREF _Ref_Footnote_228 \h \f">
        <w:r>
          <w:rPr>
            <w:vertAlign w:val="superscript"/>
          </w:rPr>
          <w:t>228</w:t>
        </w:r>
      </w:fldSimple>
      <w:r>
        <w:t xml:space="preserve">。同期开展组织推广：识别下一个接收部门的优先序列、实施”培训培训师”模式、建立分级支持系统。此阶段退出标准为3个以上部门上线、搜索成功率&gt;80%</w:t>
      </w:r>
      <w:r>
        <w:t xml:space="preserve"> </w:t>
      </w:r>
      <w:fldSimple w:instr="NOTEREF _Ref_Footnote_231 \h \f">
        <w:r>
          <w:rPr>
            <w:vertAlign w:val="superscript"/>
          </w:rPr>
          <w:t>231</w:t>
        </w:r>
      </w:fldSimple>
      <w:r>
        <w:t xml:space="preserve">。</w:t>
      </w:r>
    </w:p>
    <w:bookmarkEnd w:id="167"/>
    <w:bookmarkStart w:id="168" w:name="个月全面计划"/>
    <w:p>
      <w:pPr>
        <w:pStyle w:val="Heading4"/>
      </w:pPr>
      <w:r>
        <w:t xml:space="preserve">9.2.3 12个月全面计划</w:t>
      </w:r>
    </w:p>
    <w:p>
      <w:pPr>
        <w:pStyle w:val="FirstParagraph"/>
      </w:pPr>
      <w:r>
        <w:t xml:space="preserve">全面优化阶段将文档体系深度融入企业运营。</w:t>
      </w:r>
      <w:r>
        <w:rPr>
          <w:bCs/>
          <w:b/>
        </w:rPr>
        <w:t xml:space="preserve">Month 6-8</w:t>
      </w:r>
      <w:r>
        <w:t xml:space="preserve">上线智能SOP助手——基于RAG的问答系统已验证可将搜索时间从9分钟降至47秒</w:t>
      </w:r>
      <w:r>
        <w:t xml:space="preserve"> </w:t>
      </w:r>
      <w:fldSimple w:instr="NOTEREF _Ref_Footnote_30 \h \f">
        <w:r>
          <w:rPr>
            <w:vertAlign w:val="superscript"/>
          </w:rPr>
          <w:t>30</w:t>
        </w:r>
      </w:fldSimple>
      <w:r>
        <w:t xml:space="preserve">——并构建自动更新管道，当源文档更新时通过文件哈希检测变更触发重新转换</w:t>
      </w:r>
      <w:r>
        <w:t xml:space="preserve"> </w:t>
      </w:r>
      <w:r>
        <w:rPr>
          <w:vertAlign w:val="superscript"/>
        </w:rPr>
        <w:footnoteReference w:id="232"/>
      </w:r>
      <w:r>
        <w:t xml:space="preserve">。</w:t>
      </w:r>
      <w:r>
        <w:rPr>
          <w:bCs/>
          <w:b/>
        </w:rPr>
        <w:t xml:space="preserve">Month 7-10</w:t>
      </w:r>
      <w:r>
        <w:t xml:space="preserve">完成ERP/CRM/OA系统集成，采用API集成与中间件/iPaaS混合模式实现近实时数据同步</w:t>
      </w:r>
      <w:r>
        <w:t xml:space="preserve"> </w:t>
      </w:r>
      <w:fldSimple w:instr="NOTEREF _Ref_Footnote_229 \h \f">
        <w:r>
          <w:rPr>
            <w:vertAlign w:val="superscript"/>
          </w:rPr>
          <w:t>229</w:t>
        </w:r>
      </w:fldSimple>
      <w:r>
        <w:t xml:space="preserve"> </w:t>
      </w:r>
      <w:r>
        <w:rPr>
          <w:vertAlign w:val="superscript"/>
        </w:rPr>
        <w:footnoteReference w:id="233"/>
      </w:r>
      <w:r>
        <w:t xml:space="preserve">。</w:t>
      </w:r>
      <w:r>
        <w:rPr>
          <w:bCs/>
          <w:b/>
        </w:rPr>
        <w:t xml:space="preserve">Month 9-12</w:t>
      </w:r>
      <w:r>
        <w:t xml:space="preserve">在全公司范围内部署文档质量监控Dashboard，追踪内容可靠性评分（90-180天内已审查或更新的内容百分比）</w:t>
      </w:r>
      <w:r>
        <w:rPr>
          <w:vertAlign w:val="superscript"/>
        </w:rPr>
        <w:footnoteReference w:id="234"/>
      </w:r>
      <w:r>
        <w:t xml:space="preserve">、搜索零结果率（视为内容缺口待办列表）</w:t>
      </w:r>
      <w:fldSimple w:instr="NOTEREF _Ref_Footnote_234 \h \f">
        <w:r>
          <w:rPr>
            <w:vertAlign w:val="superscript"/>
          </w:rPr>
          <w:t>234</w:t>
        </w:r>
      </w:fldSimple>
      <w:r>
        <w:t xml:space="preserve">和AI查询解决率三大核心指标。最终完成全面ROI评估——文档ROI的典型计算模型显示，投入$200创建一份SOP，每周节省20人各30分钟（合计10小时），年化节省$26,000，ROI可达12,900%</w:t>
      </w:r>
      <w:r>
        <w:t xml:space="preserve"> </w:t>
      </w:r>
      <w:fldSimple w:instr="NOTEREF _Ref_Footnote_31 \h \f">
        <w:r>
          <w:rPr>
            <w:vertAlign w:val="superscript"/>
          </w:rPr>
          <w:t>31</w:t>
        </w:r>
      </w:fldSimple>
      <w:r>
        <w:t xml:space="preserve">。</w:t>
      </w:r>
    </w:p>
    <w:bookmarkEnd w:id="168"/>
    <w:bookmarkEnd w:id="169"/>
    <w:bookmarkStart w:id="172" w:name="风险与缓解"/>
    <w:p>
      <w:pPr>
        <w:pStyle w:val="Heading3"/>
      </w:pPr>
      <w:r>
        <w:t xml:space="preserve">9.3 风险与缓解</w:t>
      </w:r>
    </w:p>
    <w:bookmarkStart w:id="170" w:name="十大风险识别与概率影响矩阵"/>
    <w:p>
      <w:pPr>
        <w:pStyle w:val="Heading4"/>
      </w:pPr>
      <w:r>
        <w:t xml:space="preserve">9.3.1 十大风险识别与概率/影响矩阵</w:t>
      </w:r>
    </w:p>
    <w:p>
      <w:pPr>
        <w:pStyle w:val="FirstParagraph"/>
      </w:pPr>
      <w:r>
        <w:t xml:space="preserve">基于业界89个生产部署的实证数据和文献综述</w:t>
      </w:r>
      <w:r>
        <w:t xml:space="preserve"> </w:t>
      </w:r>
      <w:fldSimple w:instr="NOTEREF _Ref_Footnote_230 \h \f">
        <w:r>
          <w:rPr>
            <w:vertAlign w:val="superscript"/>
          </w:rPr>
          <w:t>230</w:t>
        </w:r>
      </w:fldSimple>
      <w:r>
        <w:t xml:space="preserve">，文档体系迁移面临十项关键风险，其概率/影响矩阵如下：</w:t>
      </w:r>
    </w:p>
    <w:tbl>
      <w:tblPr>
        <w:tblStyle w:val="Table"/>
        <w:tblW w:type="pct" w:w="5000"/>
        <w:tblLook w:firstRow="1" w:lastRow="0" w:firstColumn="0" w:lastColumn="0" w:noHBand="0" w:noVBand="0" w:val="0020"/>
      </w:tblPr>
      <w:tblGrid>
        <w:gridCol w:w="1440"/>
        <w:gridCol w:w="1620"/>
        <w:gridCol w:w="1620"/>
        <w:gridCol w:w="1620"/>
        <w:gridCol w:w="1620"/>
      </w:tblGrid>
      <w:tr>
        <w:trPr>
          <w:tblHeader w:val="true"/>
        </w:trPr>
        <w:tc>
          <w:tcPr/>
          <w:p>
            <w:pPr>
              <w:pStyle w:val="Compact"/>
              <w:jc w:val="left"/>
            </w:pPr>
            <w:r>
              <w:t xml:space="preserve">风险项</w:t>
            </w:r>
          </w:p>
        </w:tc>
        <w:tc>
          <w:tcPr/>
          <w:p>
            <w:pPr>
              <w:pStyle w:val="Compact"/>
              <w:jc w:val="left"/>
            </w:pPr>
            <w:r>
              <w:t xml:space="preserve">发生概率</w:t>
            </w:r>
          </w:p>
        </w:tc>
        <w:tc>
          <w:tcPr/>
          <w:p>
            <w:pPr>
              <w:pStyle w:val="Compact"/>
              <w:jc w:val="left"/>
            </w:pPr>
            <w:r>
              <w:t xml:space="preserve">影响程度</w:t>
            </w:r>
          </w:p>
        </w:tc>
        <w:tc>
          <w:tcPr/>
          <w:p>
            <w:pPr>
              <w:pStyle w:val="Compact"/>
              <w:jc w:val="left"/>
            </w:pPr>
            <w:r>
              <w:t xml:space="preserve">风险等级</w:t>
            </w:r>
          </w:p>
        </w:tc>
        <w:tc>
          <w:tcPr/>
          <w:p>
            <w:pPr>
              <w:pStyle w:val="Compact"/>
              <w:jc w:val="left"/>
            </w:pPr>
            <w:r>
              <w:t xml:space="preserve">缓解策略</w:t>
            </w:r>
          </w:p>
        </w:tc>
      </w:tr>
      <w:tr>
        <w:tc>
          <w:tcPr/>
          <w:p>
            <w:pPr>
              <w:pStyle w:val="Compact"/>
              <w:jc w:val="left"/>
            </w:pPr>
            <w:r>
              <w:t xml:space="preserve">数据质量差</w:t>
            </w:r>
          </w:p>
        </w:tc>
        <w:tc>
          <w:tcPr/>
          <w:p>
            <w:pPr>
              <w:pStyle w:val="Compact"/>
              <w:jc w:val="left"/>
            </w:pPr>
            <w:r>
              <w:t xml:space="preserve">极高（84%迁移受影响）</w:t>
            </w:r>
            <w:fldSimple w:instr="NOTEREF _Ref_Footnote_216 \h \f">
              <w:r>
                <w:rPr>
                  <w:vertAlign w:val="superscript"/>
                </w:rPr>
                <w:t>216</w:t>
              </w:r>
            </w:fldSimple>
          </w:p>
        </w:tc>
        <w:tc>
          <w:tcPr/>
          <w:p>
            <w:pPr>
              <w:pStyle w:val="Compact"/>
              <w:jc w:val="left"/>
            </w:pPr>
            <w:r>
              <w:t xml:space="preserve">高</w:t>
            </w:r>
          </w:p>
        </w:tc>
        <w:tc>
          <w:tcPr/>
          <w:p>
            <w:pPr>
              <w:pStyle w:val="Compact"/>
              <w:jc w:val="left"/>
            </w:pPr>
            <w:r>
              <w:rPr>
                <w:bCs/>
                <w:b/>
              </w:rPr>
              <w:t xml:space="preserve">严重</w:t>
            </w:r>
          </w:p>
        </w:tc>
        <w:tc>
          <w:tcPr/>
          <w:p>
            <w:pPr>
              <w:pStyle w:val="Compact"/>
              <w:jc w:val="left"/>
            </w:pPr>
            <w:r>
              <w:t xml:space="preserve">迁移前全面画像与清洗；自动化验证规则；ROT数据清除</w:t>
            </w:r>
          </w:p>
        </w:tc>
      </w:tr>
      <w:tr>
        <w:tc>
          <w:tcPr/>
          <w:p>
            <w:pPr>
              <w:pStyle w:val="Compact"/>
              <w:jc w:val="left"/>
            </w:pPr>
            <w:r>
              <w:t xml:space="preserve">数据丢失与损坏</w:t>
            </w:r>
          </w:p>
        </w:tc>
        <w:tc>
          <w:tcPr/>
          <w:p>
            <w:pPr>
              <w:pStyle w:val="Compact"/>
              <w:jc w:val="left"/>
            </w:pPr>
            <w:r>
              <w:t xml:space="preserve">高</w:t>
            </w:r>
          </w:p>
        </w:tc>
        <w:tc>
          <w:tcPr/>
          <w:p>
            <w:pPr>
              <w:pStyle w:val="Compact"/>
              <w:jc w:val="left"/>
            </w:pPr>
            <w:r>
              <w:t xml:space="preserve">高</w:t>
            </w:r>
          </w:p>
        </w:tc>
        <w:tc>
          <w:tcPr/>
          <w:p>
            <w:pPr>
              <w:pStyle w:val="Compact"/>
              <w:jc w:val="left"/>
            </w:pPr>
            <w:r>
              <w:rPr>
                <w:bCs/>
                <w:b/>
              </w:rPr>
              <w:t xml:space="preserve">严重</w:t>
            </w:r>
          </w:p>
        </w:tc>
        <w:tc>
          <w:tcPr/>
          <w:p>
            <w:pPr>
              <w:pStyle w:val="Compact"/>
              <w:jc w:val="left"/>
            </w:pPr>
            <w:r>
              <w:t xml:space="preserve">Checksum验证；自动协调报告；完整备份与回滚计划</w:t>
            </w:r>
            <w:r>
              <w:t xml:space="preserve"> </w:t>
            </w:r>
            <w:fldSimple w:instr="NOTEREF _Ref_Footnote_216 \h \f">
              <w:r>
                <w:rPr>
                  <w:vertAlign w:val="superscript"/>
                </w:rPr>
                <w:t>216</w:t>
              </w:r>
            </w:fldSimple>
          </w:p>
        </w:tc>
      </w:tr>
      <w:tr>
        <w:tc>
          <w:tcPr/>
          <w:p>
            <w:pPr>
              <w:pStyle w:val="Compact"/>
              <w:jc w:val="left"/>
            </w:pPr>
            <w:r>
              <w:t xml:space="preserve">用户抗拒与采纳失败</w:t>
            </w:r>
          </w:p>
        </w:tc>
        <w:tc>
          <w:tcPr/>
          <w:p>
            <w:pPr>
              <w:pStyle w:val="Compact"/>
              <w:jc w:val="left"/>
            </w:pPr>
            <w:r>
              <w:t xml:space="preserve">高</w:t>
            </w:r>
          </w:p>
        </w:tc>
        <w:tc>
          <w:tcPr/>
          <w:p>
            <w:pPr>
              <w:pStyle w:val="Compact"/>
              <w:jc w:val="left"/>
            </w:pPr>
            <w:r>
              <w:t xml:space="preserve">高</w:t>
            </w:r>
          </w:p>
        </w:tc>
        <w:tc>
          <w:tcPr/>
          <w:p>
            <w:pPr>
              <w:pStyle w:val="Compact"/>
              <w:jc w:val="left"/>
            </w:pPr>
            <w:r>
              <w:rPr>
                <w:bCs/>
                <w:b/>
              </w:rPr>
              <w:t xml:space="preserve">严重</w:t>
            </w:r>
          </w:p>
        </w:tc>
        <w:tc>
          <w:tcPr/>
          <w:p>
            <w:pPr>
              <w:pStyle w:val="Compact"/>
              <w:jc w:val="left"/>
            </w:pPr>
            <w:r>
              <w:t xml:space="preserve">ADKAR变更管理模型</w:t>
            </w:r>
            <w:r>
              <w:t xml:space="preserve"> </w:t>
            </w:r>
            <w:r>
              <w:rPr>
                <w:vertAlign w:val="superscript"/>
              </w:rPr>
              <w:footnoteReference w:id="235"/>
            </w:r>
            <w:r>
              <w:t xml:space="preserve">；WYSIWYG降低切换成本；超级用户培养</w:t>
            </w:r>
          </w:p>
        </w:tc>
      </w:tr>
      <w:tr>
        <w:tc>
          <w:tcPr/>
          <w:p>
            <w:pPr>
              <w:pStyle w:val="Compact"/>
              <w:jc w:val="left"/>
            </w:pPr>
            <w:r>
              <w:t xml:space="preserve">治理盲点</w:t>
            </w:r>
          </w:p>
        </w:tc>
        <w:tc>
          <w:tcPr/>
          <w:p>
            <w:pPr>
              <w:pStyle w:val="Compact"/>
              <w:jc w:val="left"/>
            </w:pPr>
            <w:r>
              <w:t xml:space="preserve">高</w:t>
            </w:r>
          </w:p>
        </w:tc>
        <w:tc>
          <w:tcPr/>
          <w:p>
            <w:pPr>
              <w:pStyle w:val="Compact"/>
              <w:jc w:val="left"/>
            </w:pPr>
            <w:r>
              <w:t xml:space="preserve">中</w:t>
            </w:r>
          </w:p>
        </w:tc>
        <w:tc>
          <w:tcPr/>
          <w:p>
            <w:pPr>
              <w:pStyle w:val="Compact"/>
              <w:jc w:val="left"/>
            </w:pPr>
            <w:r>
              <w:rPr>
                <w:bCs/>
                <w:b/>
              </w:rPr>
              <w:t xml:space="preserve">高</w:t>
            </w:r>
          </w:p>
        </w:tc>
        <w:tc>
          <w:tcPr/>
          <w:p>
            <w:pPr>
              <w:pStyle w:val="Compact"/>
              <w:jc w:val="left"/>
            </w:pPr>
            <w:r>
              <w:t xml:space="preserve">明确数据所有权；访问策略；保留计划</w:t>
            </w:r>
            <w:r>
              <w:t xml:space="preserve"> </w:t>
            </w:r>
            <w:fldSimple w:instr="NOTEREF _Ref_Footnote_224 \h \f">
              <w:r>
                <w:rPr>
                  <w:vertAlign w:val="superscript"/>
                </w:rPr>
                <w:t>224</w:t>
              </w:r>
            </w:fldSimple>
          </w:p>
        </w:tc>
      </w:tr>
      <w:tr>
        <w:tc>
          <w:tcPr/>
          <w:p>
            <w:pPr>
              <w:pStyle w:val="Compact"/>
              <w:jc w:val="left"/>
            </w:pPr>
            <w:r>
              <w:t xml:space="preserve">安全与合规违规</w:t>
            </w:r>
          </w:p>
        </w:tc>
        <w:tc>
          <w:tcPr/>
          <w:p>
            <w:pPr>
              <w:pStyle w:val="Compact"/>
              <w:jc w:val="left"/>
            </w:pPr>
            <w:r>
              <w:t xml:space="preserve">中（31%迁移受影响）</w:t>
            </w:r>
            <w:fldSimple w:instr="NOTEREF _Ref_Footnote_216 \h \f">
              <w:r>
                <w:rPr>
                  <w:vertAlign w:val="superscript"/>
                </w:rPr>
                <w:t>216</w:t>
              </w:r>
            </w:fldSimple>
          </w:p>
        </w:tc>
        <w:tc>
          <w:tcPr/>
          <w:p>
            <w:pPr>
              <w:pStyle w:val="Compact"/>
              <w:jc w:val="left"/>
            </w:pPr>
            <w:r>
              <w:t xml:space="preserve">高</w:t>
            </w:r>
          </w:p>
        </w:tc>
        <w:tc>
          <w:tcPr/>
          <w:p>
            <w:pPr>
              <w:pStyle w:val="Compact"/>
              <w:jc w:val="left"/>
            </w:pPr>
            <w:r>
              <w:rPr>
                <w:bCs/>
                <w:b/>
              </w:rPr>
              <w:t xml:space="preserve">高</w:t>
            </w:r>
          </w:p>
        </w:tc>
        <w:tc>
          <w:tcPr/>
          <w:p>
            <w:pPr>
              <w:pStyle w:val="Compact"/>
              <w:jc w:val="left"/>
            </w:pPr>
            <w:r>
              <w:t xml:space="preserve">TLS/SSL传输加密；AES-256静态加密；RBAC权限控制</w:t>
            </w:r>
          </w:p>
        </w:tc>
      </w:tr>
      <w:tr>
        <w:tc>
          <w:tcPr/>
          <w:p>
            <w:pPr>
              <w:pStyle w:val="Compact"/>
              <w:jc w:val="left"/>
            </w:pPr>
            <w:r>
              <w:t xml:space="preserve">延长停机</w:t>
            </w:r>
          </w:p>
        </w:tc>
        <w:tc>
          <w:tcPr/>
          <w:p>
            <w:pPr>
              <w:pStyle w:val="Compact"/>
              <w:jc w:val="left"/>
            </w:pPr>
            <w:r>
              <w:t xml:space="preserve">中</w:t>
            </w:r>
          </w:p>
        </w:tc>
        <w:tc>
          <w:tcPr/>
          <w:p>
            <w:pPr>
              <w:pStyle w:val="Compact"/>
              <w:jc w:val="left"/>
            </w:pPr>
            <w:r>
              <w:t xml:space="preserve">高</w:t>
            </w:r>
          </w:p>
        </w:tc>
        <w:tc>
          <w:tcPr/>
          <w:p>
            <w:pPr>
              <w:pStyle w:val="Compact"/>
              <w:jc w:val="left"/>
            </w:pPr>
            <w:r>
              <w:rPr>
                <w:bCs/>
                <w:b/>
              </w:rPr>
              <w:t xml:space="preserve">高</w:t>
            </w:r>
          </w:p>
        </w:tc>
        <w:tc>
          <w:tcPr/>
          <w:p>
            <w:pPr>
              <w:pStyle w:val="Compact"/>
              <w:jc w:val="left"/>
            </w:pPr>
            <w:r>
              <w:t xml:space="preserve">增量/并行迁移；历史使用分析确定最佳窗口</w:t>
            </w:r>
            <w:r>
              <w:t xml:space="preserve"> </w:t>
            </w:r>
            <w:r>
              <w:rPr>
                <w:vertAlign w:val="superscript"/>
              </w:rPr>
              <w:footnoteReference w:id="236"/>
            </w:r>
          </w:p>
        </w:tc>
      </w:tr>
      <w:tr>
        <w:tc>
          <w:tcPr/>
          <w:p>
            <w:pPr>
              <w:pStyle w:val="Compact"/>
              <w:jc w:val="left"/>
            </w:pPr>
            <w:r>
              <w:t xml:space="preserve">范围蔓延</w:t>
            </w:r>
          </w:p>
        </w:tc>
        <w:tc>
          <w:tcPr/>
          <w:p>
            <w:pPr>
              <w:pStyle w:val="Compact"/>
              <w:jc w:val="left"/>
            </w:pPr>
            <w:r>
              <w:t xml:space="preserve">中</w:t>
            </w:r>
          </w:p>
        </w:tc>
        <w:tc>
          <w:tcPr/>
          <w:p>
            <w:pPr>
              <w:pStyle w:val="Compact"/>
              <w:jc w:val="left"/>
            </w:pPr>
            <w:r>
              <w:t xml:space="preserve">高</w:t>
            </w:r>
          </w:p>
        </w:tc>
        <w:tc>
          <w:tcPr/>
          <w:p>
            <w:pPr>
              <w:pStyle w:val="Compact"/>
              <w:jc w:val="left"/>
            </w:pPr>
            <w:r>
              <w:rPr>
                <w:bCs/>
                <w:b/>
              </w:rPr>
              <w:t xml:space="preserve">高</w:t>
            </w:r>
          </w:p>
        </w:tc>
        <w:tc>
          <w:tcPr/>
          <w:p>
            <w:pPr>
              <w:pStyle w:val="Compact"/>
              <w:jc w:val="left"/>
            </w:pPr>
            <w:r>
              <w:t xml:space="preserve">明确范围文档；变更控制流程；阶段门控</w:t>
            </w:r>
            <w:r>
              <w:t xml:space="preserve"> </w:t>
            </w:r>
            <w:r>
              <w:rPr>
                <w:vertAlign w:val="superscript"/>
              </w:rPr>
              <w:footnoteReference w:id="237"/>
            </w:r>
          </w:p>
        </w:tc>
      </w:tr>
      <w:tr>
        <w:tc>
          <w:tcPr/>
          <w:p>
            <w:pPr>
              <w:pStyle w:val="Compact"/>
              <w:jc w:val="left"/>
            </w:pPr>
            <w:r>
              <w:t xml:space="preserve">模式不匹配/格式兼容</w:t>
            </w:r>
          </w:p>
        </w:tc>
        <w:tc>
          <w:tcPr/>
          <w:p>
            <w:pPr>
              <w:pStyle w:val="Compact"/>
              <w:jc w:val="left"/>
            </w:pPr>
            <w:r>
              <w:t xml:space="preserve">中</w:t>
            </w:r>
          </w:p>
        </w:tc>
        <w:tc>
          <w:tcPr/>
          <w:p>
            <w:pPr>
              <w:pStyle w:val="Compact"/>
              <w:jc w:val="left"/>
            </w:pPr>
            <w:r>
              <w:t xml:space="preserve">中</w:t>
            </w:r>
          </w:p>
        </w:tc>
        <w:tc>
          <w:tcPr/>
          <w:p>
            <w:pPr>
              <w:pStyle w:val="Compact"/>
              <w:jc w:val="left"/>
            </w:pPr>
            <w:r>
              <w:rPr>
                <w:bCs/>
                <w:b/>
              </w:rPr>
              <w:t xml:space="preserve">中</w:t>
            </w:r>
          </w:p>
        </w:tc>
        <w:tc>
          <w:tcPr/>
          <w:p>
            <w:pPr>
              <w:pStyle w:val="Compact"/>
              <w:jc w:val="left"/>
            </w:pPr>
            <w:r>
              <w:t xml:space="preserve">预先模式分析；Pandoc+Docling多工具互补转换测试</w:t>
            </w:r>
            <w:r>
              <w:t xml:space="preserve"> </w:t>
            </w:r>
            <w:r>
              <w:rPr>
                <w:vertAlign w:val="superscript"/>
              </w:rPr>
              <w:footnoteReference w:id="238"/>
            </w:r>
          </w:p>
        </w:tc>
      </w:tr>
      <w:tr>
        <w:tc>
          <w:tcPr/>
          <w:p>
            <w:pPr>
              <w:pStyle w:val="Compact"/>
              <w:jc w:val="left"/>
            </w:pPr>
            <w:r>
              <w:t xml:space="preserve">集成失败</w:t>
            </w:r>
          </w:p>
        </w:tc>
        <w:tc>
          <w:tcPr/>
          <w:p>
            <w:pPr>
              <w:pStyle w:val="Compact"/>
              <w:jc w:val="left"/>
            </w:pPr>
            <w:r>
              <w:t xml:space="preserve">中</w:t>
            </w:r>
          </w:p>
        </w:tc>
        <w:tc>
          <w:tcPr/>
          <w:p>
            <w:pPr>
              <w:pStyle w:val="Compact"/>
              <w:jc w:val="left"/>
            </w:pPr>
            <w:r>
              <w:t xml:space="preserve">中</w:t>
            </w:r>
          </w:p>
        </w:tc>
        <w:tc>
          <w:tcPr/>
          <w:p>
            <w:pPr>
              <w:pStyle w:val="Compact"/>
              <w:jc w:val="left"/>
            </w:pPr>
            <w:r>
              <w:rPr>
                <w:bCs/>
                <w:b/>
              </w:rPr>
              <w:t xml:space="preserve">中</w:t>
            </w:r>
          </w:p>
        </w:tc>
        <w:tc>
          <w:tcPr/>
          <w:p>
            <w:pPr>
              <w:pStyle w:val="Compact"/>
              <w:jc w:val="left"/>
            </w:pPr>
            <w:r>
              <w:t xml:space="preserve">依赖关系映射；API兼容性测试；中间件层</w:t>
            </w:r>
            <w:r>
              <w:t xml:space="preserve"> </w:t>
            </w:r>
            <w:fldSimple w:instr="NOTEREF _Ref_Footnote_233 \h \f">
              <w:r>
                <w:rPr>
                  <w:vertAlign w:val="superscript"/>
                </w:rPr>
                <w:t>233</w:t>
              </w:r>
            </w:fldSimple>
          </w:p>
        </w:tc>
      </w:tr>
      <w:tr>
        <w:tc>
          <w:tcPr/>
          <w:p>
            <w:pPr>
              <w:pStyle w:val="Compact"/>
              <w:jc w:val="left"/>
            </w:pPr>
            <w:r>
              <w:t xml:space="preserve">技能不足</w:t>
            </w:r>
          </w:p>
        </w:tc>
        <w:tc>
          <w:tcPr/>
          <w:p>
            <w:pPr>
              <w:pStyle w:val="Compact"/>
              <w:jc w:val="left"/>
            </w:pPr>
            <w:r>
              <w:t xml:space="preserve">中</w:t>
            </w:r>
          </w:p>
        </w:tc>
        <w:tc>
          <w:tcPr/>
          <w:p>
            <w:pPr>
              <w:pStyle w:val="Compact"/>
              <w:jc w:val="left"/>
            </w:pPr>
            <w:r>
              <w:t xml:space="preserve">中</w:t>
            </w:r>
          </w:p>
        </w:tc>
        <w:tc>
          <w:tcPr/>
          <w:p>
            <w:pPr>
              <w:pStyle w:val="Compact"/>
              <w:jc w:val="left"/>
            </w:pPr>
            <w:r>
              <w:rPr>
                <w:bCs/>
                <w:b/>
              </w:rPr>
              <w:t xml:space="preserve">中</w:t>
            </w:r>
          </w:p>
        </w:tc>
        <w:tc>
          <w:tcPr/>
          <w:p>
            <w:pPr>
              <w:pStyle w:val="Compact"/>
              <w:jc w:val="left"/>
            </w:pPr>
            <w:r>
              <w:t xml:space="preserve">分层培训策略</w:t>
            </w:r>
            <w:r>
              <w:t xml:space="preserve"> </w:t>
            </w:r>
            <w:r>
              <w:rPr>
                <w:vertAlign w:val="superscript"/>
              </w:rPr>
              <w:footnoteReference w:id="239"/>
            </w:r>
            <w:r>
              <w:t xml:space="preserve">；外部专家；分阶段能力建设</w:t>
            </w:r>
            <w:r>
              <w:t xml:space="preserve"> </w:t>
            </w:r>
            <w:r>
              <w:rPr>
                <w:vertAlign w:val="superscript"/>
              </w:rPr>
              <w:footnoteReference w:id="240"/>
            </w:r>
          </w:p>
        </w:tc>
      </w:tr>
    </w:tbl>
    <w:p>
      <w:pPr>
        <w:pStyle w:val="BodyText"/>
      </w:pPr>
      <w:r>
        <w:t xml:space="preserve">上述风险矩阵中，前四项（数据质量、数据丢失、用户抗拒、治理盲点）构成项目失败的主要威胁群。数据质量问题影响84%的企业迁移</w:t>
      </w:r>
      <w:r>
        <w:t xml:space="preserve"> </w:t>
      </w:r>
      <w:fldSimple w:instr="NOTEREF _Ref_Footnote_216 \h \f">
        <w:r>
          <w:rPr>
            <w:vertAlign w:val="superscript"/>
          </w:rPr>
          <w:t>216</w:t>
        </w:r>
      </w:fldSimple>
      <w:r>
        <w:t xml:space="preserve">，其根本原因在于企业长期积累的历史文档格式混乱、扫描件比例高、元数据不一致。缓解的核心在于将清洗预算提升至项目总成本的30-50%</w:t>
      </w:r>
      <w:r>
        <w:t xml:space="preserve"> </w:t>
      </w:r>
      <w:fldSimple w:instr="NOTEREF _Ref_Footnote_217 \h \f">
        <w:r>
          <w:rPr>
            <w:vertAlign w:val="superscript"/>
          </w:rPr>
          <w:t>217</w:t>
        </w:r>
      </w:fldSimple>
      <w:r>
        <w:t xml:space="preserve">，并在五阶段模型的评估阶段投入足够时间建立精确的数据基线。用户抗拒的风险可通过Prosci ADKAR模型系统管理——该框架包含认知（Awareness）、意愿（Desire）、知识（Knowledge）、能力（Ability）、强化（Reinforcement）五个构建要素</w:t>
      </w:r>
      <w:r>
        <w:t xml:space="preserve"> </w:t>
      </w:r>
      <w:fldSimple w:instr="NOTEREF _Ref_Footnote_235 \h \f">
        <w:r>
          <w:rPr>
            <w:vertAlign w:val="superscript"/>
          </w:rPr>
          <w:t>235</w:t>
        </w:r>
      </w:fldSimple>
      <w:r>
        <w:t xml:space="preserve">，配合”培训培训师”模式与分角色定制化培训（内容作者侧重格式规范、终端用户侧重搜索技巧、IT管理员侧重系统配置）</w:t>
      </w:r>
      <w:fldSimple w:instr="NOTEREF _Ref_Footnote_239 \h \f">
        <w:r>
          <w:rPr>
            <w:vertAlign w:val="superscript"/>
          </w:rPr>
          <w:t>239</w:t>
        </w:r>
      </w:fldSimple>
      <w:r>
        <w:t xml:space="preserve">加以缓解。</w:t>
      </w:r>
    </w:p>
    <w:bookmarkEnd w:id="170"/>
    <w:bookmarkStart w:id="171" w:name="成功指标"/>
    <w:p>
      <w:pPr>
        <w:pStyle w:val="Heading4"/>
      </w:pPr>
      <w:r>
        <w:t xml:space="preserve">9.3.2 成功指标</w:t>
      </w:r>
    </w:p>
    <w:p>
      <w:pPr>
        <w:pStyle w:val="FirstParagraph"/>
      </w:pPr>
      <w:r>
        <w:t xml:space="preserve">迁移成功的度量体系分为效率、质量、覆盖与采纳四大类</w:t>
      </w:r>
      <w:r>
        <w:t xml:space="preserve"> </w:t>
      </w:r>
      <w:fldSimple w:instr="NOTEREF _Ref_Footnote_25 \h \f">
        <w:r>
          <w:rPr>
            <w:vertAlign w:val="superscript"/>
          </w:rPr>
          <w:t>25</w:t>
        </w:r>
      </w:fldSimple>
      <w:r>
        <w:t xml:space="preserve">。以下是核心目标指标及其实证基准：</w:t>
      </w:r>
    </w:p>
    <w:p>
      <w:pPr>
        <w:pStyle w:val="BodyText"/>
      </w:pPr>
      <w:r>
        <w:rPr>
          <w:bCs/>
          <w:b/>
        </w:rPr>
        <w:t xml:space="preserve">效率类指标</w:t>
      </w:r>
      <w:r>
        <w:t xml:space="preserve">方面，信息检索时间从当前平均9分钟降至47秒，已在某全球IT服务企业验证可行——该企业部署RAG-powered Knowledge Assistant后，300余名支持代理的搜索时间实现此量级缩减</w:t>
      </w:r>
      <w:r>
        <w:t xml:space="preserve"> </w:t>
      </w:r>
      <w:fldSimple w:instr="NOTEREF _Ref_Footnote_30 \h \f">
        <w:r>
          <w:rPr>
            <w:vertAlign w:val="superscript"/>
          </w:rPr>
          <w:t>30</w:t>
        </w:r>
      </w:fldSimple>
      <w:r>
        <w:t xml:space="preserve">。内容创建时间目标为减少50%，已在Microsoft Docs和GitHub Copilot Documentation Agent场景中得到验证</w:t>
      </w:r>
      <w:r>
        <w:t xml:space="preserve"> </w:t>
      </w:r>
      <w:fldSimple w:instr="NOTEREF _Ref_Footnote_190 \h \f">
        <w:r>
          <w:rPr>
            <w:vertAlign w:val="superscript"/>
          </w:rPr>
          <w:t>190</w:t>
        </w:r>
      </w:fldSimple>
      <w:r>
        <w:t xml:space="preserve">。</w:t>
      </w:r>
      <w:r>
        <w:rPr>
          <w:bCs/>
          <w:b/>
        </w:rPr>
        <w:t xml:space="preserve">ROI类指标</w:t>
      </w:r>
      <w:r>
        <w:t xml:space="preserve">方面，中型制造商在第1年可实现86%的ROI，到第2年累计ROI达173%</w:t>
      </w:r>
      <w:r>
        <w:t xml:space="preserve"> </w:t>
      </w:r>
      <w:fldSimple w:instr="NOTEREF _Ref_Footnote_33 \h \f">
        <w:r>
          <w:rPr>
            <w:vertAlign w:val="superscript"/>
          </w:rPr>
          <w:t>33</w:t>
        </w:r>
      </w:fldSimple>
      <w:r>
        <w:t xml:space="preserve">；更广泛的500人知识工作者组织中，AI知识管理年度节省可达$22.83M，投资回收期不到6个月，18个月ROI达3.7x</w:t>
      </w:r>
      <w:r>
        <w:t xml:space="preserve"> </w:t>
      </w:r>
      <w:fldSimple w:instr="NOTEREF _Ref_Footnote_29 \h \f">
        <w:r>
          <w:rPr>
            <w:vertAlign w:val="superscript"/>
          </w:rPr>
          <w:t>29</w:t>
        </w:r>
      </w:fldSimple>
      <w:r>
        <w:t xml:space="preserve">。</w:t>
      </w:r>
      <w:r>
        <w:rPr>
          <w:bCs/>
          <w:b/>
        </w:rPr>
        <w:t xml:space="preserve">采纳率指标</w:t>
      </w:r>
      <w:r>
        <w:t xml:space="preserve">方面，有适当变更管理的AI知识系统在6个月时平均采纳率达85%，而缺乏变更管理的传统企业搜索实施仅为34%——差距约2.5倍</w:t>
      </w:r>
      <w:r>
        <w:t xml:space="preserve"> </w:t>
      </w:r>
      <w:fldSimple w:instr="NOTEREF _Ref_Footnote_29 \h \f">
        <w:r>
          <w:rPr>
            <w:vertAlign w:val="superscript"/>
          </w:rPr>
          <w:t>29</w:t>
        </w:r>
      </w:fldSimple>
      <w:r>
        <w:t xml:space="preserve">。本方案设定6个月采纳率&gt;70%、12个月&gt;85%的双阶段目标。</w:t>
      </w:r>
      <w:r>
        <w:rPr>
          <w:bCs/>
          <w:b/>
        </w:rPr>
        <w:t xml:space="preserve">质量类指标</w:t>
      </w:r>
      <w:r>
        <w:t xml:space="preserve">方面，RAG回答准确率目标&gt;85%（基于结构感知分块87%准确率基线</w:t>
      </w:r>
      <w:r>
        <w:t xml:space="preserve"> </w:t>
      </w:r>
      <w:fldSimple w:instr="NOTEREF _Ref_Footnote_8 \h \f">
        <w:r>
          <w:rPr>
            <w:vertAlign w:val="superscript"/>
          </w:rPr>
          <w:t>8</w:t>
        </w:r>
      </w:fldSimple>
      <w:r>
        <w:t xml:space="preserve">），内容可靠性评分目标每季度20-30%的知识项目被审查或更新</w:t>
      </w:r>
      <w:r>
        <w:t xml:space="preserve"> </w:t>
      </w:r>
      <w:fldSimple w:instr="NOTEREF _Ref_Footnote_234 \h \f">
        <w:r>
          <w:rPr>
            <w:vertAlign w:val="superscript"/>
          </w:rPr>
          <w:t>234</w:t>
        </w:r>
      </w:fldSimple>
      <w:r>
        <w:t xml:space="preserve">。</w:t>
      </w:r>
    </w:p>
    <w:p>
      <w:pPr>
        <w:pStyle w:val="BodyText"/>
      </w:pPr>
      <w:r>
        <w:t xml:space="preserve">需要特别指出的是，上述指标的成功达成不仅依赖技术实现，更依赖组织变革管理。知识管理实施失败的学术研究识别出六大根本原因：缺乏绩效指标和可衡量收益、管理层支持不足、规划设计不当、技能不足、组织文化问题、组织结构不当</w:t>
      </w:r>
      <w:r>
        <w:t xml:space="preserve"> </w:t>
      </w:r>
      <w:fldSimple w:instr="NOTEREF _Ref_Footnote_240 \h \f">
        <w:r>
          <w:rPr>
            <w:vertAlign w:val="superscript"/>
          </w:rPr>
          <w:t>240</w:t>
        </w:r>
      </w:fldSimple>
      <w:r>
        <w:t xml:space="preserve">。IBM知识型组织研究所进一步指出，过度强调正式学习而忽略将知识管理连接到个人日常工作活动，是知识管理推进受阻的重要路障</w:t>
      </w:r>
      <w:r>
        <w:t xml:space="preserve"> </w:t>
      </w:r>
      <w:fldSimple w:instr="NOTEREF _Ref_Footnote_240 \h \f">
        <w:r>
          <w:rPr>
            <w:vertAlign w:val="superscript"/>
          </w:rPr>
          <w:t>240</w:t>
        </w:r>
      </w:fldSimple>
      <w:r>
        <w:t xml:space="preserve">。因此，建议企业在实施全过程中采用”文档即代码”（Docs as Code）理念</w:t>
      </w:r>
      <w:r>
        <w:t xml:space="preserve"> </w:t>
      </w:r>
      <w:fldSimple w:instr="NOTEREF _Ref_Footnote_189 \h \f">
        <w:r>
          <w:rPr>
            <w:vertAlign w:val="superscript"/>
          </w:rPr>
          <w:t>189</w:t>
        </w:r>
      </w:fldSimple>
      <w:r>
        <w:t xml:space="preserve"> </w:t>
      </w:r>
      <w:fldSimple w:instr="NOTEREF _Ref_Footnote_186 \h \f">
        <w:r>
          <w:rPr>
            <w:vertAlign w:val="superscript"/>
          </w:rPr>
          <w:t>186</w:t>
        </w:r>
      </w:fldSimple>
      <w:r>
        <w:t xml:space="preserve">——将文档管理嵌入工程师熟悉的Git工作流——同时为非技术用户提供飞书等熟悉的WYSIWYG编辑体验，在两种范式之间通过Markdown SSOT实现无缝桥接，最终使文档管理成为日常工作的自然组成部分，而非额外的管理负担。</w:t>
      </w:r>
    </w:p>
    <w:p>
      <w:r>
        <w:pict>
          <v:rect style="width:0;height:1.5pt" o:hralign="center" o:hrstd="t" o:hr="t"/>
        </w:pict>
      </w:r>
    </w:p>
    <w:bookmarkEnd w:id="171"/>
    <w:bookmarkEnd w:id="172"/>
    <w:bookmarkEnd w:id="173"/>
    <w:bookmarkEnd w:id="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https://arxiv.org/html/2606.05658v1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Redis. https://redis.io/blog/chunking-strategy-rag-pipelines/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Boundev. https://www.boundev.ai/blog/docker-pandoc-documentation-automation</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https://github.com/BetaStreetOmnis/EasyRAG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飞书. https://www.feishu.cn/content/article/7644456827538820052</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火山引擎 ADG 社区. https://adg.csdn.net/696f479d437a6b403369e081.html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PatSnap. https://www.patsnap.com/resources/blog/rd-blog/rag-chunking-strategy-answer-accuracy-patsnap-eureka/</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youngju.dev. https://www.youngju.dev/blog/llm/2026-03-04-llm-rag-chunking-embedding-optimization-2026.en</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arXiv.org. https://arxiv.org/abs/2512.05411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https://arxiv.org/html/2512.05411</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aibuilderclub.com. https://www.aibuilderclub.com/blog/markitdown-microsoft-convert-files-markdown-llm</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procycons.com. https://procycons.com/en/blogs/pdf-data-extraction-benchmark/</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ijcmi.in. https://ijcmi.in/index.php/ijcmi/article/view/65</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arXiv.org. https://arxiv.org/html/2510.03663v3</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spheron.network. https://www.spheron.network/blog/colpali-multimodal-document-rag-gpu-cloud/</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라온피플. https://laonpeople.com/en/blog/colpali-ending-the-frustration-of-pdf-search/</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avaya.com. https://www.avaya.com/content/dam/aem-avaya-portal/en_us/documents/wp-mcp-status-report-mis16053en.pdf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rickxie.cn. https://rickxie.cn/blog/MCP/</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Github. https://github.com/wonderwhy-er/DesktopCommanderMCP</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全球MCP Server集合平台 | AIbase. https://mcp.aibase.com/server/1916355294287339522</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https://arxiv.org/html/2603.22489v1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arXiv.org. https://arxiv.org/html/2605.16471v1</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CS-Cart. https://www.cs-cart.com/blog/total-cost-of-ownership-ecommerce-software/</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toolkitcafe.com. https://toolkitcafe.com/blog/total-cost-ownership-excel-template-free-download</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Le Blog de Smart Tribune. https://blog.smart-tribune.com/en/knowledge-management-metrics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阿里云帮助中心. https://help.aliyun.com/zh/model-studio/rag-knowledge-base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maxkb.cn. https://www.maxkb.cn/</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RudderStack. https://www.rudderstack.com/blog/data-migration-process/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clarityarc.com. https://www.clarityarc.com/intelligent-knowledge-systems/knowledge-management-ai-roi</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Signity Solutions. https://www.signitysolutions.com/blog/metrics-to-evaluate-the-roi-of-enterprise-knowledge-assistants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glitter.io. https://www.glitter.io/blog/knowledge-sharing/knowledge-sharing-metrics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vorecol.com. https://vorecol.com/blogs/blog-measuring-the-roi-of-knowledge-management-software-metrics-and-strategies-166774</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manual.to. https://manual.to/the-paper-to-digital-sop-playbook/</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xiaohuanxiong.com. https://xiaohuanxiong.com/post/28604.html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Velocity Teams. https://downloadchaos.com/blog/best-markdown-editors-2024</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Preserve Formatting. https://www.markdown-to-word.online/markdown-editors-comparison/</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firecrawl.dev. https://www.firecrawl.dev/blog/best-pdf-parsers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Artificial Intelligence in Plain English. https://ai.plainenglish.io/essential-document-parsing-tools-for-2025-786f55db86e3</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Github. https://github.com/LianjiaTech/bella-domify</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硬地骇客. https://www.xiaoyuzhoufm.com/episode/6602cb492d9eae5d0a2e6cc0</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CSDN博客. https://blog.csdn.net/gitblog_01022/article/details/151047178</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buildwithfern.com. https://buildwithfern.com/post/how-to-write-llm-friendly-documentation</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Gitee. https://gitee.com/Freya0016/X2Knowledge</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Worktile. https://worktile.com/insights/s7bpq916jnjwlcvhh3hhi0hz</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firecrawl.dev. https://www.firecrawl.dev/pricing</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Alibaba Cloud. https://www.alibabacloud.com/help/zh/model-studio/rag-knowledge-base</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synvestable.com. https://www.synvestable.com/human-in-the-loop.html</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Web2MD. https://web2md.org/blog/markdown-vs-html-for-llm</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AlterLab. https://alterlab.io/blog/rag-pipelines-why-markdown-extraction-beats-html-for-token-efficiency</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Ekamoira. https://www.ekamoira.com/blog/how-to-serve-markdown-to-ai-crawlers-content-negotiation-token-economics-guide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Bright Coding - Blog pour les developpeurs. https://blog.brightcoding.dev/2025/11/14/the-ultimate-guide-to-plugin-driven-wysiwyg-markdown-editors-why-milkdown-is-revolutionizing-content-creation-and-how-to-keep-it-secure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LogRocket Blog. https://blog.logrocket.com/comparing-milkdown-other-wysiwyg-editors/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SkillBoss. https://www.skillboss.co/use/firecrawl-scrape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generative-ai-newsroom.com. https://generative-ai-newsroom.com/wrangling-messy-documents-with-coding-agents-196b9b8e8959</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微信公众号(老刘说NLP). http://mp.weixin.qq.com/s?__biz=MzAxMjc3MjkyMg==&amp;mid=2648419851&amp;idx=1&amp;sn=4184e68391fc4ee6d73ee2a160c712c3</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firecrawl.dev. https://www.firecrawl.dev/blog/ai-powered-data-retrieval</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Lark. https://www.larksuite.com/zh_cn/blog/documentation-sop</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Nimbalyst. https://nimbalyst.com/blog/best-markdown-editors-for-developers-a-technical-deep-dive/</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baklib.com. https://www.baklib.com/hub/px/46128</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babel.cc. https://www.babel.cc/blog/?p=6963</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SegmentFault 思否. https://segmentfault.com/a/1190000046987375</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51CTO. https://www.51cto.com/article/706766.html</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https://arxiv.org/pdf/2501.17887v1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稀土掘金. https://juejin.cn/post/7617680395544264719</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volcengine.com. https://developer.volcengine.com/articles/7592553415101251590</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Slack. https://slack.com/blog/productivity/standard-operating-procedure-templates-why-theyre-important-and-how-to-create-one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primaconsulting.org. https://primaconsulting.org/sop-standardization-best-practices/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helplook.net. https://www.helplook.net/blog/docs/13-Most-Popular-Tools-for-Technical-Writing</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Github. https://github.com/datalab-to/marker</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firecrawl.dev. https://www.firecrawl.dev/blog/best-chunking-strategies-rag</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CallSphere. https://callsphere.ai/blog/document-chunking-strategies-rag-fixed-semantic-recursive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langchain.com.cn. https://python.langchain.com.cn/docs/modules/data_connection/document_transformers/text_splitters/markdown_header_metadata</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CSDN博客. https://blog.csdn.net/gitblog_00827/article/details/153758110</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datascientist.fr. https://datascientist.fr/en/blog/llamaparse-vs-unstructured-rag</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博客园. https://www.cnblogs.com/lightsong?page=3</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arXiv.org. https://arxiv.org/html/2511.14010v2</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MyEngineerPath. https://myengineeringpath.dev/genai-engineer/rag-chunking/</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langchain.js. https://reference.langchain.com/v0.3/python/text_splitters/markdown/langchain_text_splitters.markdown.MarkdownHeaderTextSplitter.html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ONES. https://ones.com/blog/10-best-self-hosted-platforms-with-built-in-cicd-integration-for-on-premises-deployment/</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databricks.com. https://community.databricks.com/t5/technical-blog/the-ultimate-guide-to-chunking-strategies-for-rag-applications/ba-p/113089</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anythingmd.com. https://anythingmd.com/blog/document-conversion-best-practices-ai-applications</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Rise Above It All. https://www.waymakeros.com/documents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arXiv.org. https://arxiv.org/html/2605.25030v1</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vt.edu. https://people.cs.vt.edu/naren/papers/ecir-metadata-2026.pdf</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arXiv.org. https://arxiv.org/html/2601.11863v1</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itilfromexperience.com. http://www.itilfromexperience.com/Why+a+process+to+maintain+standard+changes+should+be+implemented</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Umbrex Consulting. https://umbrex.com/industries/life-sciences/biotechnology-practice/generative-ai-copilots-for-cmc-and-quality/</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unstructured.io. https://unstructured.io/insights/how-to-use-metadata-in-rag-for-better-contextual-results</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Redis. https://redis.io/blog/hybrid-search-benefits-rag-systems/</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nemorize.com. https://nemorize.com/roadmaps/2026-modern-ai-search-rag-roadmap/lessons/metadata-filtering</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Features, Pricing &amp; Reviews | Listicler. https://listicler.com/best/best-vector-databases-metadata-filtering</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Top Chartered Accountant Firm. https://www.bilimoriamehta.in/blogs/importance-of-raci-matrix-in-sop</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particula.tech. https://particula.tech/blog/update-rag-knowledge-without-rebuilding</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arXiv.org. https://arxiv.org/pdf/2508.05666?</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PyData Berlin. https://berlin.pydata.org/conferences/2025/GQBX3J.html</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稀土掘金. https://juejin.cn/post/7644357898580901926</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Emergent Mind. https://www.emergentmind.com/topics/omnidocbench</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Github. https://github.com/opendataloader-project/opendataloader-pdf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Github. https://github.com/DavidWells/stars/blob/master/stars/microsoft/markitdown.md</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skywork.ai. https://skywork.ai/skypage/en/korigamik-markitdown-ai-tool/1978662785456054272</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AdwaitX. https://www.adwaitx.com/microsoft-markitdown-document-to-markdown-converter/</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yage.ai. https://yage.ai/share/markitdown-survey-en-20260412.html</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Github. https://github.com/opendataloader-project/opendataloader-pdf/blob/main/README.md</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docling-project.github.io. https://docling-project.github.io/docling/concepts/docling_document/</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Github. https://github.com/DS4SD/docling-core</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Github. https://github.com/docling-project/docling-core/issues/508</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skywork.ai. https://skywork.ai/skypage/en/docling-mcp-server-agentic-processing/1979013301541314560</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Github. https://github.com/docling-project/docling</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02. https://idp-software.com/vendors/docling/</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kdjingpai.com. https://www.kdjingpai.com/agentic-chunking/</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Weaviate. https://weaviate.io/blog/chunking-strategies-for-rag</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The Menon Lab. https://themenonlab.blog/blog/best-open-source-pdf-to-markdown-tools-2026</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qucosa.de. https://htwk-leipzig.qucosa.de/api/qucosa:97937/attachment/ATT-0/</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gen-ai.fr. https://gen-ai.fr/en/blog/atelier/large-language-model-en/retrieval-augmented-generation-extract-text-images-pdf/</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Bing. https://www.bing.com/ck/a?!=&amp;fclid=15d101bd-dbee-63b6-1df6-17bfda016208&amp;hsh=4&amp;ntb=1&amp;p=f92356f77367d08792e3bdefedcb62bb23bfd653047e8544f8e56fc5595faca7JmltdHM9MTc0ODk5NTIwMA&amp;ptn=3&amp;u=a1aHR0cHM6Ly9naXRodWIuY29tL1Zpa1BhcnVjaHVyaS9tYXJrZXI&amp;ver=2</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Intelligence artificielle. https://ianas.fr/en/blog/2026/05/16/parsing-pdf-rag-extraction-documents/</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CatalyzeX. https://www.catalyzex.com/author/Zhiyuan%20Zhao</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arXiv.org. https://arxiv.org/pdf/2604.04771</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Github. https://github.com/opendatalab/mineru</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railway.com. https://railway.com/deploy/mineru</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KMInstitute. https://www.kminstitute.org/blog/identifying-kpis-for-your-knowledge-management-program</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NeuroHive. https://neurohive.io/en/state-of-the-art/mineru-diffusion-a-new-approach-to-ocr-via-diffusion-decoding-speeds-up-pdf-parsing-3-without-accuracy-loss/</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博客园. https://www.cnblogs.com/brand2026/p/19298485</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gitcode.com. https://blog.gitcode.com/17d87961925a56d19eda1f8958265c79.html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CSDN博客. https://blog.csdn.net/gitblog_00561/article/details/155991282</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moldstud.com. https://moldstud.com/articles/p-the-importance-of-monitoring-in-etl-batch-processing-systems-enhancing-data-integrity-and-efficiency</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Belitsoft. https://belitsoft.com/net-framework-to-net-core</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kodiakhub.com. https://www.kodiakhub.com/blog/vendor-selection-framework</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playbooks.com. https://playbooks.com/skills/existential-birds/beagle/docling</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Github. https://github.com/orgs/opendataloader-project/repositories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Morningstar. https://www.morningstar.com/news/pr-newswire/20260313cn09514/hancom-tops-open-source-pdf-benchmarks-with-opendataloader-pdf-v20</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OCR Technology | deepseekocr.io. https://deepseekocr.io/en/paddleocr-vl-1-5</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Emelia. https://emelia.io/hub/opendataloader-pdf-review</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PR Newswire. https://www.prnewswire.com/news-releases/hancom-tops-open-source-pdf-benchmarks-with-opendataloader-pdf-v2-0--302713099.html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CSDN博客. https://blog.csdn.net/lingxie2512/article/details/160828743</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Github. https://github.com/QwenLM/Qwen3-VL-Embedding</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arXiv.org. https://arxiv.org/html/2407.01449v1</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arXiv.org. https://arxiv.org/html/2505.07730v1</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Qdrant. https://qdrant.tech/blog/qdrant-colpali/</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mixpeek.com. https://mixpeek.com/visual-document-retrieval</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Webkul. https://webkul.com/blog/qwen3-vl-multimodal-models/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yiyibooks.cn. https://yiyibooks.cn/documents/AdminNew/Qwen3-VL-Embedding_and_Qwen3-VL-Reranker__A_Unified_Framework_for_State-of-the-Art_Multimodal_Retrieval_and_Ranking.pdf</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arXiv.org. https://arxiv.org/html/2510.27350v1</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arXiv.org. https://arxiv.org/html/2604.23321v1</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arXiv.org. https://arxiv.org/html/2505.05666v1</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arXiv.org. https://arxiv.org/pdf/2511.06582</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51CTO. https://www.51cto.com/article/832442.html</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Emergent Mind. https://www.emergentmind.com/topics/colpali-methodology</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arXiv.org. https://arxiv.org/html/2601.07125v1</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arXiv.org. https://arxiv.org/html/2511.00903v1</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arXiv.org. https://arxiv.org/html/2602.12510</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arXiv.org. https://arxiv.org/html/2606.04435v1</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arXiv.org. https://arxiv.org/html/2605.25377v1</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arXiv.org. https://arxiv.org/abs/2507.20136</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Milvus. https://milvus.io/ai-quick-reference/how-do-you-prevent-hallucinations-in-multimodal-rag-systems</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CodiLime. https://codilime.com/blog/model-context-protocol-explained/</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火山引擎 ADG 社区. https://adg.csdn.net/69708ec3437a6b40336ab393.html</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arXiv.org. https://arxiv.org/html/2601.15486v2</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modelcontextprotocol.info. https://modelcontextprotocol.info/specification/</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mcpservers.org. https://mcpservers.org/servers/securityronin/docx-mcp</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Github. https://github.com/dealfluence/adeu</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playbooks.com. https://playbooks.com/mcp/andrew82106/llm_docx_agent_mcp</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TrueFoundry. https://www.truefoundry.com/blog/blog-mcp-tool-poisoning-gateway-defense</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arXiv.org. https://arxiv.org/html/2605.16471</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Builder.io. https://www.builder.io/blog/agents-md</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reducto.ai. https://reducto.ai/</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虎嗅网. https://www.huxiu.com/article/4806189.html</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fast.io. https://fast.io/resources/best-document-processing-tools-ai-agents/</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extend.ai. https://www.extend.ai/resources/document-processing-apis-developers</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wavect.io. https://wavect.io/blog/rag-vs-finetune-vs-longcontext-2026/</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redhat.com. https://www.redhat.com/en/topics/ai/rag-vs-fine-tuning</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zUdyog. https://zudyog.com/blog/rag-vs-fine-tuning-why-86-accuracy-requires-both-in-2025</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365businessdev.com. https://docs.365businessdev.com/en-us/365-business-e-invoice/zugferd-xrechnung.html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arXiv.org. https://arxiv.org/html/2509.11720v1</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bastakiss.com. https://bastakiss.com/blog/open-source-4/open-source-and-vendor-lock-in-357</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Github. https://github.com/eSkore-org/.github</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NinjaOne. https://www.ninjaone.com/blog/build-an-efficient-cross-team-sop-approval-process/</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articsledge.com. https://www.articsledge.com/post/multimodal-retrieval-augmented-generation-rag</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SpecLens. https://www.speclens.ai/tools/tco-calculator</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PdfToMd. https://pdftomd.ai/blog/pdf-to-markdown-tools-compared</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02. https://idp-software.com/evaluate/datalab/</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typemill.net. https://typemill.net/knowledge-hub/knowledge-base-software</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Prosci. https://www.prosci.com/blog/erp-user-adoption-with-change-management-improving-erp-system-implementation</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aicourses.com. https://aicourses.com/ai-tools/notion-ai-limitations-workarounds/</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Preserve Formatting. https://www.markdown-to-word.online/markdown-to-word-troubleshooting/</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Kong Inc.. https://konghq.com/blog/learning-center/what-is-docs-as-code</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Document Logistix. https://document-logistix.com/version-control-document/</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Github. https://github.com/rohitdhawan14/code-ownership-latency-study</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lobehub.com. https://lobehub.com/zh-TW/skills/thebushidocollective-han-sop-maintenance</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Roz Update. https://pirgee.com/blogs/documentation-tools-for-developers-streamlining-knowledge-sharing-in-2025</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博客园. https://www.cnblogs.com/bsoo/p/19273543</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君合. https://www.junhe.com/download?filePath=/upload/law-reviews/f7b5e29362f35cf50303b88c11f6a64d.pdf&amp;fileName=%E4%B8%93%E9%A2%98%E7%A0%94%E7%A9%B6%E6%8A%A5%E5%91%8A-%E8%B7%A8%E5%A2%83%E6%95%B0%E6%8D%AE%E4%BC%A0%E8%BE%93%E7%B3%BB%E5%88%97%E4%B8%AA%E4%BA%BA%E4%BF%A1%E6%81%AF%E5%A6%82%E4%BD%95%E5%87%BA%E5%A2%83%EF%BC%8820200730%EF%BC%89.pdf</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环球律师事务所. https://www.glo.com.cn/UpLoadFile/Files/2024/12/25/11345380844264759-d.pdf</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caict.ac.cn. https://aihub.caict.ac.cn/codes/Alibaba/alibabacloud-bailian-rag-knowledgebase</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yun88.com. https://www.yun88.com/product/8566.html</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taobao.com. http://bk.taobao.com/k/dingdingwendang_973/003851a62d4f0637a083da2a8f20574e.html</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CSDN博客. https://blog.csdn.net/qq_29893481/article/details/153632008</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Osakesijoittaminen. https://forum.inderes.com/uploads/short-url/inImdRLseMT5eYyYJtXIkwrfNiO.pdf</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CSDN博客. https://blog.csdn.net/weixin_34471637/article/details/158292701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agentset.ai. https://agentset.ai/embeddings/compare/qwen3-embedding-4b-vs-baaibge-m3</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informatica.si. https://www.informatica.si/index.php/informatica/article/viewFile/10474/5423</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baidu.com. https://qianfan.cloud.baidu.com/qianfandev/topic/361521</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微信公众号(腾讯云). http://mp.weixin.qq.com/s?__biz=MjM5MDgwMzc4MA==&amp;mid=2654902732&amp;idx=1&amp;sn=d1a3a8f3635cc0486978409dfcaffd52</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CSDN博客. https://blog.csdn.net/s060403072/article/details/160238923</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火山引擎. https://www.volcengine.com/docs/82379/1319756</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bcebos.com. https://qianfandeveloper.bj.bcebos.com/08%E3%80%90%E8%84%B1%E6%95%8F%E7%89%88%E3%80%91%E5%8D%83%E5%B8%86SDK%E5%AE%9E%E6%88%98%EF%BC%9ALLMOpsSDK%E6%9E%84%E5%BB%BA%E6%8C%81%E7%BB%AD%E6%88%90%E9%95%BF%E7%9A%84AI%E5%8E%9F%E7%94%9F%E5%BA%94%E7%94%A8.pdf</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Github. https://github.com/infiniflow/ragflow</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Claire By The Algorithm. https://www.letsaskclaire.com/platform/ai-change-management</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hyring.com. https://hyring.com/free-hr-toolkit/hr-glossary/adkar-model</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Umbrex Consulting. https://umbrex.com/resources/frameworks/strategy-frameworks/adkar-change-management-model/</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Knowledge Train. https://www.knowledgetrain.co.uk/change-management/change-management-courses/change-management-models/adkar?srsltid=AfmBOooVFFw8jsvMTSZvyjSlW1w5Q-FPt-3jEJg6iHY82sSPhi1-iXs8</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Commerce and SAP. https://migravion.com/blog/data-migration-testing-guide</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LatentView Analytics. https://www.latentview.com/blog/enterprise-data-migration/</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digna.ai. https://www.digna.ai/data-validation-during-migrations-best-practices</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SegmentFault 思否. https://segmentfault.com/a/1190000047025835</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gem-corp.tech. https://gem-corp.tech/tech-blogs/data-migration-risks-and-mitigation-what-enterprises-need-to-know/</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alphacorp.ai. https://alphacorp.ai/blog/how-much-does-a-rag-system-cost-infrastructure-development-and-ongoing-expenses</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Bing. https://www.bing.com/ck/a?!=&amp;fclid=21f49e5a-22fe-6b4d-23b4-8bac232c6a4b&amp;hsh=4&amp;p=dfe8b6ae395b36ac8126dca231b6bdc35907413357371fe642b3a39054dd63cbJmltdHM9MTc0ODA0NDgwMA&amp;ptn=3&amp;u=a1aHR0cHM6Ly93d3cuY25ibG9ncy5jb20vbGlnaHRzb25nL3AvMTg4Mjk3NzE&amp;ver=2</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火山引擎 ADG 社区. https://adg.csdn.net/696f510c437a6b40336a0260.html</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CSDN博客. https://blog.csdn.net/gitblog_00617/article/details/155513524</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Shyft. https://www.myshyft.com/blog/phased-shift-marketplace-implementation/</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Knowledge Base Software. https://knowledge-base.software/guides/knowledge-base-implementation-checklist/</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博客园. https://www.cnblogs.com/worktile/articles/18985423</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planetweb.ng. https://planetweb.ng/document-lifecycle-governance/</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oneuptime.com. https://oneuptime.com/blog/post/2025-12-19-elasticsearch-remove-duplicate-documents/view</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https://www.causehouse.co/insights/crm-cleanup-for-nonprofits-deduplication-segmentation-and-migration</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glean.com. https://www.glean.com/perspectives/what-is-the-importance-of-data-quality-in-ai-implementation</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https://www.techwithcolonel.com/artifact/rag-state-of-the-art-2026.html</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Codeless Platforms. https://www.codelessplatforms.com/what-is-erp-integration/</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Stratagem Systems. https://www.stratagem-systems.com/blog/rag-implementation-cost-roi-analysis</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Worktile. https://worktile.com/kb/p/3943246</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markdownconverters.com. https://markdownconverters.com/workflows/ai-content-generation/pdf-to-markdown</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SysGenProERP. https://sysgenpro.com/integration/construction-api-middleware-planning-for-erp-and-compliance-system-integration</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Bloomfire. https://bloomfire.com/blog/knowledge-management-metrics-engagement/</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Prosci. https://www.prosci.com/blog/change-management-communication</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essentialdesigns.net. https://www.essentialdesigns.net/news/ultimate-guide-to-risk-mitigation-in-data-migration</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博客园. https://www.cnblogs.com/worktile/articles/18970143</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Hakuna Matata Solutions. https://www.hakunamatatatech.com/our-resources/blog/data-migration-risk</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Knowledge Powered Solutions (KPS). https://www.kpsol.com/employee-training-and-adoption-strategies-with-knowledge-management-solutions/</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Ahmadu Bello University. https://kubanni.abu.edu.ng/bitstreams/2b775e1c-db23-42eb-9943-81be719baa2b/download</w:t>
      </w:r>
      <w:bookmarkEnd w:id="1024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49" Target="media/rId149.png"/><Relationship Type="http://schemas.openxmlformats.org/officeDocument/2006/relationships/image" Id="rId57" Target="media/rId57.png"/><Relationship Type="http://schemas.openxmlformats.org/officeDocument/2006/relationships/image" Id="rId61" Target="media/rId61.png"/><Relationship Type="http://schemas.openxmlformats.org/officeDocument/2006/relationships/image" Id="rId71" Target="media/rId71.png"/><Relationship Type="http://schemas.openxmlformats.org/officeDocument/2006/relationships/image" Id="rId103" Target="media/rId103.png"/><Relationship Type="http://schemas.openxmlformats.org/officeDocument/2006/relationships/image" Id="rId112" Target="media/rId112.png"/><Relationship Type="http://schemas.openxmlformats.org/officeDocument/2006/relationships/image" Id="rId120" Target="media/rId120.png"/><Relationship Type="http://schemas.openxmlformats.org/officeDocument/2006/relationships/image" Id="rId125" Target="media/rId125.png"/><Relationship Type="http://schemas.openxmlformats.org/officeDocument/2006/relationships/image" Id="rId129" Target="media/rId129.png"/><Relationship Type="http://schemas.openxmlformats.org/officeDocument/2006/relationships/image" Id="rId138" Target="media/rId138.png"/><Relationship Type="http://schemas.openxmlformats.org/officeDocument/2006/relationships/image" Id="rId85" Target="media/rId85.png"/><Relationship Type="http://schemas.openxmlformats.org/officeDocument/2006/relationships/image" Id="rId89" Target="media/rId89.png"/><Relationship Type="http://schemas.openxmlformats.org/officeDocument/2006/relationships/image" Id="rId163" Target="media/rId163.png"/><Relationship Type="http://schemas.openxmlformats.org/officeDocument/2006/relationships/image" Id="rId40" Target="media/rId40.png"/><Relationship Id="rId16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2026-06-09T03:52:47Z</dcterms:created>
  <dcterms:modified xsi:type="dcterms:W3CDTF">2026-06-09T03:52:47Z</dcterms:modified>
</cp:coreProperties>
</file>

<file path=docProps/custom.xml><?xml version="1.0" encoding="utf-8"?>
<Properties xmlns="http://schemas.openxmlformats.org/officeDocument/2006/custom-properties" xmlns:vt="http://schemas.openxmlformats.org/officeDocument/2006/docPropsVTypes"/>
</file>