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33F81"/>
        </w:rPr>
        <w:t>个人投资研究台</w:t>
        <w:br/>
        <w:t>产品手册 / 用户操作手册 / 页面功能说明书</w:t>
      </w:r>
    </w:p>
    <w:p>
      <w:pPr>
        <w:jc w:val="center"/>
      </w:pPr>
      <w:r>
        <w:rPr>
          <w:i/>
          <w:sz w:val="22"/>
        </w:rPr>
        <w:t>适用于手动交易者的中文投资研究与复盘系统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产品定位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Noto Sans CJK SC" w:hAnsi="Noto Sans CJK SC" w:eastAsia="Noto Sans CJK SC"/>
                <w:sz w:val="21"/>
              </w:rPr>
              <w:t>面向手动交易者的本地/网页化投资研究工作台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核心用途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Noto Sans CJK SC" w:hAnsi="Noto Sans CJK SC" w:eastAsia="Noto Sans CJK SC"/>
                <w:sz w:val="21"/>
              </w:rPr>
              <w:t>观察股票、制定交易计划、验证策略、记录交易、生成每周复盘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适用对象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Noto Sans CJK SC" w:hAnsi="Noto Sans CJK SC" w:eastAsia="Noto Sans CJK SC"/>
                <w:sz w:val="21"/>
              </w:rPr>
              <w:t>以 CIBC、IB 等平台手动下单的个人投资者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产品边界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Noto Sans CJK SC" w:hAnsi="Noto Sans CJK SC" w:eastAsia="Noto Sans CJK SC"/>
                <w:sz w:val="21"/>
              </w:rPr>
              <w:t>不自动下单、不构成投资建议、不替代用户最终决策</w:t>
            </w:r>
          </w:p>
        </w:tc>
      </w:tr>
    </w:tbl>
    <w:p/>
    <w:p>
      <w:pPr>
        <w:pStyle w:val="Heading1"/>
      </w:pPr>
      <w:r>
        <w:t>前言</w:t>
      </w:r>
    </w:p>
    <w:p>
      <w:pPr>
        <w:spacing w:after="120" w:line="300" w:lineRule="auto"/>
      </w:pPr>
      <w:r>
        <w:t>个人投资研究台是一套面向手动交易者设计的投资辅助系统。它不替用户自动买卖股票，也不直接连接券商执行交易，而是帮助用户建立一套更清晰、更有纪律、更容易复盘的投资流程。</w:t>
      </w:r>
    </w:p>
    <w:p>
      <w:pPr>
        <w:spacing w:after="120" w:line="300" w:lineRule="auto"/>
      </w:pPr>
      <w:r>
        <w:t>系统把投资过程拆分为几个清晰模块：数据更新、观察名单、交易计划、回测验证、财报摘要、交易日志、每周复盘。通过这些模块，用户可以把原本零散的投资行为，转化为一个可持续、可改进的工作流。</w:t>
      </w:r>
    </w:p>
    <w:p>
      <w:pPr>
        <w:pStyle w:val="Heading1"/>
      </w:pPr>
      <w:r>
        <w:t>第一部分：产品说明</w:t>
      </w:r>
    </w:p>
    <w:p>
      <w:pPr>
        <w:pStyle w:val="Heading2"/>
      </w:pPr>
      <w:r>
        <w:t>1. 产品定位</w:t>
      </w:r>
    </w:p>
    <w:p>
      <w:pPr>
        <w:spacing w:after="120" w:line="300" w:lineRule="auto"/>
      </w:pPr>
      <w:r>
        <w:t>个人投资研究台是一套中文投资辅助研究系统，服务于手动交易者，而不是自动交易系统使用者。产品定位可概括为：一个帮助用户在手动交易前后完成研究、计划、记录与复盘的本地投资工作台。</w:t>
      </w:r>
    </w:p>
    <w:p>
      <w:pPr>
        <w:pStyle w:val="Heading2"/>
      </w:pPr>
      <w:r>
        <w:t>2. 产品目标</w:t>
      </w:r>
    </w:p>
    <w:p>
      <w:pPr>
        <w:pStyle w:val="Heading3"/>
      </w:pPr>
      <w:r>
        <w:t>2.1 建立标准化流程</w:t>
      </w:r>
    </w:p>
    <w:p>
      <w:pPr>
        <w:spacing w:after="120" w:line="300" w:lineRule="auto"/>
      </w:pPr>
      <w:r>
        <w:t>帮助用户从“感觉驱动”转向“流程驱动”。</w:t>
      </w:r>
    </w:p>
    <w:p>
      <w:pPr>
        <w:pStyle w:val="Heading3"/>
      </w:pPr>
      <w:r>
        <w:t>2.2 提高交易纪律</w:t>
      </w:r>
    </w:p>
    <w:p>
      <w:pPr>
        <w:spacing w:after="120" w:line="300" w:lineRule="auto"/>
      </w:pPr>
      <w:r>
        <w:t>让每一笔交易在建仓前就有计划，而不是临场冲动决策。</w:t>
      </w:r>
    </w:p>
    <w:p>
      <w:pPr>
        <w:pStyle w:val="Heading3"/>
      </w:pPr>
      <w:r>
        <w:t>2.3 提供可解释的研究支持</w:t>
      </w:r>
    </w:p>
    <w:p>
      <w:pPr>
        <w:spacing w:after="120" w:line="300" w:lineRule="auto"/>
      </w:pPr>
      <w:r>
        <w:t>通过观察名单、交易计划、财报摘要、回测结果等信息，为交易提供有逻辑的辅助。</w:t>
      </w:r>
    </w:p>
    <w:p>
      <w:pPr>
        <w:pStyle w:val="Heading3"/>
      </w:pPr>
      <w:r>
        <w:t>2.4 形成持续改进闭环</w:t>
      </w:r>
    </w:p>
    <w:p>
      <w:pPr>
        <w:spacing w:after="120" w:line="300" w:lineRule="auto"/>
      </w:pPr>
      <w:r>
        <w:t>通过交易日志和每周复盘，让用户不断发现问题并修正行为。</w:t>
      </w:r>
    </w:p>
    <w:p>
      <w:pPr>
        <w:pStyle w:val="Heading2"/>
      </w:pPr>
      <w:r>
        <w:t>3. 产品边界</w:t>
      </w:r>
    </w:p>
    <w:p>
      <w:pPr>
        <w:pStyle w:val="Heading2"/>
      </w:pPr>
      <w:r>
        <w:t>本产品不做什么</w:t>
      </w:r>
    </w:p>
    <w:p>
      <w:pPr>
        <w:spacing w:after="60"/>
        <w:ind w:left="288" w:hanging="259"/>
      </w:pPr>
      <w:r>
        <w:rPr>
          <w:b/>
        </w:rPr>
        <w:t xml:space="preserve">• </w:t>
      </w:r>
      <w:r>
        <w:t>不会自动替用户买卖股票。</w:t>
      </w:r>
    </w:p>
    <w:p>
      <w:pPr>
        <w:spacing w:after="60"/>
        <w:ind w:left="288" w:hanging="259"/>
      </w:pPr>
      <w:r>
        <w:rPr>
          <w:b/>
        </w:rPr>
        <w:t xml:space="preserve">• </w:t>
      </w:r>
      <w:r>
        <w:t>不会连接券商平台自动下单。</w:t>
      </w:r>
    </w:p>
    <w:p>
      <w:pPr>
        <w:spacing w:after="60"/>
        <w:ind w:left="288" w:hanging="259"/>
      </w:pPr>
      <w:r>
        <w:rPr>
          <w:b/>
        </w:rPr>
        <w:t xml:space="preserve">• </w:t>
      </w:r>
      <w:r>
        <w:t>不会直接给出必须买入或卖出的最终建议。</w:t>
      </w:r>
    </w:p>
    <w:p>
      <w:pPr>
        <w:spacing w:after="60"/>
        <w:ind w:left="288" w:hanging="259"/>
      </w:pPr>
      <w:r>
        <w:rPr>
          <w:b/>
        </w:rPr>
        <w:t xml:space="preserve">• </w:t>
      </w:r>
      <w:r>
        <w:t>不保证任何策略未来仍然有效。</w:t>
      </w:r>
    </w:p>
    <w:p>
      <w:pPr>
        <w:spacing w:after="60"/>
        <w:ind w:left="288" w:hanging="259"/>
      </w:pPr>
      <w:r>
        <w:rPr>
          <w:b/>
        </w:rPr>
        <w:t xml:space="preserve">• </w:t>
      </w:r>
      <w:r>
        <w:t>不构成证券投资建议、法律意见或财务意见。</w:t>
      </w:r>
    </w:p>
    <w:p>
      <w:pPr>
        <w:pStyle w:val="Heading2"/>
      </w:pPr>
      <w:r>
        <w:t>本产品会做什么</w:t>
      </w:r>
    </w:p>
    <w:p>
      <w:pPr>
        <w:spacing w:after="60"/>
        <w:ind w:left="288" w:hanging="259"/>
      </w:pPr>
      <w:r>
        <w:rPr>
          <w:b/>
        </w:rPr>
        <w:t xml:space="preserve">• </w:t>
      </w:r>
      <w:r>
        <w:t>更新股票价格数据。</w:t>
      </w:r>
    </w:p>
    <w:p>
      <w:pPr>
        <w:spacing w:after="60"/>
        <w:ind w:left="288" w:hanging="259"/>
      </w:pPr>
      <w:r>
        <w:rPr>
          <w:b/>
        </w:rPr>
        <w:t xml:space="preserve">• </w:t>
      </w:r>
      <w:r>
        <w:t>生成观察名单。</w:t>
      </w:r>
    </w:p>
    <w:p>
      <w:pPr>
        <w:spacing w:after="60"/>
        <w:ind w:left="288" w:hanging="259"/>
      </w:pPr>
      <w:r>
        <w:rPr>
          <w:b/>
        </w:rPr>
        <w:t xml:space="preserve">• </w:t>
      </w:r>
      <w:r>
        <w:t>生成交易计划。</w:t>
      </w:r>
    </w:p>
    <w:p>
      <w:pPr>
        <w:spacing w:after="60"/>
        <w:ind w:left="288" w:hanging="259"/>
      </w:pPr>
      <w:r>
        <w:rPr>
          <w:b/>
        </w:rPr>
        <w:t xml:space="preserve">• </w:t>
      </w:r>
      <w:r>
        <w:t>回测历史表现。</w:t>
      </w:r>
    </w:p>
    <w:p>
      <w:pPr>
        <w:spacing w:after="60"/>
        <w:ind w:left="288" w:hanging="259"/>
      </w:pPr>
      <w:r>
        <w:rPr>
          <w:b/>
        </w:rPr>
        <w:t xml:space="preserve">• </w:t>
      </w:r>
      <w:r>
        <w:t>整理 SEC 财报摘要。</w:t>
      </w:r>
    </w:p>
    <w:p>
      <w:pPr>
        <w:spacing w:after="60"/>
        <w:ind w:left="288" w:hanging="259"/>
      </w:pPr>
      <w:r>
        <w:rPr>
          <w:b/>
        </w:rPr>
        <w:t xml:space="preserve">• </w:t>
      </w:r>
      <w:r>
        <w:t>记录真实交易。</w:t>
      </w:r>
    </w:p>
    <w:p>
      <w:pPr>
        <w:spacing w:after="60"/>
        <w:ind w:left="288" w:hanging="259"/>
      </w:pPr>
      <w:r>
        <w:rPr>
          <w:b/>
        </w:rPr>
        <w:t xml:space="preserve">• </w:t>
      </w:r>
      <w:r>
        <w:t>自动生成每周复盘。</w:t>
      </w:r>
    </w:p>
    <w:p>
      <w:pPr>
        <w:pStyle w:val="Heading2"/>
      </w:pPr>
      <w:r>
        <w:t>4. 核心功能模块</w:t>
      </w:r>
    </w:p>
    <w:p>
      <w:pPr>
        <w:pStyle w:val="Heading3"/>
      </w:pPr>
      <w:r>
        <w:t>4.1 每日更新</w:t>
      </w:r>
    </w:p>
    <w:p>
      <w:pPr>
        <w:spacing w:after="120" w:line="300" w:lineRule="auto"/>
      </w:pPr>
      <w:r>
        <w:t>用于每天收盘后刷新系统核心数据，包括更新价格数据、生成观察名单、生成交易计划和更新财报摘要。</w:t>
      </w:r>
    </w:p>
    <w:p>
      <w:pPr>
        <w:pStyle w:val="Heading3"/>
      </w:pPr>
      <w:r>
        <w:t>4.2 观察名单</w:t>
      </w:r>
    </w:p>
    <w:p>
      <w:pPr>
        <w:spacing w:after="120" w:line="300" w:lineRule="auto"/>
      </w:pPr>
      <w:r>
        <w:t>观察名单页面展示系统当前重点关注的股票列表，通常包括股票代码、最新价格、综合分数、50 日均线、200 日均线、一年涨跌幅和 60 日波动率。作用是帮助用户快速回答：今天先看哪些股票？</w:t>
      </w:r>
    </w:p>
    <w:p>
      <w:pPr>
        <w:pStyle w:val="Heading3"/>
      </w:pPr>
      <w:r>
        <w:t>4.3 交易计划</w:t>
      </w:r>
    </w:p>
    <w:p>
      <w:pPr>
        <w:spacing w:after="120" w:line="300" w:lineRule="auto"/>
      </w:pPr>
      <w:r>
        <w:t>交易计划页面把观察名单进一步转化为手动交易参考，通常包括当前价格、参考买入价、参考止损价、建议股数和备注。作用是帮助用户回答：如果要做这笔交易，应该怎么买？</w:t>
      </w:r>
    </w:p>
    <w:p>
      <w:pPr>
        <w:pStyle w:val="Heading3"/>
      </w:pPr>
      <w:r>
        <w:t>4.4 回测结果</w:t>
      </w:r>
    </w:p>
    <w:p>
      <w:pPr>
        <w:spacing w:after="120" w:line="300" w:lineRule="auto"/>
      </w:pPr>
      <w:r>
        <w:t>回测模块用于检查规则在历史上的表现，分为单只股票回测和组合回测，常见指标包括总收益率、最大回撤、夏普比率、期末资产和组合资金曲线。作用是帮助用户判断：这套规则过去有没有一定有效性？</w:t>
      </w:r>
    </w:p>
    <w:p>
      <w:pPr>
        <w:pStyle w:val="Heading3"/>
      </w:pPr>
      <w:r>
        <w:t>4.5 财报摘要</w:t>
      </w:r>
    </w:p>
    <w:p>
      <w:pPr>
        <w:spacing w:after="120" w:line="300" w:lineRule="auto"/>
      </w:pPr>
      <w:r>
        <w:t>财报摘要模块读取 SEC EDGAR 的公开申报信息，并整理成易读的中文结果，通常包括股票代码、申报表格类型、申报日期、营收、净利润、总资产、总负债、中文摘要和最近申报文件链接。作用是帮助用户快速了解：这家公司最近披露了什么，最值得先看什么？</w:t>
      </w:r>
    </w:p>
    <w:p>
      <w:pPr>
        <w:pStyle w:val="Heading3"/>
      </w:pPr>
      <w:r>
        <w:t>4.6 交易日志</w:t>
      </w:r>
    </w:p>
    <w:p>
      <w:pPr>
        <w:spacing w:after="120" w:line="300" w:lineRule="auto"/>
      </w:pPr>
      <w:r>
        <w:t>交易日志模块记录用户真实发生的交易行为，包括交易日期、股票代码、方向、建仓价格、股数、止损价、目标价、交易理由、setup 标签、执行评分、平仓价格、平仓日期、盈亏、复盘备注、是否触发计划止损和退出类型。它是整个系统中最重要的真实世界反馈层。</w:t>
      </w:r>
    </w:p>
    <w:p>
      <w:pPr>
        <w:pStyle w:val="Heading3"/>
      </w:pPr>
      <w:r>
        <w:t>4.7 每周复盘</w:t>
      </w:r>
    </w:p>
    <w:p>
      <w:pPr>
        <w:spacing w:after="120" w:line="300" w:lineRule="auto"/>
      </w:pPr>
      <w:r>
        <w:t>每周复盘模块整合本周交易结果、执行质量和回测信息，形成总结，通常包括本周新增交易数、本周已平仓交易数、本周已实现盈亏、自动诊断结果、已平仓交易盈亏图、执行评分分布图、组合资金曲线和文本版复盘总结。作用是帮助用户回答：我这周到底做得怎么样？问题出在系统还是执行？</w:t>
      </w:r>
    </w:p>
    <w:p>
      <w:pPr>
        <w:pStyle w:val="Heading1"/>
      </w:pPr>
      <w:r>
        <w:t>第二部分：用户使用说明</w:t>
      </w:r>
    </w:p>
    <w:p>
      <w:pPr>
        <w:pStyle w:val="Heading2"/>
      </w:pPr>
      <w:r>
        <w:t>1. 首次使用前准备</w:t>
      </w:r>
    </w:p>
    <w:p>
      <w:pPr>
        <w:spacing w:after="120" w:line="300" w:lineRule="auto"/>
      </w:pPr>
      <w:r>
        <w:t>开始使用前，请确保：Python 环境和依赖已正确安装；股票池文件 config/universe.csv 已填写；SEC 用户标识文件 config/sec_user_agent.txt 已填写；本地数据库已初始化；系统可以成功运行 app.py。</w:t>
      </w:r>
    </w:p>
    <w:p>
      <w:pPr>
        <w:pStyle w:val="Heading2"/>
      </w:pPr>
      <w:r>
        <w:t>2. 启动系统</w:t>
      </w:r>
    </w:p>
    <w:p>
      <w:pPr>
        <w:spacing w:after="120" w:line="300" w:lineRule="auto"/>
      </w:pPr>
      <w:r>
        <w:t>在项目目录中执行 streamlit run app.py，启动后将看到系统主界面。</w:t>
      </w:r>
    </w:p>
    <w:p>
      <w:pPr>
        <w:pStyle w:val="Heading2"/>
      </w:pPr>
      <w:r>
        <w:t>3. 首页使用方法</w:t>
      </w:r>
    </w:p>
    <w:p>
      <w:pPr>
        <w:spacing w:after="120" w:line="300" w:lineRule="auto"/>
      </w:pPr>
      <w:r>
        <w:t>首页分为三个区域：左侧为每日更新，用于刷新数据；中间为策略检查，用于运行回测；右侧为系统文件状态，用于确认关键结果文件是否已生成。</w:t>
      </w:r>
    </w:p>
    <w:p>
      <w:pPr>
        <w:pStyle w:val="Heading2"/>
      </w:pPr>
      <w:r>
        <w:t>4. 观察名单页面怎么用</w:t>
      </w:r>
    </w:p>
    <w:p>
      <w:pPr>
        <w:spacing w:after="120" w:line="300" w:lineRule="auto"/>
      </w:pPr>
      <w:r>
        <w:t>进入观察名单页面后，先看综合分数较高的股票，再结合价格位置和财报摘要决定是否进一步研究。适合在每日更新后，作为筛选重点标的的第一步。</w:t>
      </w:r>
    </w:p>
    <w:p>
      <w:pPr>
        <w:pStyle w:val="Heading2"/>
      </w:pPr>
      <w:r>
        <w:t>5. 交易计划页面怎么用</w:t>
      </w:r>
    </w:p>
    <w:p>
      <w:pPr>
        <w:spacing w:after="120" w:line="300" w:lineRule="auto"/>
      </w:pPr>
      <w:r>
        <w:t>进入交易计划页面后，重点关注参考买入价、参考止损价和建议股数。这不是自动交易指令，而是手动下单参考。</w:t>
      </w:r>
    </w:p>
    <w:p>
      <w:pPr>
        <w:pStyle w:val="Heading2"/>
      </w:pPr>
      <w:r>
        <w:t>6. 回测结果页面怎么用</w:t>
      </w:r>
    </w:p>
    <w:p>
      <w:pPr>
        <w:spacing w:after="120" w:line="300" w:lineRule="auto"/>
      </w:pPr>
      <w:r>
        <w:t>回测主要用来验证规则，不代表未来一定有效。重点观察总收益率是否为正、最大回撤是否过大、资金曲线是否过于不稳定。</w:t>
      </w:r>
    </w:p>
    <w:p>
      <w:pPr>
        <w:pStyle w:val="Heading2"/>
      </w:pPr>
      <w:r>
        <w:t>7. 财报摘要页面怎么用</w:t>
      </w:r>
    </w:p>
    <w:p>
      <w:pPr>
        <w:spacing w:after="120" w:line="300" w:lineRule="auto"/>
      </w:pPr>
      <w:r>
        <w:t>如果某只股票进入观察名单前列，可到财报摘要页面快速补充最近是否有重要披露、财务状态大致如何、原始 filing 是否值得进一步阅读。</w:t>
      </w:r>
    </w:p>
    <w:p>
      <w:pPr>
        <w:pStyle w:val="Heading2"/>
      </w:pPr>
      <w:r>
        <w:t>8. 交易日志页面怎么用</w:t>
      </w:r>
    </w:p>
    <w:p>
      <w:pPr>
        <w:spacing w:after="120" w:line="300" w:lineRule="auto"/>
      </w:pPr>
      <w:r>
        <w:t>每次真实建仓后，请尽快记录交易日期、股票代码、价格、股数、止损、目标价、交易理由、标签和执行评分；平仓后补充退出信息和复盘备注。日志越完整，每周复盘越有价值。</w:t>
      </w:r>
    </w:p>
    <w:p>
      <w:pPr>
        <w:pStyle w:val="Heading2"/>
      </w:pPr>
      <w:r>
        <w:t>9. 每周复盘页面怎么用</w:t>
      </w:r>
    </w:p>
    <w:p>
      <w:pPr>
        <w:spacing w:after="120" w:line="300" w:lineRule="auto"/>
      </w:pPr>
      <w:r>
        <w:t>每周末建议进入每周复盘页面并点击“生成每周复盘”。重点看三件事：本周是否真实赚钱；执行纪律是否下降；问题出在系统还是行为。</w:t>
      </w:r>
    </w:p>
    <w:p>
      <w:pPr>
        <w:pStyle w:val="Heading2"/>
      </w:pPr>
      <w:r>
        <w:t>10. 推荐使用节奏</w:t>
      </w:r>
    </w:p>
    <w:p>
      <w:pPr>
        <w:spacing w:after="60"/>
        <w:ind w:left="288" w:hanging="259"/>
      </w:pPr>
      <w:r>
        <w:rPr>
          <w:b/>
        </w:rPr>
        <w:t xml:space="preserve">• </w:t>
      </w:r>
      <w:r>
        <w:t>每天：更新价格数据、生成观察名单、生成交易计划、查看财报摘要。</w:t>
      </w:r>
    </w:p>
    <w:p>
      <w:pPr>
        <w:spacing w:after="60"/>
        <w:ind w:left="288" w:hanging="259"/>
      </w:pPr>
      <w:r>
        <w:rPr>
          <w:b/>
        </w:rPr>
        <w:t xml:space="preserve">• </w:t>
      </w:r>
      <w:r>
        <w:t>每次交易后：记录建仓，平仓后补充退出信息。</w:t>
      </w:r>
    </w:p>
    <w:p>
      <w:pPr>
        <w:spacing w:after="60"/>
        <w:ind w:left="288" w:hanging="259"/>
      </w:pPr>
      <w:r>
        <w:rPr>
          <w:b/>
        </w:rPr>
        <w:t xml:space="preserve">• </w:t>
      </w:r>
      <w:r>
        <w:t>每周末：跑回测，生成每周复盘，查看自动诊断，调整下周重点。</w:t>
      </w:r>
    </w:p>
    <w:p>
      <w:pPr>
        <w:pStyle w:val="Heading1"/>
      </w:pPr>
      <w:r>
        <w:t>第三部分：页面功能说明书</w:t>
      </w:r>
    </w:p>
    <w:p>
      <w:pPr>
        <w:pStyle w:val="Heading2"/>
      </w:pPr>
      <w:r>
        <w:t>首页</w:t>
      </w:r>
    </w:p>
    <w:p>
      <w:pPr>
        <w:spacing w:after="120" w:line="300" w:lineRule="auto"/>
      </w:pPr>
      <w:r>
        <w:t>首页作为系统总入口，负责组织每日更新、策略检查和系统状态展示。主要价值在于让用户一打开系统就知道“今天该做什么”。</w:t>
      </w:r>
    </w:p>
    <w:p>
      <w:pPr>
        <w:pStyle w:val="Heading2"/>
      </w:pPr>
      <w:r>
        <w:t>观察名单</w:t>
      </w:r>
    </w:p>
    <w:p>
      <w:pPr>
        <w:spacing w:after="120" w:line="300" w:lineRule="auto"/>
      </w:pPr>
      <w:r>
        <w:t>展示当前重点关注标的，帮助用户确定下一步应重点研究哪些股票。</w:t>
      </w:r>
    </w:p>
    <w:p>
      <w:pPr>
        <w:pStyle w:val="Heading2"/>
      </w:pPr>
      <w:r>
        <w:t>交易计划</w:t>
      </w:r>
    </w:p>
    <w:p>
      <w:pPr>
        <w:spacing w:after="120" w:line="300" w:lineRule="auto"/>
      </w:pPr>
      <w:r>
        <w:t>把观察结果转化成可执行的计划表，帮助用户在手动下单前明确入场参考、风险边界和仓位规模。</w:t>
      </w:r>
    </w:p>
    <w:p>
      <w:pPr>
        <w:pStyle w:val="Heading2"/>
      </w:pPr>
      <w:r>
        <w:t>回测结果</w:t>
      </w:r>
    </w:p>
    <w:p>
      <w:pPr>
        <w:spacing w:after="120" w:line="300" w:lineRule="auto"/>
      </w:pPr>
      <w:r>
        <w:t>展示策略过去的历史表现，帮助用户判断这套方法是否值得继续保留。</w:t>
      </w:r>
    </w:p>
    <w:p>
      <w:pPr>
        <w:pStyle w:val="Heading2"/>
      </w:pPr>
      <w:r>
        <w:t>财报摘要</w:t>
      </w:r>
    </w:p>
    <w:p>
      <w:pPr>
        <w:spacing w:after="120" w:line="300" w:lineRule="auto"/>
      </w:pPr>
      <w:r>
        <w:t>展示近期 SEC 申报与财务摘要，帮助用户快速理解候选标的的最新公开披露信息。</w:t>
      </w:r>
    </w:p>
    <w:p>
      <w:pPr>
        <w:pStyle w:val="Heading2"/>
      </w:pPr>
      <w:r>
        <w:t>交易日志</w:t>
      </w:r>
    </w:p>
    <w:p>
      <w:pPr>
        <w:spacing w:after="120" w:line="300" w:lineRule="auto"/>
      </w:pPr>
      <w:r>
        <w:t>记录和管理真实交易，是后续盈亏统计、执行诊断和行为复盘的基础。</w:t>
      </w:r>
    </w:p>
    <w:p>
      <w:pPr>
        <w:pStyle w:val="Heading2"/>
      </w:pPr>
      <w:r>
        <w:t>每周复盘</w:t>
      </w:r>
    </w:p>
    <w:p>
      <w:pPr>
        <w:spacing w:after="120" w:line="300" w:lineRule="auto"/>
      </w:pPr>
      <w:r>
        <w:t>以周为单位整合系统研究结果与真实交易结果，帮助用户识别当前最主要的问题与下一步改进方向。</w:t>
      </w:r>
    </w:p>
    <w:p>
      <w:pPr>
        <w:pStyle w:val="Heading1"/>
      </w:pPr>
      <w:r>
        <w:t>第四部分：免责声明</w:t>
      </w:r>
    </w:p>
    <w:p>
      <w:pPr>
        <w:spacing w:after="120" w:line="300" w:lineRule="auto"/>
      </w:pPr>
      <w:r>
        <w:t>本系统仅用于个人投资研究、流程管理与复盘辅助。系统中展示的观察名单、交易计划、回测结果、财报摘要及复盘内容，均不构成任何证券、期货、衍生品或其他金融产品的投资建议、招揽、推荐、保证或承诺。用户应自行判断并承担全部投资决策责任。历史表现不代表未来结果。回测结果存在模型假设、数据来源和参数设定的局限，不应被视为未来收益保证。财报摘要和自动诊断仅用于提高阅读效率，不应替代用户对原始披露文件和市场风险的独立判断。</w:t>
      </w:r>
    </w:p>
    <w:p>
      <w:pPr>
        <w:pStyle w:val="Heading1"/>
      </w:pPr>
      <w:r>
        <w:t>第五部分：术语表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Noto Sans CJK SC" w:hAnsi="Noto Sans CJK SC" w:eastAsia="Noto Sans CJK SC"/>
                <w:b/>
              </w:rPr>
              <w:t>术语</w:t>
            </w:r>
          </w:p>
        </w:tc>
        <w:tc>
          <w:tcPr>
            <w:tcW w:type="dxa" w:w="4824"/>
          </w:tcPr>
          <w:p>
            <w:r>
              <w:rPr>
                <w:rFonts w:ascii="Noto Sans CJK SC" w:hAnsi="Noto Sans CJK SC" w:eastAsia="Noto Sans CJK SC"/>
                <w:b/>
              </w:rPr>
              <w:t>含义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观察名单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系统根据规则筛选出的重点关注股票列表。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综合分数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系统依据趋势、动量、波动等规则计算出的综合评分。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参考买入价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系统建议用户重点关注的入场价格水平，仅作计划参考。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止损价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用户预先设定的风险退出价格，用于限制单笔交易损失。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最大回撤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策略在历史过程中从高点回落到低点的最大跌幅。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夏普比率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衡量单位风险下收益水平的常见指标。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每周复盘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对过去一周交易结果、执行质量和系统表现所做的总结与诊断。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