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96" w:rsidRDefault="009F2D96" w:rsidP="009F2D96">
      <w:pPr>
        <w:pageBreakBefore/>
        <w:spacing w:line="500" w:lineRule="exact"/>
        <w:ind w:left="644"/>
        <w:jc w:val="center"/>
      </w:pPr>
      <w:bookmarkStart w:id="0" w:name="_GoBack"/>
      <w:r>
        <w:rPr>
          <w:rFonts w:ascii="Times New Roman" w:eastAsia="標楷體" w:hAnsi="Times New Roman"/>
          <w:sz w:val="32"/>
          <w:szCs w:val="24"/>
        </w:rPr>
        <w:t>講座鐘點費支給表</w:t>
      </w:r>
    </w:p>
    <w:tbl>
      <w:tblPr>
        <w:tblW w:w="86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"/>
        <w:gridCol w:w="5006"/>
        <w:gridCol w:w="2749"/>
      </w:tblGrid>
      <w:tr w:rsidR="009F2D96" w:rsidTr="00863A86">
        <w:trPr>
          <w:trHeight w:val="165"/>
          <w:jc w:val="center"/>
        </w:trPr>
        <w:tc>
          <w:tcPr>
            <w:tcW w:w="8622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End w:id="0"/>
          <w:p w:rsidR="009F2D96" w:rsidRDefault="009F2D96" w:rsidP="00863A86">
            <w:pPr>
              <w:spacing w:line="400" w:lineRule="exact"/>
              <w:jc w:val="right"/>
            </w:pPr>
            <w:r>
              <w:rPr>
                <w:rFonts w:ascii="Times New Roman" w:eastAsia="標楷體" w:hAnsi="Times New Roman"/>
                <w:sz w:val="22"/>
                <w:szCs w:val="24"/>
              </w:rPr>
              <w:t>單位：新臺幣元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/</w:t>
            </w:r>
            <w:r>
              <w:rPr>
                <w:rFonts w:ascii="Times New Roman" w:eastAsia="標楷體" w:hAnsi="Times New Roman"/>
                <w:sz w:val="22"/>
                <w:szCs w:val="24"/>
              </w:rPr>
              <w:t>節</w:t>
            </w:r>
          </w:p>
        </w:tc>
      </w:tr>
      <w:tr w:rsidR="009F2D96" w:rsidTr="00863A86">
        <w:trPr>
          <w:trHeight w:val="225"/>
          <w:jc w:val="center"/>
        </w:trPr>
        <w:tc>
          <w:tcPr>
            <w:tcW w:w="5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ind w:left="48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區分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支給上限</w:t>
            </w:r>
          </w:p>
        </w:tc>
      </w:tr>
      <w:tr w:rsidR="009F2D96" w:rsidTr="00863A86">
        <w:trPr>
          <w:trHeight w:val="512"/>
          <w:jc w:val="center"/>
        </w:trPr>
        <w:tc>
          <w:tcPr>
            <w:tcW w:w="8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外聘</w:t>
            </w: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國內專家學者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2,000</w:t>
            </w:r>
          </w:p>
        </w:tc>
      </w:tr>
      <w:tr w:rsidR="009F2D96" w:rsidTr="00863A86">
        <w:trPr>
          <w:trHeight w:val="776"/>
          <w:jc w:val="center"/>
        </w:trPr>
        <w:tc>
          <w:tcPr>
            <w:tcW w:w="8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widowControl/>
              <w:suppressAutoHyphens w:val="0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與主辦機關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構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、學校有隸屬關係之機關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構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學校人員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1,500</w:t>
            </w:r>
          </w:p>
        </w:tc>
      </w:tr>
      <w:tr w:rsidR="009F2D96" w:rsidTr="00863A86">
        <w:trPr>
          <w:trHeight w:val="602"/>
          <w:jc w:val="center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內聘</w:t>
            </w:r>
            <w:proofErr w:type="gramEnd"/>
          </w:p>
        </w:tc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主辦機關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構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、學校人員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1,000</w:t>
            </w:r>
          </w:p>
        </w:tc>
      </w:tr>
      <w:tr w:rsidR="009F2D96" w:rsidTr="00863A86">
        <w:trPr>
          <w:trHeight w:val="556"/>
          <w:jc w:val="center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適用對象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9F2D96">
            <w:pPr>
              <w:numPr>
                <w:ilvl w:val="0"/>
                <w:numId w:val="1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各機關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構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、學校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以下簡稱主辦機關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辦理研習會、座談會或訓練進修，其實際授課人員，按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本表支給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鐘點費。但邀請國外專家學者來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臺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擔任講座之鐘點費支給數額，得由主辦機關衡酌國外專家學者國際聲譽、學術地位、課程內容及延聘難易程度等相關條件自行訂定。</w:t>
            </w:r>
          </w:p>
          <w:p w:rsidR="009F2D96" w:rsidRDefault="009F2D96" w:rsidP="009F2D96">
            <w:pPr>
              <w:numPr>
                <w:ilvl w:val="0"/>
                <w:numId w:val="1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協助教學並實際授課之講座助理，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其支給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數額按同一課程講座鐘點費減半支給。</w:t>
            </w:r>
          </w:p>
          <w:p w:rsidR="009F2D96" w:rsidRDefault="009F2D96" w:rsidP="009F2D96">
            <w:pPr>
              <w:numPr>
                <w:ilvl w:val="0"/>
                <w:numId w:val="1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擔任參加訓練進修人員之甄試、分班測驗、學科測驗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之外聘主試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或面試人員之鐘點費，得按講座基準支給；實際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執行監場及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工作人員之鐘點費，得按講座助理基準支給。</w:t>
            </w:r>
          </w:p>
        </w:tc>
      </w:tr>
      <w:tr w:rsidR="009F2D96" w:rsidTr="00863A86">
        <w:trPr>
          <w:trHeight w:val="416"/>
          <w:jc w:val="center"/>
        </w:trPr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863A86">
            <w:pPr>
              <w:spacing w:line="400" w:lineRule="exact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附則</w:t>
            </w:r>
          </w:p>
        </w:tc>
        <w:tc>
          <w:tcPr>
            <w:tcW w:w="7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本表所定內聘及外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聘講座鐘點費係屬上限規範，主辦機關得參酌預算狀況及實際需要等因素，於本表所定範圍內自行訂定。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本表所稱隸屬關係，指中央二級以下及地方各機關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構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學校，依組織法規所定上下從屬關係。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授課時間每節為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50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分鐘；連續上課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節者為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90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分鐘。未滿者講座鐘點費應減半支給。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主辦機關辦理專題演講，專題演講人員各場次報酬標準，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得衡酌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講座國際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(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內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)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聲譽、學術地位、演講內容及延聘難易程度等相關條件自行核定支給。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主辦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機關得衡酌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實際情況，參照出差旅費相關規定，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覈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實支給外聘講座交通費及國內住宿費。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授課講座應各主辦機關邀請撰寫或編輯教材，得於該次授課鐘點費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成內衡</w:t>
            </w:r>
            <w:proofErr w:type="gramEnd"/>
            <w:r>
              <w:rPr>
                <w:rFonts w:ascii="Times New Roman" w:eastAsia="標楷體" w:hAnsi="Times New Roman"/>
                <w:sz w:val="28"/>
                <w:szCs w:val="28"/>
              </w:rPr>
              <w:t>酌支給教材費。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公立大專校院及中央研究院如因學術發展、講座延聘之特殊需要，得自訂支給規定。</w:t>
            </w:r>
          </w:p>
          <w:p w:rsidR="009F2D96" w:rsidRDefault="009F2D96" w:rsidP="009F2D96">
            <w:pPr>
              <w:numPr>
                <w:ilvl w:val="0"/>
                <w:numId w:val="2"/>
              </w:numPr>
              <w:suppressAutoHyphens w:val="0"/>
              <w:spacing w:line="400" w:lineRule="exact"/>
              <w:ind w:firstLine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本表自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107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日生效。</w:t>
            </w:r>
          </w:p>
        </w:tc>
      </w:tr>
    </w:tbl>
    <w:p w:rsidR="00CB26E7" w:rsidRDefault="009F2D96">
      <w:pPr>
        <w:rPr>
          <w:rFonts w:hint="eastAsia"/>
        </w:rPr>
      </w:pPr>
    </w:p>
    <w:sectPr w:rsidR="00CB26E7">
      <w:footerReference w:type="default" r:id="rId5"/>
      <w:pgSz w:w="11906" w:h="16838"/>
      <w:pgMar w:top="1134" w:right="1134" w:bottom="851" w:left="1134" w:header="851" w:footer="506" w:gutter="0"/>
      <w:cols w:space="720"/>
      <w:docGrid w:type="lines" w:linePitch="1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5BB" w:rsidRDefault="009F2D96">
    <w:pPr>
      <w:pStyle w:val="a3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noProof/>
        <w:lang w:val="zh-TW"/>
      </w:rPr>
      <w:t>1</w:t>
    </w:r>
    <w:r>
      <w:rPr>
        <w:lang w:val="zh-TW"/>
      </w:rPr>
      <w:fldChar w:fldCharType="end"/>
    </w:r>
  </w:p>
  <w:p w:rsidR="00E355BB" w:rsidRDefault="009F2D96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94B4D"/>
    <w:multiLevelType w:val="multilevel"/>
    <w:tmpl w:val="F8A43D7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2505BD"/>
    <w:multiLevelType w:val="multilevel"/>
    <w:tmpl w:val="B69625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96"/>
    <w:rsid w:val="00830F04"/>
    <w:rsid w:val="009F2D96"/>
    <w:rsid w:val="00C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03B56-E712-45AD-B17C-66D6AC03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2D96"/>
    <w:pPr>
      <w:widowControl w:val="0"/>
      <w:suppressAutoHyphens/>
      <w:autoSpaceDN w:val="0"/>
      <w:textAlignment w:val="baseline"/>
    </w:pPr>
    <w:rPr>
      <w:rFonts w:ascii="Calibri" w:eastAsia="新細明體" w:hAnsi="Calibri" w:cs="Times New Roman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F2D96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4">
    <w:name w:val="頁尾 字元"/>
    <w:basedOn w:val="a0"/>
    <w:link w:val="a3"/>
    <w:rsid w:val="009F2D96"/>
    <w:rPr>
      <w:rFonts w:ascii="Times New Roman" w:eastAsia="新細明體" w:hAnsi="Times New Roman" w:cs="Times New Roman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1</cp:revision>
  <dcterms:created xsi:type="dcterms:W3CDTF">2019-04-11T06:34:00Z</dcterms:created>
  <dcterms:modified xsi:type="dcterms:W3CDTF">2019-04-11T06:35:00Z</dcterms:modified>
</cp:coreProperties>
</file>