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数据格式</w:t>
      </w:r>
    </w:p>
    <w:bookmarkStart w:id="34" w:name="数据格式"/>
    <w:p>
      <w:pPr>
        <w:pStyle w:val="Heading1"/>
      </w:pPr>
      <w:r>
        <w:t xml:space="preserve">数据格式</w:t>
      </w:r>
    </w:p>
    <w:bookmarkStart w:id="20" w:name="设计目标"/>
    <w:p>
      <w:pPr>
        <w:pStyle w:val="Heading2"/>
      </w:pPr>
      <w:r>
        <w:t xml:space="preserve">设计目标</w:t>
      </w:r>
    </w:p>
    <w:p>
      <w:pPr>
        <w:pStyle w:val="FirstParagraph"/>
      </w:pPr>
      <w:r>
        <w:t xml:space="preserve">规范数据表达，保证直观准确一致地理解数据。</w:t>
      </w:r>
    </w:p>
    <w:bookmarkEnd w:id="20"/>
    <w:bookmarkStart w:id="32" w:name="类型"/>
    <w:p>
      <w:pPr>
        <w:pStyle w:val="Heading2"/>
      </w:pPr>
      <w:r>
        <w:t xml:space="preserve">类型</w:t>
      </w:r>
    </w:p>
    <w:bookmarkStart w:id="21" w:name="数值"/>
    <w:p>
      <w:pPr>
        <w:pStyle w:val="Heading3"/>
      </w:pPr>
      <w:r>
        <w:t xml:space="preserve">数值</w:t>
      </w:r>
    </w:p>
    <w:p>
      <w:pPr>
        <w:pStyle w:val="FirstParagraph"/>
      </w:pPr>
      <w:r>
        <w:t xml:space="preserve">数值用来表示计量大小，可单独出现或搭配数字符号进行使用。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符号格式</w:t>
            </w:r>
          </w:p>
        </w:tc>
        <w:tc>
          <w:p>
            <w:pPr>
              <w:pStyle w:val="Compact"/>
              <w:jc w:val="left"/>
            </w:pPr>
            <w:r>
              <w:t xml:space="preserve">如何使用及何时使用</w:t>
            </w:r>
          </w:p>
        </w:tc>
        <w:tc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千分位</w:t>
            </w:r>
          </w:p>
        </w:tc>
        <w:tc>
          <w:p>
            <w:pPr>
              <w:pStyle w:val="Compact"/>
              <w:jc w:val="left"/>
            </w:pPr>
            <w:r>
              <w:t xml:space="preserve">默认使用千分位帮助用户阅读。</w:t>
            </w:r>
          </w:p>
        </w:tc>
        <w:tc>
          <w:p>
            <w:pPr>
              <w:pStyle w:val="Compact"/>
              <w:jc w:val="left"/>
            </w:pPr>
            <w:r>
              <w:t xml:space="preserve">123,220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计量单位</w:t>
            </w:r>
          </w:p>
        </w:tc>
        <w:tc>
          <w:p>
            <w:pPr>
              <w:pStyle w:val="Compact"/>
              <w:jc w:val="left"/>
            </w:pPr>
            <w:r>
              <w:t xml:space="preserve">计量单位默认用小写字母。</w:t>
            </w:r>
          </w:p>
        </w:tc>
        <w:tc>
          <w:p>
            <w:pPr>
              <w:pStyle w:val="Compact"/>
              <w:jc w:val="left"/>
            </w:pPr>
            <w:r>
              <w:t xml:space="preserve">123,220kg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百分比</w:t>
            </w:r>
          </w:p>
        </w:tc>
        <w:tc>
          <w:p>
            <w:pPr>
              <w:pStyle w:val="Compact"/>
              <w:jc w:val="left"/>
            </w:pPr>
            <w:r>
              <w:t xml:space="preserve">比例问题等。</w:t>
            </w:r>
          </w:p>
        </w:tc>
        <w:tc>
          <w:p>
            <w:pPr>
              <w:pStyle w:val="Compact"/>
              <w:jc w:val="left"/>
            </w:pPr>
            <w:r>
              <w:t xml:space="preserve">12.32%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正斜杠</w:t>
            </w:r>
          </w:p>
        </w:tc>
        <w:tc>
          <w:p>
            <w:pPr>
              <w:pStyle w:val="Compact"/>
              <w:jc w:val="left"/>
            </w:pPr>
            <w:r>
              <w:t xml:space="preserve">用分数的形式表示事项进展。</w:t>
            </w:r>
          </w:p>
        </w:tc>
        <w:tc>
          <w:p>
            <w:pPr>
              <w:pStyle w:val="Compact"/>
              <w:jc w:val="left"/>
            </w:pPr>
            <w:r>
              <w:t xml:space="preserve">12/30</w:t>
            </w:r>
          </w:p>
        </w:tc>
      </w:tr>
    </w:tbl>
    <w:p>
      <w:pPr>
        <w:pStyle w:val="BodyText"/>
      </w:pPr>
      <w:r>
        <w:rPr>
          <w:bCs/>
          <w:b/>
        </w:rPr>
        <w:t xml:space="preserve">位置排列</w:t>
      </w:r>
      <w:r>
        <w:t xml:space="preserve">：便于用户直观而又准确地读取数据，要做到一眼观定、简洁明了。在表格中，诸如金额、数量等数值分布排列时，通常采用“右对齐”方式，既方便用户快捷读取数据，还可以使用户进行纵向数据对比。</w:t>
      </w:r>
    </w:p>
    <w:p>
      <w:pPr>
        <w:pStyle w:val="BodyText"/>
      </w:pPr>
      <w:r>
        <w:rPr>
          <w:bCs/>
          <w:b/>
        </w:rPr>
        <w:t xml:space="preserve">计量单位</w:t>
      </w:r>
      <w:r>
        <w:t xml:space="preserve">：在表格中，计量单位默认放在表头，并默认右对齐。</w:t>
      </w:r>
    </w:p>
    <w:bookmarkEnd w:id="21"/>
    <w:bookmarkStart w:id="22" w:name="金额"/>
    <w:p>
      <w:pPr>
        <w:pStyle w:val="Heading3"/>
      </w:pPr>
      <w:r>
        <w:t xml:space="preserve">金额</w:t>
      </w:r>
    </w:p>
    <w:p>
      <w:pPr>
        <w:pStyle w:val="FirstParagraph"/>
      </w:pPr>
      <w:r>
        <w:rPr>
          <w:bCs/>
          <w:b/>
        </w:rPr>
        <w:t xml:space="preserve">小写金额：</w:t>
      </w:r>
      <w:r>
        <w:t xml:space="preserve"> </w:t>
      </w:r>
      <w:r>
        <w:t xml:space="preserve">规范格式为「货币符号+数字」的格式，例如“CNY1,123.00"。</w:t>
      </w:r>
      <w:r>
        <w:t xml:space="preserve"> </w:t>
      </w:r>
      <w:r>
        <w:rPr>
          <w:bCs/>
          <w:b/>
        </w:rPr>
        <w:t xml:space="preserve">货币符号</w:t>
      </w:r>
      <w:r>
        <w:t xml:space="preserve">：表示货币种类的符号代码（货币符号表），分为字母和字符两种：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货币符号</w:t>
            </w:r>
          </w:p>
        </w:tc>
        <w:tc>
          <w:p>
            <w:pPr>
              <w:pStyle w:val="Compact"/>
              <w:jc w:val="left"/>
            </w:pPr>
            <w:r>
              <w:t xml:space="preserve">如何使用及何时使用</w:t>
            </w:r>
          </w:p>
        </w:tc>
        <w:tc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字符</w:t>
            </w:r>
          </w:p>
        </w:tc>
        <w:tc>
          <w:p>
            <w:pPr>
              <w:pStyle w:val="Compact"/>
              <w:jc w:val="left"/>
            </w:pPr>
            <w:r>
              <w:t xml:space="preserve">以人民币为例，金额前带货币单位标志</w:t>
            </w:r>
            <w:r>
              <w:rPr>
                <w:rStyle w:val="VerbatimChar"/>
              </w:rPr>
              <w:t xml:space="preserve">¥</w:t>
            </w:r>
          </w:p>
        </w:tc>
        <w:tc>
          <w:p>
            <w:pPr>
              <w:pStyle w:val="Compact"/>
              <w:jc w:val="left"/>
            </w:pPr>
            <w:r>
              <w:t xml:space="preserve">¥123.00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字母</w:t>
            </w:r>
          </w:p>
        </w:tc>
        <w:tc>
          <w:p>
            <w:pPr>
              <w:pStyle w:val="Compact"/>
              <w:jc w:val="left"/>
            </w:pPr>
            <w:r>
              <w:t xml:space="preserve">以人民币为例，推荐使用</w:t>
            </w:r>
            <w:r>
              <w:t xml:space="preserve"> </w:t>
            </w:r>
            <w:r>
              <w:rPr>
                <w:rStyle w:val="VerbatimChar"/>
              </w:rPr>
              <w:t xml:space="preserve">CNY</w:t>
            </w:r>
            <w:r>
              <w:t xml:space="preserve">，</w:t>
            </w:r>
            <w:r>
              <w:rPr>
                <w:rStyle w:val="VerbatimChar"/>
              </w:rPr>
              <w:t xml:space="preserve">CNY</w:t>
            </w:r>
            <w:r>
              <w:t xml:space="preserve"> </w:t>
            </w:r>
            <w:r>
              <w:t xml:space="preserve">为国际上通用的货币代码。</w:t>
            </w:r>
          </w:p>
        </w:tc>
        <w:tc>
          <w:p>
            <w:pPr>
              <w:pStyle w:val="Compact"/>
              <w:jc w:val="left"/>
            </w:pPr>
            <w:r>
              <w:t xml:space="preserve">CNY123.00</w:t>
            </w:r>
          </w:p>
        </w:tc>
      </w:tr>
    </w:tbl>
    <w:p>
      <w:pPr>
        <w:pStyle w:val="BodyText"/>
      </w:pPr>
      <w:r>
        <w:rPr>
          <w:bCs/>
          <w:b/>
        </w:rPr>
        <w:t xml:space="preserve">大写金额：</w:t>
      </w:r>
      <w:r>
        <w:t xml:space="preserve"> </w:t>
      </w:r>
      <w:r>
        <w:t xml:space="preserve">一般用于银行、公司或个人的重要结算凭证和各种交易票据，需要使用大写数字以确保数据无法涂改，规范格式为「货币名称+金额数字」。</w:t>
      </w:r>
    </w:p>
    <w:p>
      <w:pPr>
        <w:pStyle w:val="BodyText"/>
      </w:pPr>
      <w:r>
        <w:rPr>
          <w:bCs/>
          <w:b/>
        </w:rPr>
        <w:t xml:space="preserve">大额计量：</w:t>
      </w:r>
      <w:r>
        <w:t xml:space="preserve"> </w:t>
      </w:r>
      <w:r>
        <w:t xml:space="preserve">如果一个数值很大，那么数值中的“万”“亿”单位可采用汉字。</w:t>
      </w:r>
    </w:p>
    <w:bookmarkEnd w:id="22"/>
    <w:bookmarkStart w:id="25" w:name="日期时间"/>
    <w:p>
      <w:pPr>
        <w:pStyle w:val="Heading3"/>
      </w:pPr>
      <w:r>
        <w:t xml:space="preserve">日期时间</w:t>
      </w:r>
    </w:p>
    <w:bookmarkStart w:id="23" w:name="绝对时间"/>
    <w:p>
      <w:pPr>
        <w:pStyle w:val="Heading4"/>
      </w:pPr>
      <w:r>
        <w:t xml:space="preserve">绝对时间</w:t>
      </w:r>
    </w:p>
    <w:p>
      <w:pPr>
        <w:pStyle w:val="FirstParagraph"/>
      </w:pPr>
      <w:r>
        <w:t xml:space="preserve">针对时间精确度要求较高的用户，强调信息发布的精确时间点，有回顾过去内容并通过绝对时间用来检索信息的诉求。</w:t>
      </w:r>
    </w:p>
    <w:p>
      <w:pPr>
        <w:pStyle w:val="BodyText"/>
      </w:pPr>
      <w:r>
        <w:rPr>
          <w:bCs/>
          <w:b/>
        </w:rPr>
        <w:t xml:space="preserve">日期格式：</w:t>
      </w:r>
      <w:r>
        <w:t xml:space="preserve"> </w:t>
      </w:r>
      <w:r>
        <w:t xml:space="preserve">可用如下标准化计法：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格式</w:t>
            </w:r>
          </w:p>
        </w:tc>
        <w:tc>
          <w:p>
            <w:pPr>
              <w:pStyle w:val="Compact"/>
              <w:jc w:val="left"/>
            </w:pPr>
            <w:r>
              <w:t xml:space="preserve">如何使用及何时使用</w:t>
            </w:r>
          </w:p>
        </w:tc>
        <w:tc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年、月、日</w:t>
            </w:r>
          </w:p>
        </w:tc>
        <w:tc>
          <w:p>
            <w:pPr>
              <w:pStyle w:val="Compact"/>
              <w:jc w:val="left"/>
            </w:pPr>
            <w:r>
              <w:t xml:space="preserve">中国默认使用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格式。（其它国家参考链接）。</w:t>
            </w:r>
          </w:p>
        </w:tc>
        <w:tc>
          <w:p>
            <w:pPr>
              <w:pStyle w:val="Compact"/>
              <w:jc w:val="left"/>
            </w:pPr>
            <w:r>
              <w:t xml:space="preserve">2019-12-08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专用名词</w:t>
            </w:r>
          </w:p>
        </w:tc>
        <w:tc>
          <w:p>
            <w:pPr>
              <w:pStyle w:val="Compact"/>
              <w:jc w:val="left"/>
            </w:pPr>
            <w:r>
              <w:t xml:space="preserve">含有月日的专用名词采用阿拉伯数字表示时，应采用间隔号</w:t>
            </w:r>
            <w:r>
              <w:t xml:space="preserve"> </w:t>
            </w:r>
            <w:r>
              <w:rPr>
                <w:rStyle w:val="VerbatimChar"/>
              </w:rPr>
              <w:t xml:space="preserve">·</w:t>
            </w:r>
            <w:r>
              <w:t xml:space="preserve"> </w:t>
            </w:r>
            <w:r>
              <w:t xml:space="preserve">将月、日分开，并在数字前后加引号。</w:t>
            </w:r>
          </w:p>
        </w:tc>
        <w:tc>
          <w:p>
            <w:pPr>
              <w:pStyle w:val="Compact"/>
              <w:jc w:val="left"/>
            </w:pPr>
            <w:r>
              <w:t xml:space="preserve">“6·1” 儿童节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日期范围</w:t>
            </w:r>
          </w:p>
        </w:tc>
        <w:tc>
          <w:p>
            <w:pPr>
              <w:pStyle w:val="Compact"/>
              <w:jc w:val="left"/>
            </w:pPr>
            <w:r>
              <w:t xml:space="preserve">在日期或时间范围之间显示一个波浪号 （前后需要空格）。</w:t>
            </w:r>
          </w:p>
        </w:tc>
        <w:tc>
          <w:p>
            <w:pPr>
              <w:pStyle w:val="Compact"/>
              <w:jc w:val="left"/>
            </w:pPr>
            <w:r>
              <w:t xml:space="preserve">2018-12-08 ～ 2019-12-07</w:t>
            </w:r>
          </w:p>
        </w:tc>
      </w:tr>
    </w:tbl>
    <w:p>
      <w:pPr>
        <w:pStyle w:val="BodyText"/>
      </w:pPr>
      <w:r>
        <w:rPr>
          <w:bCs/>
          <w:b/>
        </w:rPr>
        <w:t xml:space="preserve">时间格式</w:t>
      </w:r>
      <w:r>
        <w:t xml:space="preserve">：默认使用二十四小时制：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时间制</w:t>
            </w:r>
          </w:p>
        </w:tc>
        <w:tc>
          <w:p>
            <w:pPr>
              <w:pStyle w:val="Compact"/>
              <w:jc w:val="left"/>
            </w:pPr>
            <w:r>
              <w:t xml:space="preserve">如何使用及何时使用</w:t>
            </w:r>
          </w:p>
        </w:tc>
        <w:tc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二十四小时制</w:t>
            </w:r>
          </w:p>
        </w:tc>
        <w:tc>
          <w:p>
            <w:pPr>
              <w:pStyle w:val="Compact"/>
              <w:jc w:val="left"/>
            </w:pPr>
            <w:r>
              <w:t xml:space="preserve">二十四小时时间格式  </w:t>
            </w:r>
            <w:r>
              <w:rPr>
                <w:rStyle w:val="VerbatimChar"/>
              </w:rPr>
              <w:t xml:space="preserve">HH:mm:ss</w:t>
            </w:r>
            <w:r>
              <w:t xml:space="preserve"> </w:t>
            </w:r>
            <w:r>
              <w:t xml:space="preserve">。</w:t>
            </w:r>
          </w:p>
        </w:tc>
        <w:tc>
          <w:p>
            <w:pPr>
              <w:pStyle w:val="Compact"/>
              <w:jc w:val="left"/>
            </w:pPr>
            <w:r>
              <w:t xml:space="preserve">14:08:00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十二小时制</w:t>
            </w:r>
          </w:p>
        </w:tc>
        <w:tc>
          <w:p>
            <w:pPr>
              <w:pStyle w:val="Compact"/>
              <w:jc w:val="left"/>
            </w:pPr>
            <w:r>
              <w:t xml:space="preserve">十二小时时间格式</w:t>
            </w:r>
            <w:r>
              <w:t xml:space="preserve"> </w:t>
            </w:r>
            <w:r>
              <w:rPr>
                <w:rStyle w:val="VerbatimChar"/>
              </w:rPr>
              <w:t xml:space="preserve">h:mm:ss</w:t>
            </w:r>
            <w:r>
              <w:t xml:space="preserve"> </w:t>
            </w:r>
            <w:r>
              <w:t xml:space="preserve">。</w:t>
            </w:r>
          </w:p>
        </w:tc>
        <w:tc>
          <w:p>
            <w:pPr>
              <w:pStyle w:val="Compact"/>
              <w:jc w:val="left"/>
            </w:pPr>
            <w:r>
              <w:t xml:space="preserve">2:08:00 PM | 2:08:00 AM</w:t>
            </w:r>
          </w:p>
        </w:tc>
      </w:tr>
    </w:tbl>
    <w:p>
      <w:pPr>
        <w:pStyle w:val="BodyText"/>
      </w:pPr>
      <w:r>
        <w:rPr>
          <w:bCs/>
          <w:b/>
        </w:rPr>
        <w:t xml:space="preserve">标准格式</w:t>
      </w:r>
      <w:r>
        <w:t xml:space="preserve">：日期与时间连在一起时，两者之间用「空格」隔开，如“2019-12-08 06:00:00”。</w:t>
      </w:r>
    </w:p>
    <w:bookmarkEnd w:id="23"/>
    <w:bookmarkStart w:id="24" w:name="相对时间"/>
    <w:p>
      <w:pPr>
        <w:pStyle w:val="Heading4"/>
      </w:pPr>
      <w:r>
        <w:t xml:space="preserve">相对时间</w:t>
      </w:r>
    </w:p>
    <w:p>
      <w:pPr>
        <w:pStyle w:val="FirstParagraph"/>
      </w:pPr>
      <w:r>
        <w:t xml:space="preserve">时间的精确度对于用户并不十分重要，重要的是信息的即时性。在中后台中，相对时间一般用于消息、通知类功能，用户往往更关注于书面形式的时间单位，而不必去往前推算出发布的具体时间点。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p>
            <w:pPr>
              <w:pStyle w:val="Compact"/>
              <w:jc w:val="left"/>
            </w:pPr>
            <w:r>
              <w:t xml:space="preserve">展示形式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分钟以内的时间</w:t>
            </w:r>
          </w:p>
        </w:tc>
        <w:tc>
          <w:p>
            <w:pPr>
              <w:pStyle w:val="Compact"/>
              <w:jc w:val="left"/>
            </w:pPr>
            <w:r>
              <w:t xml:space="preserve">刚刚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小时以内的时间</w:t>
            </w:r>
          </w:p>
        </w:tc>
        <w:tc>
          <w:p>
            <w:pPr>
              <w:pStyle w:val="Compact"/>
              <w:jc w:val="left"/>
            </w:pPr>
            <w:r>
              <w:t xml:space="preserve">N 分钟前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 小时以内的时间</w:t>
            </w:r>
          </w:p>
        </w:tc>
        <w:tc>
          <w:p>
            <w:pPr>
              <w:pStyle w:val="Compact"/>
              <w:jc w:val="left"/>
            </w:pPr>
            <w:r>
              <w:t xml:space="preserve">N 小时前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 小时以外的时间</w:t>
            </w:r>
          </w:p>
        </w:tc>
        <w:tc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mm-dd HH:mm</w:t>
            </w:r>
            <w:r>
              <w:t xml:space="preserve"> </w:t>
            </w:r>
            <w:r>
              <w:t xml:space="preserve">的形式表示，即 12-08 08:00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超过一年的时间</w:t>
            </w:r>
          </w:p>
        </w:tc>
        <w:tc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yyyy-mm-dd HH:mm</w:t>
            </w:r>
            <w:r>
              <w:t xml:space="preserve"> </w:t>
            </w:r>
            <w:r>
              <w:t xml:space="preserve">的形式表示，即 2019-12-08 08:00</w:t>
            </w:r>
          </w:p>
        </w:tc>
      </w:tr>
    </w:tbl>
    <w:bookmarkEnd w:id="24"/>
    <w:bookmarkEnd w:id="25"/>
    <w:bookmarkStart w:id="28" w:name="数字脱敏"/>
    <w:p>
      <w:pPr>
        <w:pStyle w:val="Heading3"/>
      </w:pPr>
      <w:r>
        <w:t xml:space="preserve">数字脱敏</w:t>
      </w:r>
    </w:p>
    <w:p>
      <w:pPr>
        <w:pStyle w:val="FirstParagraph"/>
      </w:pPr>
      <w:r>
        <w:t xml:space="preserve">数据脱敏是指对某些敏感信息通过脱敏规则进行数据变形，实现敏感隐私数据的可靠保护。此处给出的脱敏规则为通用产品规范，遇到数据安全性较强的业务场景，可根据业务场景自行调整。</w:t>
      </w:r>
    </w:p>
    <w:bookmarkStart w:id="26" w:name="全部脱敏"/>
    <w:p>
      <w:pPr>
        <w:pStyle w:val="Heading4"/>
      </w:pPr>
      <w:r>
        <w:t xml:space="preserve">全部脱敏</w:t>
      </w:r>
    </w:p>
    <w:p>
      <w:pPr>
        <w:pStyle w:val="FirstParagraph"/>
      </w:pPr>
      <w:r>
        <w:t xml:space="preserve">一般用于金额、时间等特别重要敏感的信息，需要对所有数字进行脱敏。数据用一个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代替。</w:t>
      </w:r>
    </w:p>
    <w:bookmarkEnd w:id="26"/>
    <w:bookmarkStart w:id="27" w:name="部分脱敏"/>
    <w:p>
      <w:pPr>
        <w:pStyle w:val="Heading4"/>
      </w:pPr>
      <w:r>
        <w:t xml:space="preserve">部分脱敏</w:t>
      </w:r>
    </w:p>
    <w:p>
      <w:pPr>
        <w:pStyle w:val="FirstParagraph"/>
      </w:pPr>
      <w:r>
        <w:t xml:space="preserve">一般用于需要部分信息进行识别的状况，只需要对部分信息进行脱敏处理，但数字真实位数保留。数据脱敏部分用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代替。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脱敏类型</w:t>
            </w:r>
          </w:p>
        </w:tc>
        <w:tc>
          <w:p>
            <w:pPr>
              <w:pStyle w:val="Compact"/>
              <w:jc w:val="left"/>
            </w:pPr>
            <w:r>
              <w:t xml:space="preserve">如何使用</w:t>
            </w:r>
          </w:p>
        </w:tc>
        <w:tc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p>
            <w:pPr>
              <w:pStyle w:val="Compact"/>
              <w:jc w:val="left"/>
            </w:pPr>
            <w:r>
              <w:t xml:space="preserve">两个字的姓名：显示第一个字符，后面的隐藏为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。</w:t>
            </w:r>
          </w:p>
        </w:tc>
        <w:tc>
          <w:p>
            <w:pPr>
              <w:pStyle w:val="Compact"/>
              <w:jc w:val="left"/>
            </w:pPr>
            <w:r>
              <w:t xml:space="preserve">仲*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三个字及三个字以上的姓名：显示第一个字符和最后一个字符，中间字符为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。</w:t>
            </w:r>
          </w:p>
        </w:tc>
        <w:tc>
          <w:p>
            <w:pPr>
              <w:pStyle w:val="Compact"/>
              <w:jc w:val="left"/>
            </w:pPr>
            <w:r>
              <w:t xml:space="preserve">仲*妮仲**妮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手机号码</w:t>
            </w:r>
          </w:p>
        </w:tc>
        <w:tc>
          <w:p>
            <w:pPr>
              <w:pStyle w:val="Compact"/>
              <w:jc w:val="left"/>
            </w:pPr>
            <w:r>
              <w:t xml:space="preserve">保留手机号码前 3 位与后 4 位。</w:t>
            </w:r>
          </w:p>
        </w:tc>
        <w:tc>
          <w:p>
            <w:pPr>
              <w:pStyle w:val="Compact"/>
              <w:jc w:val="left"/>
            </w:pPr>
            <w:r>
              <w:t xml:space="preserve">186 **** 1402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身份证号码</w:t>
            </w:r>
          </w:p>
        </w:tc>
        <w:tc>
          <w:p>
            <w:pPr>
              <w:pStyle w:val="Compact"/>
              <w:jc w:val="left"/>
            </w:pPr>
            <w:r>
              <w:t xml:space="preserve">公民身份号码由六位地址码，八位出生日期码，三位顺序码和一位校验码组成。脱敏规则分为高、中、低级：</w:t>
            </w:r>
            <w:r>
              <w:rPr>
                <w:bCs/>
                <w:b/>
              </w:rPr>
              <w:t xml:space="preserve">高级</w:t>
            </w:r>
            <w:r>
              <w:t xml:space="preserve">：保留前一位与后一位，其余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表示，仅能识别该人属于哪个地区。</w:t>
            </w:r>
            <w:r>
              <w:rPr>
                <w:bCs/>
                <w:b/>
              </w:rPr>
              <w:t xml:space="preserve">中级</w:t>
            </w:r>
            <w:r>
              <w:t xml:space="preserve">：保留前三位与后三位，其余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表示，仅能识别该人的省市与是男是女。</w:t>
            </w:r>
            <w:r>
              <w:rPr>
                <w:bCs/>
                <w:b/>
              </w:rPr>
              <w:t xml:space="preserve">低级</w:t>
            </w:r>
            <w:r>
              <w:t xml:space="preserve">：保留前六位与后四位，其余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表示，仅能识别该人的省市区与是男是女。</w:t>
            </w:r>
          </w:p>
        </w:tc>
        <w:tc>
          <w:p>
            <w:pPr>
              <w:pStyle w:val="Compact"/>
              <w:jc w:val="left"/>
            </w:pPr>
            <w:r>
              <w:t xml:space="preserve">6*************2213***********203212912******2233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联系地址</w:t>
            </w:r>
          </w:p>
        </w:tc>
        <w:tc>
          <w:p>
            <w:pPr>
              <w:pStyle w:val="Compact"/>
              <w:jc w:val="left"/>
            </w:pPr>
            <w:r>
              <w:t xml:space="preserve">保留省市区，后面的用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表述。</w:t>
            </w:r>
          </w:p>
        </w:tc>
        <w:tc>
          <w:p>
            <w:pPr>
              <w:pStyle w:val="Compact"/>
              <w:jc w:val="left"/>
            </w:pPr>
            <w:r>
              <w:t xml:space="preserve">浙江省杭州市 西湖区 *</w:t>
            </w:r>
            <w:r>
              <w:rPr>
                <w:bCs/>
                <w:b/>
              </w:rPr>
              <w:t xml:space="preserve">****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p>
            <w:pPr>
              <w:pStyle w:val="Compact"/>
              <w:jc w:val="left"/>
            </w:pPr>
            <w:r>
              <w:t xml:space="preserve">保留邮箱主机名与前三位字符，其余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表示。</w:t>
            </w:r>
          </w:p>
        </w:tc>
        <w:tc>
          <w:p>
            <w:pPr>
              <w:pStyle w:val="Compact"/>
              <w:jc w:val="left"/>
            </w:pPr>
            <w:r>
              <w:t xml:space="preserve">123*</w:t>
            </w:r>
            <w:r>
              <w:rPr>
                <w:bCs/>
                <w:b/>
              </w:rPr>
              <w:t xml:space="preserve">******</w:t>
            </w:r>
            <w:r>
              <w:t xml:space="preserve">@163.com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银行卡号码</w:t>
            </w:r>
          </w:p>
        </w:tc>
        <w:tc>
          <w:p>
            <w:pPr>
              <w:pStyle w:val="Compact"/>
              <w:jc w:val="left"/>
            </w:pPr>
            <w:r>
              <w:t xml:space="preserve">银行卡号码由发卡行标识代码（六到十二位不等），个人账号标识（六到十二位不等），一位校验码组成。脱敏规则分为高、中、低级：</w:t>
            </w:r>
            <w:r>
              <w:rPr>
                <w:bCs/>
                <w:b/>
              </w:rPr>
              <w:t xml:space="preserve">高级</w:t>
            </w:r>
            <w:r>
              <w:t xml:space="preserve">：保留后四位，其余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表示，仅能识别部份个人账号标识。</w:t>
            </w:r>
            <w:r>
              <w:rPr>
                <w:bCs/>
                <w:b/>
              </w:rPr>
              <w:t xml:space="preserve">中级</w:t>
            </w:r>
            <w:r>
              <w:t xml:space="preserve">：保留前六位与后四位，其余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表示，仅能识别发卡行与小部份个人账号标识。</w:t>
            </w:r>
            <w:r>
              <w:rPr>
                <w:bCs/>
                <w:b/>
              </w:rPr>
              <w:t xml:space="preserve">低级</w:t>
            </w:r>
            <w:r>
              <w:t xml:space="preserve">：保留前四位与后六位，其余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表示。仅能识别发卡行与大部份个人账号标识。</w:t>
            </w:r>
          </w:p>
        </w:tc>
        <w:tc>
          <w:p>
            <w:pPr>
              <w:pStyle w:val="Compact"/>
              <w:jc w:val="left"/>
            </w:pPr>
            <w:r>
              <w:t xml:space="preserve">**********</w:t>
            </w:r>
            <w:r>
              <w:rPr>
                <w:bCs/>
                <w:b/>
              </w:rPr>
              <w:t xml:space="preserve">1208620121</w:t>
            </w:r>
            <w:r>
              <w:t xml:space="preserve">****1208620121****111208</w:t>
            </w:r>
          </w:p>
        </w:tc>
      </w:tr>
    </w:tbl>
    <w:bookmarkEnd w:id="27"/>
    <w:bookmarkEnd w:id="28"/>
    <w:bookmarkStart w:id="31" w:name="数据状态"/>
    <w:p>
      <w:pPr>
        <w:pStyle w:val="Heading3"/>
      </w:pPr>
      <w:r>
        <w:t xml:space="preserve">数据状态</w:t>
      </w:r>
    </w:p>
    <w:bookmarkStart w:id="29" w:name="无数据"/>
    <w:p>
      <w:pPr>
        <w:pStyle w:val="Heading4"/>
      </w:pPr>
      <w:r>
        <w:t xml:space="preserve">无数据</w:t>
      </w:r>
    </w:p>
    <w:p>
      <w:pPr>
        <w:pStyle w:val="FirstParagraph"/>
      </w:pPr>
      <w:r>
        <w:t xml:space="preserve">无数据用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表述。</w:t>
      </w:r>
    </w:p>
    <w:bookmarkEnd w:id="29"/>
    <w:bookmarkStart w:id="30" w:name="数据加载"/>
    <w:p>
      <w:pPr>
        <w:pStyle w:val="Heading4"/>
      </w:pPr>
      <w:r>
        <w:t xml:space="preserve">数据加载</w:t>
      </w:r>
    </w:p>
    <w:p>
      <w:pPr>
        <w:pStyle w:val="FirstParagraph"/>
      </w:pPr>
      <w:r>
        <w:t xml:space="preserve">数据加载用「骨架屏」表示。</w:t>
      </w:r>
    </w:p>
    <w:bookmarkEnd w:id="30"/>
    <w:bookmarkEnd w:id="31"/>
    <w:bookmarkEnd w:id="32"/>
    <w:bookmarkStart w:id="33" w:name="参考文档"/>
    <w:p>
      <w:pPr>
        <w:pStyle w:val="Heading2"/>
      </w:pPr>
      <w:r>
        <w:t xml:space="preserve">参考文档</w:t>
      </w:r>
    </w:p>
    <w:p>
      <w:pPr>
        <w:numPr>
          <w:ilvl w:val="0"/>
          <w:numId w:val="1001"/>
        </w:numPr>
        <w:pStyle w:val="Compact"/>
      </w:pPr>
      <w:r>
        <w:t xml:space="preserve">货币符号表</w:t>
      </w:r>
    </w:p>
    <w:p>
      <w:pPr>
        <w:numPr>
          <w:ilvl w:val="0"/>
          <w:numId w:val="1001"/>
        </w:numPr>
        <w:pStyle w:val="Compact"/>
      </w:pPr>
      <w:r>
        <w:t xml:space="preserve">其它国家时间规范参考链接</w:t>
      </w:r>
    </w:p>
    <w:p>
      <w:pPr>
        <w:numPr>
          <w:ilvl w:val="0"/>
          <w:numId w:val="1001"/>
        </w:numPr>
        <w:pStyle w:val="Compact"/>
      </w:pPr>
      <w:r>
        <w:t xml:space="preserve">出版物数字规范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数据格式</dc:title>
  <dc:creator/>
  <cp:keywords/>
  <dcterms:created xsi:type="dcterms:W3CDTF">2026-07-17T18:12:28Z</dcterms:created>
  <dcterms:modified xsi:type="dcterms:W3CDTF">2026-07-17T18:12:28Z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