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HA使用实例</w:t>
      </w:r>
    </w:p>
    <w:bookmarkStart w:id="39" w:name="ha使用实例"/>
    <w:p>
      <w:pPr>
        <w:pStyle w:val="Heading1"/>
      </w:pPr>
      <w:r>
        <w:t xml:space="preserve">HA使用实例</w:t>
      </w:r>
    </w:p>
    <w:p>
      <w:pPr>
        <w:pStyle w:val="FirstParagraph"/>
      </w:pPr>
      <w:r>
        <w:t xml:space="preserve">本章介绍如何快速使用HA高可用集群，以及添加一个实例。若不了解怎么安装，请参考HA的安装与部署文档。</w:t>
      </w:r>
    </w:p>
    <w:p>
      <w:pPr>
        <w:numPr>
          <w:ilvl w:val="0"/>
          <w:numId w:val="1001"/>
        </w:numPr>
        <w:pStyle w:val="Compact"/>
      </w:pPr>
      <w:r>
        <w:t xml:space="preserve">HA使用实例</w:t>
      </w:r>
    </w:p>
    <w:p>
      <w:pPr>
        <w:numPr>
          <w:ilvl w:val="1"/>
          <w:numId w:val="1002"/>
        </w:numPr>
        <w:pStyle w:val="Compact"/>
      </w:pPr>
      <w:r>
        <w:t xml:space="preserve">快速使用指南</w:t>
      </w:r>
    </w:p>
    <w:p>
      <w:pPr>
        <w:numPr>
          <w:ilvl w:val="2"/>
          <w:numId w:val="1003"/>
        </w:numPr>
        <w:pStyle w:val="Compact"/>
      </w:pPr>
      <w:r>
        <w:t xml:space="preserve">登陆页面</w:t>
      </w:r>
    </w:p>
    <w:p>
      <w:pPr>
        <w:numPr>
          <w:ilvl w:val="2"/>
          <w:numId w:val="1003"/>
        </w:numPr>
        <w:pStyle w:val="Compact"/>
      </w:pPr>
      <w:r>
        <w:t xml:space="preserve">主页面</w:t>
      </w:r>
    </w:p>
    <w:p>
      <w:pPr>
        <w:numPr>
          <w:ilvl w:val="3"/>
          <w:numId w:val="1004"/>
        </w:numPr>
        <w:pStyle w:val="Compact"/>
      </w:pPr>
      <w:r>
        <w:t xml:space="preserve">导航栏</w:t>
      </w:r>
    </w:p>
    <w:p>
      <w:pPr>
        <w:numPr>
          <w:ilvl w:val="3"/>
          <w:numId w:val="1004"/>
        </w:numPr>
        <w:pStyle w:val="Compact"/>
      </w:pPr>
      <w:r>
        <w:t xml:space="preserve">顶部操作区</w:t>
      </w:r>
    </w:p>
    <w:p>
      <w:pPr>
        <w:numPr>
          <w:ilvl w:val="3"/>
          <w:numId w:val="1004"/>
        </w:numPr>
        <w:pStyle w:val="Compact"/>
      </w:pPr>
      <w:r>
        <w:t xml:space="preserve">资源节点列表区</w:t>
      </w:r>
    </w:p>
    <w:p>
      <w:pPr>
        <w:numPr>
          <w:ilvl w:val="3"/>
          <w:numId w:val="1004"/>
        </w:numPr>
        <w:pStyle w:val="Compact"/>
      </w:pPr>
      <w:r>
        <w:t xml:space="preserve">节点操作浮动区</w:t>
      </w:r>
    </w:p>
    <w:p>
      <w:pPr>
        <w:numPr>
          <w:ilvl w:val="1"/>
          <w:numId w:val="1002"/>
        </w:numPr>
        <w:pStyle w:val="Compact"/>
      </w:pPr>
      <w:r>
        <w:t xml:space="preserve">首选项配置</w:t>
      </w:r>
    </w:p>
    <w:p>
      <w:pPr>
        <w:numPr>
          <w:ilvl w:val="2"/>
          <w:numId w:val="1005"/>
        </w:numPr>
        <w:pStyle w:val="Compact"/>
      </w:pPr>
      <w:r>
        <w:t xml:space="preserve">添加资源</w:t>
      </w:r>
    </w:p>
    <w:p>
      <w:pPr>
        <w:numPr>
          <w:ilvl w:val="3"/>
          <w:numId w:val="1006"/>
        </w:numPr>
        <w:pStyle w:val="Compact"/>
      </w:pPr>
      <w:r>
        <w:t xml:space="preserve">添加普通资源</w:t>
      </w:r>
    </w:p>
    <w:p>
      <w:pPr>
        <w:numPr>
          <w:ilvl w:val="3"/>
          <w:numId w:val="1006"/>
        </w:numPr>
        <w:pStyle w:val="Compact"/>
      </w:pPr>
      <w:r>
        <w:t xml:space="preserve">添加组资源</w:t>
      </w:r>
    </w:p>
    <w:p>
      <w:pPr>
        <w:numPr>
          <w:ilvl w:val="3"/>
          <w:numId w:val="1006"/>
        </w:numPr>
        <w:pStyle w:val="Compact"/>
      </w:pPr>
      <w:r>
        <w:t xml:space="preserve">添加克隆资源</w:t>
      </w:r>
    </w:p>
    <w:p>
      <w:pPr>
        <w:numPr>
          <w:ilvl w:val="2"/>
          <w:numId w:val="1005"/>
        </w:numPr>
        <w:pStyle w:val="Compact"/>
      </w:pPr>
      <w:r>
        <w:t xml:space="preserve">编辑资源</w:t>
      </w:r>
    </w:p>
    <w:p>
      <w:pPr>
        <w:numPr>
          <w:ilvl w:val="2"/>
          <w:numId w:val="1005"/>
        </w:numPr>
        <w:pStyle w:val="Compact"/>
      </w:pPr>
      <w:r>
        <w:t xml:space="preserve">设置资源关系</w:t>
      </w:r>
    </w:p>
    <w:p>
      <w:pPr>
        <w:numPr>
          <w:ilvl w:val="1"/>
          <w:numId w:val="1002"/>
        </w:numPr>
        <w:pStyle w:val="Compact"/>
      </w:pPr>
      <w:r>
        <w:t xml:space="preserve">高可用mysql实例配置</w:t>
      </w:r>
    </w:p>
    <w:p>
      <w:pPr>
        <w:numPr>
          <w:ilvl w:val="2"/>
          <w:numId w:val="1007"/>
        </w:numPr>
        <w:pStyle w:val="Compact"/>
      </w:pPr>
      <w:r>
        <w:t xml:space="preserve">配置虚拟IP</w:t>
      </w:r>
    </w:p>
    <w:p>
      <w:pPr>
        <w:numPr>
          <w:ilvl w:val="2"/>
          <w:numId w:val="1007"/>
        </w:numPr>
        <w:pStyle w:val="Compact"/>
      </w:pPr>
      <w:r>
        <w:t xml:space="preserve">配置NFS存储</w:t>
      </w:r>
    </w:p>
    <w:p>
      <w:pPr>
        <w:numPr>
          <w:ilvl w:val="2"/>
          <w:numId w:val="1007"/>
        </w:numPr>
        <w:pStyle w:val="Compact"/>
      </w:pPr>
      <w:r>
        <w:t xml:space="preserve">配置mysql</w:t>
      </w:r>
    </w:p>
    <w:p>
      <w:pPr>
        <w:numPr>
          <w:ilvl w:val="2"/>
          <w:numId w:val="1007"/>
        </w:numPr>
        <w:pStyle w:val="Compact"/>
      </w:pPr>
      <w:r>
        <w:t xml:space="preserve">添加上述资源为组资源</w:t>
      </w:r>
    </w:p>
    <w:bookmarkStart w:id="33" w:name="快速使用指南"/>
    <w:p>
      <w:pPr>
        <w:pStyle w:val="Heading2"/>
      </w:pPr>
      <w:r>
        <w:t xml:space="preserve">快速使用指南</w:t>
      </w:r>
    </w:p>
    <w:p>
      <w:pPr>
        <w:numPr>
          <w:ilvl w:val="0"/>
          <w:numId w:val="1008"/>
        </w:numPr>
        <w:pStyle w:val="Compact"/>
      </w:pPr>
      <w:r>
        <w:t xml:space="preserve">以下操作均以社区新开发的管理平台为例。</w:t>
      </w:r>
    </w:p>
    <w:bookmarkStart w:id="20" w:name="登陆页面"/>
    <w:p>
      <w:pPr>
        <w:pStyle w:val="Heading3"/>
      </w:pPr>
      <w:r>
        <w:t xml:space="preserve">登陆页面</w:t>
      </w:r>
    </w:p>
    <w:p>
      <w:pPr>
        <w:pStyle w:val="FirstParagraph"/>
      </w:pPr>
      <w:r>
        <w:t xml:space="preserve">用户名为</w:t>
      </w:r>
      <w:r>
        <w:rPr>
          <w:rStyle w:val="VerbatimChar"/>
        </w:rPr>
        <w:t xml:space="preserve">hacluster</w:t>
      </w:r>
      <w:r>
        <w:t xml:space="preserve">，密码为该用户在主机上设置的密码。</w:t>
      </w:r>
    </w:p>
    <w:bookmarkEnd w:id="20"/>
    <w:bookmarkStart w:id="25" w:name="主页面"/>
    <w:p>
      <w:pPr>
        <w:pStyle w:val="Heading3"/>
      </w:pPr>
      <w:r>
        <w:t xml:space="preserve">主页面</w:t>
      </w:r>
    </w:p>
    <w:p>
      <w:pPr>
        <w:pStyle w:val="FirstParagraph"/>
      </w:pPr>
      <w:r>
        <w:t xml:space="preserve">登录系统后显示主页面，主页面由四部分组成：侧边导航栏、顶部操作区、资源节点列表区以及节点操作浮动区。</w:t>
      </w:r>
    </w:p>
    <w:p>
      <w:pPr>
        <w:pStyle w:val="BodyText"/>
      </w:pPr>
      <w:r>
        <w:t xml:space="preserve">以下将详细介绍这四部分的特点与使用方法。</w:t>
      </w:r>
    </w:p>
    <w:bookmarkStart w:id="21" w:name="导航栏"/>
    <w:p>
      <w:pPr>
        <w:pStyle w:val="Heading4"/>
      </w:pPr>
      <w:r>
        <w:t xml:space="preserve">导航栏</w:t>
      </w:r>
    </w:p>
    <w:p>
      <w:pPr>
        <w:pStyle w:val="FirstParagraph"/>
      </w:pPr>
      <w:r>
        <w:t xml:space="preserve">侧边导航栏由两部分组成：高可用集群软件名称和 logo 以及系统导航。系统导航由三项组成：【系统】、【集群配置】和【工具】。【系统】是默认选项，也是主页面的对应项，主要展示系统中所有资源的相关信息以及操作入口；【集群配置】下设【首选项配置】和【心跳配置】两项；【工具】下设【日志下载】和【集群快捷操作】两项，点击后以弹出框的形式出现。</w:t>
      </w:r>
    </w:p>
    <w:bookmarkEnd w:id="21"/>
    <w:bookmarkStart w:id="22" w:name="顶部操作区"/>
    <w:p>
      <w:pPr>
        <w:pStyle w:val="Heading4"/>
      </w:pPr>
      <w:r>
        <w:t xml:space="preserve">顶部操作区</w:t>
      </w:r>
    </w:p>
    <w:p>
      <w:pPr>
        <w:pStyle w:val="FirstParagraph"/>
      </w:pPr>
      <w:r>
        <w:t xml:space="preserve">登录用户是静态显示，鼠标滑过用户图标，出现操作菜单项，包括【刷新设置】和【退出登录】两项，点击【刷新设置】，弹出【刷新设置】对话框，包含【刷新设置】选项，可以设置系统的自动刷新模式，包括【不自动刷新】、【每 5 秒刷新】和【每 10 秒刷新】三种选择，默认选择【不自动刷新】、【退出登录】即可注销本次登录，系统将自动跳到登录页面，此时，如果希望继续访问系统，则需要重新进行登录。</w:t>
      </w:r>
    </w:p>
    <w:bookmarkEnd w:id="22"/>
    <w:bookmarkStart w:id="23" w:name="资源节点列表区"/>
    <w:p>
      <w:pPr>
        <w:pStyle w:val="Heading4"/>
      </w:pPr>
      <w:r>
        <w:t xml:space="preserve">资源节点列表区</w:t>
      </w:r>
    </w:p>
    <w:p>
      <w:pPr>
        <w:pStyle w:val="FirstParagraph"/>
      </w:pPr>
      <w:r>
        <w:t xml:space="preserve">资源节点列表集中展现系统中所有资源的【资源名】、【状态】、【资源类型】、【服务】、【运行节点】等资源信息，以及系统中所有的节点和节点的运行情况等节点信息。同时提供资源的【添加】、【编辑】、【启动】、【停止】、【清理】、【迁移】、【回迁】、【删除】和【关系】操作。</w:t>
      </w:r>
    </w:p>
    <w:bookmarkEnd w:id="23"/>
    <w:bookmarkStart w:id="24" w:name="节点操作浮动区"/>
    <w:p>
      <w:pPr>
        <w:pStyle w:val="Heading4"/>
      </w:pPr>
      <w:r>
        <w:t xml:space="preserve">节点操作浮动区</w:t>
      </w:r>
    </w:p>
    <w:p>
      <w:pPr>
        <w:pStyle w:val="FirstParagraph"/>
      </w:pPr>
      <w:r>
        <w:t xml:space="preserve">节点操作浮动区域默认是收起的状态，每当点击资源节点列表表头中的节点时，右侧会弹出节点操作扩展区域，如图所示，该区域由收起按钮、节点名称、停止和备用四个部分组成，提供节点的【停止】和【备用】操作。点击区域左上角的箭头，该区域收起。</w:t>
      </w:r>
    </w:p>
    <w:bookmarkEnd w:id="24"/>
    <w:bookmarkEnd w:id="25"/>
    <w:bookmarkStart w:id="32" w:name="首选项配置"/>
    <w:p>
      <w:pPr>
        <w:pStyle w:val="Heading3"/>
      </w:pPr>
      <w:r>
        <w:t xml:space="preserve">首选项配置</w:t>
      </w:r>
    </w:p>
    <w:p>
      <w:pPr>
        <w:pStyle w:val="FirstParagraph"/>
      </w:pPr>
      <w:r>
        <w:t xml:space="preserve">以下操作均可用命令行配置，现只做简单示例，若想使用更多命令可以使用</w:t>
      </w:r>
      <w:r>
        <w:rPr>
          <w:rStyle w:val="VerbatimChar"/>
        </w:rPr>
        <w:t xml:space="preserve">pcs --help</w:t>
      </w:r>
      <w:r>
        <w:t xml:space="preserve">进行查询。</w:t>
      </w:r>
    </w:p>
    <w:p>
      <w:pPr>
        <w:pStyle w:val="SourceCode"/>
      </w:pPr>
      <w:r>
        <w:rPr>
          <w:rStyle w:val="VerbatimChar"/>
        </w:rPr>
        <w:t xml:space="preserve"># pcs property set stonith-enabled=false</w:t>
      </w:r>
      <w:r>
        <w:br/>
      </w:r>
      <w:r>
        <w:rPr>
          <w:rStyle w:val="VerbatimChar"/>
        </w:rPr>
        <w:t xml:space="preserve"># pcs property set no-quorum-policy=ignore</w:t>
      </w:r>
    </w:p>
    <w:p>
      <w:pPr>
        <w:pStyle w:val="FirstParagraph"/>
      </w:pPr>
      <w:r>
        <w:rPr>
          <w:rStyle w:val="VerbatimChar"/>
        </w:rPr>
        <w:t xml:space="preserve">pcs property</w:t>
      </w:r>
      <w:r>
        <w:t xml:space="preserve">查看全部设置</w:t>
      </w:r>
    </w:p>
    <w:p>
      <w:pPr>
        <w:numPr>
          <w:ilvl w:val="0"/>
          <w:numId w:val="1009"/>
        </w:numPr>
        <w:pStyle w:val="Compact"/>
      </w:pPr>
      <w:r>
        <w:t xml:space="preserve">点击侧边导航栏中的【首选项配置】按钮，弹出【首选项配置】对话框。将No Quorum Policy和Stonith Enabled由默认状态改为如下对应状态；修改完成后，点击【确定】按钮完成配置。</w:t>
      </w:r>
    </w:p>
    <w:bookmarkStart w:id="29" w:name="添加资源"/>
    <w:p>
      <w:pPr>
        <w:pStyle w:val="Heading4"/>
      </w:pPr>
      <w:r>
        <w:t xml:space="preserve">添加资源</w:t>
      </w:r>
    </w:p>
    <w:bookmarkStart w:id="26" w:name="添加普通资源"/>
    <w:p>
      <w:pPr>
        <w:pStyle w:val="Heading5"/>
      </w:pPr>
      <w:r>
        <w:t xml:space="preserve">添加普通资源</w:t>
      </w:r>
    </w:p>
    <w:p>
      <w:pPr>
        <w:pStyle w:val="FirstParagraph"/>
      </w:pPr>
      <w:r>
        <w:t xml:space="preserve">鼠标点击【添加普通资源】，弹出【创建资源】对话框，其中资源的所有必填配置项均在【基本】页面内，选择【基本】页面内的【资源类型】后会进一步给出该类资源的其他必填配置项以及选填配置项。填写资源配置信息时，对话框右侧会出现灰色文字区域，对当前的配置项进行解释说明。全部必填项配置完毕后，点击【确定】按钮即可创建普通资源，点击【取消】按钮，取消本次添加动作。【实例属性】、【元属性】或者【操作属性】页面中的选填配置项为选填项，不配置不会影响资源的创建过程，可以根据场景需要可选择修改，否则将按照系统默认值处理。</w:t>
      </w:r>
    </w:p>
    <w:p>
      <w:pPr>
        <w:pStyle w:val="BodyText"/>
      </w:pPr>
      <w:r>
        <w:t xml:space="preserve">下面以apache为例，添加apache资源</w:t>
      </w:r>
    </w:p>
    <w:p>
      <w:pPr>
        <w:pStyle w:val="SourceCode"/>
      </w:pPr>
      <w:r>
        <w:rPr>
          <w:rStyle w:val="VerbatimChar"/>
        </w:rPr>
        <w:t xml:space="preserve"># pcs resource create httpd ocf:heartbeat:apache</w:t>
      </w:r>
    </w:p>
    <w:p>
      <w:pPr>
        <w:pStyle w:val="FirstParagraph"/>
      </w:pPr>
      <w:r>
        <w:t xml:space="preserve">查看资源运行状态</w:t>
      </w:r>
    </w:p>
    <w:p>
      <w:pPr>
        <w:pStyle w:val="SourceCode"/>
      </w:pPr>
      <w:r>
        <w:rPr>
          <w:rStyle w:val="VerbatimChar"/>
        </w:rPr>
        <w:t xml:space="preserve"># pcs status</w:t>
      </w:r>
    </w:p>
    <w:p>
      <w:pPr>
        <w:numPr>
          <w:ilvl w:val="0"/>
          <w:numId w:val="1010"/>
        </w:numPr>
      </w:pPr>
      <w:r>
        <w:t xml:space="preserve">添加apache资源</w:t>
      </w:r>
    </w:p>
    <w:p>
      <w:pPr>
        <w:numPr>
          <w:ilvl w:val="0"/>
          <w:numId w:val="1010"/>
        </w:numPr>
      </w:pPr>
      <w:r>
        <w:t xml:space="preserve">若回显为如下，则资源添加成功</w:t>
      </w:r>
    </w:p>
    <w:p>
      <w:pPr>
        <w:numPr>
          <w:ilvl w:val="0"/>
          <w:numId w:val="1010"/>
        </w:numPr>
      </w:pPr>
      <w:r>
        <w:t xml:space="preserve">资源创建成功并启动，运行于其中一个节点上，例如ha1；成功访问apache界面。</w:t>
      </w:r>
    </w:p>
    <w:bookmarkEnd w:id="26"/>
    <w:bookmarkStart w:id="27" w:name="添加组资源"/>
    <w:p>
      <w:pPr>
        <w:pStyle w:val="Heading5"/>
      </w:pPr>
      <w:r>
        <w:t xml:space="preserve">添加组资源</w:t>
      </w:r>
    </w:p>
    <w:p>
      <w:pPr>
        <w:pStyle w:val="FirstParagraph"/>
      </w:pPr>
      <w:r>
        <w:t xml:space="preserve">添加组资源时，集群中需要至少存在一个普通资源。鼠标点击【添加组资源】，弹出【创建资源】对话框。【基本】页面内均为必填项，填写完毕后，点击【确定】按钮，即可完成资源的添加，点击【取消】按钮，取消本次添加动作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注：组资源的启动是按照子资源的顺序启动的，所以选择子资源时需要注意按照顺序选择。</w:t>
      </w:r>
    </w:p>
    <w:p>
      <w:pPr>
        <w:pStyle w:val="FirstParagraph"/>
      </w:pPr>
      <w:r>
        <w:t xml:space="preserve">若回显为如下，则资源添加成功</w:t>
      </w:r>
    </w:p>
    <w:bookmarkEnd w:id="27"/>
    <w:bookmarkStart w:id="28" w:name="添加克隆资源"/>
    <w:p>
      <w:pPr>
        <w:pStyle w:val="Heading5"/>
      </w:pPr>
      <w:r>
        <w:t xml:space="preserve">添加克隆资源</w:t>
      </w:r>
    </w:p>
    <w:p>
      <w:pPr>
        <w:pStyle w:val="FirstParagraph"/>
      </w:pPr>
      <w:r>
        <w:t xml:space="preserve">鼠标点击【添加克隆资源】，弹出【创建资源】对话框。【基本】页面内填写克隆对象，资源名称会自动生成，填写完毕后，点击【确定】按钮，即可完成资源的添加，点击【取消】按钮，取消本次添加动作。</w:t>
      </w:r>
    </w:p>
    <w:p>
      <w:pPr>
        <w:pStyle w:val="BodyText"/>
      </w:pPr>
      <w:r>
        <w:t xml:space="preserve">若回显为如下，则资源添加成功</w:t>
      </w:r>
    </w:p>
    <w:bookmarkEnd w:id="28"/>
    <w:bookmarkEnd w:id="29"/>
    <w:bookmarkStart w:id="30" w:name="编辑资源"/>
    <w:p>
      <w:pPr>
        <w:pStyle w:val="Heading4"/>
      </w:pPr>
      <w:r>
        <w:t xml:space="preserve">编辑资源</w:t>
      </w:r>
    </w:p>
    <w:p>
      <w:pPr>
        <w:numPr>
          <w:ilvl w:val="0"/>
          <w:numId w:val="1012"/>
        </w:numPr>
        <w:pStyle w:val="Compact"/>
      </w:pPr>
      <w:r>
        <w:t xml:space="preserve">启动资源：资源节点列表中选中一个目标资源，要求：该资源处于非运行状态。对该资源执行启动动作。</w:t>
      </w:r>
    </w:p>
    <w:p>
      <w:pPr>
        <w:numPr>
          <w:ilvl w:val="0"/>
          <w:numId w:val="1012"/>
        </w:numPr>
        <w:pStyle w:val="Compact"/>
      </w:pPr>
      <w:r>
        <w:t xml:space="preserve">停止资源：资源节点列表中选中一个目标资源，要求：该资源处于运行状态。对该资源执行停止操作。</w:t>
      </w:r>
    </w:p>
    <w:p>
      <w:pPr>
        <w:numPr>
          <w:ilvl w:val="0"/>
          <w:numId w:val="1012"/>
        </w:numPr>
        <w:pStyle w:val="Compact"/>
      </w:pPr>
      <w:r>
        <w:t xml:space="preserve">清理资源：资源节点列表中选中一个目标资源，对该资源执行清理操作。</w:t>
      </w:r>
    </w:p>
    <w:p>
      <w:pPr>
        <w:numPr>
          <w:ilvl w:val="0"/>
          <w:numId w:val="1012"/>
        </w:numPr>
        <w:pStyle w:val="Compact"/>
      </w:pPr>
      <w:r>
        <w:t xml:space="preserve">迁移资源：资源节点列表中选中一个目标资源，要求：该资源为处于运行状态的普通资源或者组资源，执行迁移操作可以将资源迁移到指定节点上运行。</w:t>
      </w:r>
    </w:p>
    <w:p>
      <w:pPr>
        <w:numPr>
          <w:ilvl w:val="0"/>
          <w:numId w:val="1012"/>
        </w:numPr>
        <w:pStyle w:val="Compact"/>
      </w:pPr>
      <w:r>
        <w:t xml:space="preserve">回迁资源：资源节点列表中选中一个目标资源，要求：该资源已经完成迁移动作，执行回迁操作，可以清除该资源的迁移设置，资源重新迁回到原来的节点上运行。</w:t>
      </w:r>
      <w:r>
        <w:t xml:space="preserve"> </w:t>
      </w:r>
      <w:r>
        <w:t xml:space="preserve">点击按钮后，列表中该资源项的变化状态与启动资源时一致。</w:t>
      </w:r>
    </w:p>
    <w:p>
      <w:pPr>
        <w:numPr>
          <w:ilvl w:val="0"/>
          <w:numId w:val="1012"/>
        </w:numPr>
        <w:pStyle w:val="Compact"/>
      </w:pPr>
      <w:r>
        <w:t xml:space="preserve">删除资源：资源节点列表中选中一个目标资源，对该资源执行删除操作。</w:t>
      </w:r>
    </w:p>
    <w:bookmarkEnd w:id="30"/>
    <w:bookmarkStart w:id="31" w:name="设置资源关系"/>
    <w:p>
      <w:pPr>
        <w:pStyle w:val="Heading4"/>
      </w:pPr>
      <w:r>
        <w:t xml:space="preserve">设置资源关系</w:t>
      </w:r>
    </w:p>
    <w:p>
      <w:pPr>
        <w:pStyle w:val="FirstParagraph"/>
      </w:pPr>
      <w:r>
        <w:t xml:space="preserve">资源关系即为目标资源设定限制条件，资源的限制条件分为三种：资源位置、资源协同和资源顺序。</w:t>
      </w:r>
    </w:p>
    <w:p>
      <w:pPr>
        <w:numPr>
          <w:ilvl w:val="0"/>
          <w:numId w:val="1013"/>
        </w:numPr>
        <w:pStyle w:val="Compact"/>
      </w:pPr>
      <w:r>
        <w:t xml:space="preserve">资源位置：设置集群中的节点对于该资源的运行级别，由此确定启动或者切换时资源在哪个节点上运行，运行级别按照从高到低的顺序依次为：Master Node、Slave 1。</w:t>
      </w:r>
    </w:p>
    <w:p>
      <w:pPr>
        <w:numPr>
          <w:ilvl w:val="0"/>
          <w:numId w:val="1013"/>
        </w:numPr>
        <w:pStyle w:val="Compact"/>
      </w:pPr>
      <w:r>
        <w:t xml:space="preserve">资源协同：设置目标资源与集群中的其他资源是否运行在同一节点上，同节点资源表示该资源与目标资源必须运行在相同节点上，互斥节点资源表示该资源与目标资源不能运行在相同的节点上。</w:t>
      </w:r>
    </w:p>
    <w:p>
      <w:pPr>
        <w:numPr>
          <w:ilvl w:val="0"/>
          <w:numId w:val="1013"/>
        </w:numPr>
        <w:pStyle w:val="Compact"/>
      </w:pPr>
      <w:r>
        <w:t xml:space="preserve">资源顺序：设置目标资源与集群中的其他资源启动时的先后顺序，前置资源是指目标资源运行之前，该资源必须已经运行；后置资源是指目标资源运行之后，该资源才能运行。</w:t>
      </w:r>
    </w:p>
    <w:bookmarkEnd w:id="31"/>
    <w:bookmarkEnd w:id="32"/>
    <w:bookmarkEnd w:id="33"/>
    <w:bookmarkStart w:id="38" w:name="高可用mysql实例配置"/>
    <w:p>
      <w:pPr>
        <w:pStyle w:val="Heading2"/>
      </w:pPr>
      <w:r>
        <w:t xml:space="preserve">高可用mysql实例配置</w:t>
      </w:r>
    </w:p>
    <w:p>
      <w:pPr>
        <w:numPr>
          <w:ilvl w:val="0"/>
          <w:numId w:val="1014"/>
        </w:numPr>
        <w:pStyle w:val="Compact"/>
      </w:pPr>
      <w:r>
        <w:t xml:space="preserve">先单独配置三个普通资源，待成功后添加为组资源。</w:t>
      </w:r>
    </w:p>
    <w:bookmarkStart w:id="34" w:name="配置虚拟ip"/>
    <w:p>
      <w:pPr>
        <w:pStyle w:val="Heading3"/>
      </w:pPr>
      <w:r>
        <w:t xml:space="preserve">配置虚拟IP</w:t>
      </w:r>
    </w:p>
    <w:p>
      <w:pPr>
        <w:pStyle w:val="FirstParagraph"/>
      </w:pPr>
      <w:r>
        <w:t xml:space="preserve">在首页中点击添加--&gt;添加普通资源，并按如下进行配置。</w:t>
      </w:r>
    </w:p>
    <w:p>
      <w:pPr>
        <w:numPr>
          <w:ilvl w:val="0"/>
          <w:numId w:val="1015"/>
        </w:numPr>
        <w:pStyle w:val="Compact"/>
      </w:pPr>
      <w:r>
        <w:t xml:space="preserve">资源创建成功并启动，运行于其中一个节点上，例如ha1；可以ping通并连接，登录后可正常执行各种操作；资源切换到ha2运行；能够正常访问。</w:t>
      </w:r>
    </w:p>
    <w:p>
      <w:pPr>
        <w:numPr>
          <w:ilvl w:val="0"/>
          <w:numId w:val="1015"/>
        </w:numPr>
        <w:pStyle w:val="Compact"/>
      </w:pPr>
      <w:r>
        <w:t xml:space="preserve">若回显为如下，则资源添加成功</w:t>
      </w:r>
    </w:p>
    <w:bookmarkEnd w:id="34"/>
    <w:bookmarkStart w:id="35" w:name="配置nfs存储"/>
    <w:p>
      <w:pPr>
        <w:pStyle w:val="Heading3"/>
      </w:pPr>
      <w:r>
        <w:t xml:space="preserve">配置NFS存储</w:t>
      </w:r>
    </w:p>
    <w:p>
      <w:pPr>
        <w:numPr>
          <w:ilvl w:val="0"/>
          <w:numId w:val="1016"/>
        </w:numPr>
        <w:pStyle w:val="Compact"/>
      </w:pPr>
      <w:r>
        <w:t xml:space="preserve">另外找一台机器作为nfs服务端进行配置</w:t>
      </w:r>
    </w:p>
    <w:p>
      <w:pPr>
        <w:pStyle w:val="FirstParagraph"/>
      </w:pPr>
      <w:r>
        <w:t xml:space="preserve">安装软件包</w:t>
      </w:r>
    </w:p>
    <w:p>
      <w:pPr>
        <w:pStyle w:val="SourceCode"/>
      </w:pPr>
      <w:r>
        <w:rPr>
          <w:rStyle w:val="VerbatimChar"/>
        </w:rPr>
        <w:t xml:space="preserve"># yum install -y nfs-utils rpcbind</w:t>
      </w:r>
    </w:p>
    <w:p>
      <w:pPr>
        <w:pStyle w:val="FirstParagraph"/>
      </w:pPr>
      <w:r>
        <w:t xml:space="preserve">关闭防火墙</w:t>
      </w:r>
    </w:p>
    <w:p>
      <w:pPr>
        <w:pStyle w:val="SourceCode"/>
      </w:pPr>
      <w:r>
        <w:rPr>
          <w:rStyle w:val="VerbatimChar"/>
        </w:rPr>
        <w:t xml:space="preserve"># systemctl stop firewalld &amp;&amp; systemctl disable firewalld</w:t>
      </w:r>
    </w:p>
    <w:p>
      <w:pPr>
        <w:pStyle w:val="FirstParagraph"/>
      </w:pPr>
      <w:r>
        <w:t xml:space="preserve">修改/etc/selinux/config文件中SELINUX状态为disabled</w:t>
      </w:r>
    </w:p>
    <w:p>
      <w:pPr>
        <w:pStyle w:val="SourceCode"/>
      </w:pPr>
      <w:r>
        <w:rPr>
          <w:rStyle w:val="VerbatimChar"/>
        </w:rPr>
        <w:t xml:space="preserve"># SELINUX=disabled</w:t>
      </w:r>
    </w:p>
    <w:p>
      <w:pPr>
        <w:pStyle w:val="FirstParagraph"/>
      </w:pPr>
      <w:r>
        <w:t xml:space="preserve">启动服务</w:t>
      </w:r>
    </w:p>
    <w:p>
      <w:pPr>
        <w:pStyle w:val="SourceCode"/>
      </w:pPr>
      <w:r>
        <w:rPr>
          <w:rStyle w:val="VerbatimChar"/>
        </w:rPr>
        <w:t xml:space="preserve"># systemctl start rpcbind &amp;&amp; systemctl enable rpcbind</w:t>
      </w:r>
      <w:r>
        <w:br/>
      </w:r>
      <w:r>
        <w:rPr>
          <w:rStyle w:val="VerbatimChar"/>
        </w:rPr>
        <w:t xml:space="preserve"># systemctl start nfs-server &amp;&amp; systemctl enable nfs-server</w:t>
      </w:r>
    </w:p>
    <w:p>
      <w:pPr>
        <w:pStyle w:val="FirstParagraph"/>
      </w:pPr>
      <w:r>
        <w:t xml:space="preserve">服务端创建一个共享目录</w:t>
      </w:r>
    </w:p>
    <w:p>
      <w:pPr>
        <w:pStyle w:val="SourceCode"/>
      </w:pPr>
      <w:r>
        <w:rPr>
          <w:rStyle w:val="VerbatimChar"/>
        </w:rPr>
        <w:t xml:space="preserve"># mkdir -p /test</w:t>
      </w:r>
    </w:p>
    <w:p>
      <w:pPr>
        <w:pStyle w:val="FirstParagraph"/>
      </w:pPr>
      <w:r>
        <w:t xml:space="preserve">修改NFS配置文件</w:t>
      </w:r>
    </w:p>
    <w:p>
      <w:pPr>
        <w:pStyle w:val="SourceCode"/>
      </w:pPr>
      <w:r>
        <w:rPr>
          <w:rStyle w:val="VerbatimChar"/>
        </w:rPr>
        <w:t xml:space="preserve"># vim /etc/exports</w:t>
      </w:r>
      <w:r>
        <w:br/>
      </w:r>
      <w:r>
        <w:rPr>
          <w:rStyle w:val="VerbatimChar"/>
        </w:rPr>
        <w:t xml:space="preserve"># /test *(rw,no_root_squash)</w:t>
      </w:r>
    </w:p>
    <w:p>
      <w:pPr>
        <w:pStyle w:val="FirstParagraph"/>
      </w:pPr>
      <w:r>
        <w:t xml:space="preserve">重新加载服务</w:t>
      </w:r>
    </w:p>
    <w:p>
      <w:pPr>
        <w:pStyle w:val="SourceCode"/>
      </w:pPr>
      <w:r>
        <w:rPr>
          <w:rStyle w:val="VerbatimChar"/>
        </w:rPr>
        <w:t xml:space="preserve"># systemctl reload nfs</w:t>
      </w:r>
    </w:p>
    <w:p>
      <w:pPr>
        <w:pStyle w:val="FirstParagraph"/>
      </w:pPr>
      <w:r>
        <w:t xml:space="preserve">客户端安装软件包，先把mysql安装上，为了把下面nfs挂载到mysql数据路径</w:t>
      </w:r>
    </w:p>
    <w:p>
      <w:pPr>
        <w:pStyle w:val="SourceCode"/>
      </w:pPr>
      <w:r>
        <w:rPr>
          <w:rStyle w:val="VerbatimChar"/>
        </w:rPr>
        <w:t xml:space="preserve"># yum install -y nfs-utils mariadb-server</w:t>
      </w:r>
    </w:p>
    <w:p>
      <w:pPr>
        <w:pStyle w:val="FirstParagraph"/>
      </w:pPr>
      <w:r>
        <w:t xml:space="preserve">在首页中点击添加--&gt;添加普通资源，并按如下进行配置NFS资源。</w:t>
      </w:r>
    </w:p>
    <w:p>
      <w:pPr>
        <w:numPr>
          <w:ilvl w:val="0"/>
          <w:numId w:val="1017"/>
        </w:numPr>
        <w:pStyle w:val="Compact"/>
      </w:pPr>
      <w:r>
        <w:t xml:space="preserve">资源创建成功并启动，运行于其中一个节点上，例如ha1；nfs成功挂载到/var/lib/mysql路径下。资源切换到ha2运行；nfs从ha1节点取消挂载，并自动在ha2节点上挂载成功。</w:t>
      </w:r>
    </w:p>
    <w:p>
      <w:pPr>
        <w:numPr>
          <w:ilvl w:val="0"/>
          <w:numId w:val="1017"/>
        </w:numPr>
        <w:pStyle w:val="Compact"/>
      </w:pPr>
      <w:r>
        <w:t xml:space="preserve">若回显为如下，则资源添加成功</w:t>
      </w:r>
    </w:p>
    <w:bookmarkEnd w:id="35"/>
    <w:bookmarkStart w:id="36" w:name="配置mysql"/>
    <w:p>
      <w:pPr>
        <w:pStyle w:val="Heading3"/>
      </w:pPr>
      <w:r>
        <w:t xml:space="preserve">配置mysql</w:t>
      </w:r>
    </w:p>
    <w:p>
      <w:pPr>
        <w:pStyle w:val="FirstParagraph"/>
      </w:pPr>
      <w:r>
        <w:t xml:space="preserve">在首页中点击添加--&gt;添加普通资源，并按如下进行配置mysql资源。</w:t>
      </w:r>
    </w:p>
    <w:p>
      <w:pPr>
        <w:numPr>
          <w:ilvl w:val="0"/>
          <w:numId w:val="1018"/>
        </w:numPr>
        <w:pStyle w:val="Compact"/>
      </w:pPr>
      <w:r>
        <w:t xml:space="preserve">若回显为如下，则资源添加成功</w:t>
      </w:r>
    </w:p>
    <w:bookmarkEnd w:id="36"/>
    <w:bookmarkStart w:id="37" w:name="添加上述资源为组资源"/>
    <w:p>
      <w:pPr>
        <w:pStyle w:val="Heading3"/>
      </w:pPr>
      <w:r>
        <w:t xml:space="preserve">添加上述资源为组资源</w:t>
      </w:r>
    </w:p>
    <w:p>
      <w:pPr>
        <w:numPr>
          <w:ilvl w:val="0"/>
          <w:numId w:val="1019"/>
        </w:numPr>
        <w:pStyle w:val="Compact"/>
      </w:pPr>
      <w:r>
        <w:t xml:space="preserve">按资源启动顺序添加三个资源</w:t>
      </w:r>
    </w:p>
    <w:p>
      <w:pPr>
        <w:pStyle w:val="FirstParagraph"/>
      </w:pPr>
      <w:r>
        <w:t xml:space="preserve">在首页中点击添加--&gt;添加组资源，并按如下进行配置组资源。</w:t>
      </w:r>
    </w:p>
    <w:p>
      <w:pPr>
        <w:numPr>
          <w:ilvl w:val="0"/>
          <w:numId w:val="1020"/>
        </w:numPr>
      </w:pPr>
      <w:r>
        <w:t xml:space="preserve">组资源创建成功并启动，若回显与上述三个普通资源成功现象一致，则资源添加成功</w:t>
      </w:r>
    </w:p>
    <w:p>
      <w:pPr>
        <w:numPr>
          <w:ilvl w:val="0"/>
          <w:numId w:val="1020"/>
        </w:numPr>
      </w:pPr>
      <w:r>
        <w:t xml:space="preserve">将ha1节点备用，成功迁移到ha2节点，运行正常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HA使用实例</dc:title>
  <dc:creator/>
  <cp:keywords/>
  <dcterms:created xsi:type="dcterms:W3CDTF">2026-07-17T18:11:28Z</dcterms:created>
  <dcterms:modified xsi:type="dcterms:W3CDTF">2026-07-17T18:11:28Z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