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F497D"/>
          <w:sz w:val="56"/>
        </w:rPr>
        <w:t>eShop Microservices Application</w:t>
      </w:r>
    </w:p>
    <w:p>
      <w:pPr>
        <w:jc w:val="center"/>
      </w:pPr>
      <w:r>
        <w:rPr>
          <w:b/>
          <w:color w:val="2672C4"/>
          <w:sz w:val="44"/>
        </w:rPr>
        <w:t>Architecture Design Document</w:t>
      </w:r>
    </w:p>
    <w:p/>
    <w:p>
      <w:pPr>
        <w:jc w:val="center"/>
      </w:pPr>
      <w:r>
        <w:rPr>
          <w:i/>
          <w:color w:val="606060"/>
          <w:sz w:val="24"/>
        </w:rPr>
        <w:t>A Comprehensive Reference for the Distributed Microservices Platform</w:t>
      </w:r>
    </w:p>
    <w:p/>
    <w:p/>
    <w:p>
      <w:pPr>
        <w:jc w:val="center"/>
      </w:pPr>
      <w:r>
        <w:rPr>
          <w:color w:val="808080"/>
          <w:sz w:val="20"/>
        </w:rPr>
        <w:t>Version 1.0  |  Generated: May 29, 2026</w:t>
      </w:r>
    </w:p>
    <w:p>
      <w:r>
        <w:br w:type="page"/>
      </w:r>
    </w:p>
    <w:p>
      <w:pPr>
        <w:pStyle w:val="Heading1"/>
      </w:pPr>
      <w:r>
        <w:t>Table of Contents</w:t>
      </w:r>
    </w:p>
    <w:tbl>
      <w:tblPr>
        <w:tblW w:type="auto" w:w="0"/>
        <w:jc w:val="left"/>
        <w:tblLook w:firstColumn="1" w:firstRow="1" w:lastColumn="0" w:lastRow="0" w:noHBand="0" w:noVBand="1" w:val="04A0"/>
      </w:tblPr>
      <w:tblGrid>
        <w:gridCol w:w="3120"/>
        <w:gridCol w:w="3120"/>
        <w:gridCol w:w="3120"/>
      </w:tblGrid>
      <w:tr>
        <w:tc>
          <w:tcPr>
            <w:tcW w:type="dxa" w:w="720"/>
          </w:tcPr>
          <w:p>
            <w:r>
              <w:rPr>
                <w:b/>
                <w:sz w:val="20"/>
              </w:rPr>
              <w:t>1</w:t>
            </w:r>
          </w:p>
        </w:tc>
        <w:tc>
          <w:tcPr>
            <w:tcW w:type="dxa" w:w="7920"/>
          </w:tcPr>
          <w:p>
            <w:r>
              <w:rPr>
                <w:b/>
                <w:sz w:val="20"/>
              </w:rPr>
              <w:t>Executive Summary</w:t>
            </w:r>
          </w:p>
        </w:tc>
        <w:tc>
          <w:tcPr>
            <w:tcW w:type="dxa" w:w="720"/>
          </w:tcPr>
          <w:p>
            <w:pPr>
              <w:jc w:val="right"/>
            </w:pPr>
            <w:r>
              <w:rPr>
                <w:b/>
                <w:sz w:val="20"/>
              </w:rPr>
              <w:t>3</w:t>
            </w:r>
          </w:p>
        </w:tc>
      </w:tr>
      <w:tr>
        <w:tc>
          <w:tcPr>
            <w:tcW w:type="dxa" w:w="720"/>
          </w:tcPr>
          <w:p>
            <w:r>
              <w:rPr>
                <w:b/>
                <w:sz w:val="20"/>
              </w:rPr>
              <w:t>2</w:t>
            </w:r>
          </w:p>
        </w:tc>
        <w:tc>
          <w:tcPr>
            <w:tcW w:type="dxa" w:w="7920"/>
          </w:tcPr>
          <w:p>
            <w:r>
              <w:rPr>
                <w:b/>
                <w:sz w:val="20"/>
              </w:rPr>
              <w:t>Overall Architecture</w:t>
            </w:r>
          </w:p>
        </w:tc>
        <w:tc>
          <w:tcPr>
            <w:tcW w:type="dxa" w:w="720"/>
          </w:tcPr>
          <w:p>
            <w:pPr>
              <w:jc w:val="right"/>
            </w:pPr>
            <w:r>
              <w:rPr>
                <w:b/>
                <w:sz w:val="20"/>
              </w:rPr>
              <w:t>3</w:t>
            </w:r>
          </w:p>
        </w:tc>
      </w:tr>
      <w:tr>
        <w:tc>
          <w:tcPr>
            <w:tcW w:type="dxa" w:w="720"/>
          </w:tcPr>
          <w:p>
            <w:r>
              <w:rPr>
                <w:b/>
                <w:sz w:val="20"/>
              </w:rPr>
              <w:t>3</w:t>
            </w:r>
          </w:p>
        </w:tc>
        <w:tc>
          <w:tcPr>
            <w:tcW w:type="dxa" w:w="7920"/>
          </w:tcPr>
          <w:p>
            <w:r>
              <w:rPr>
                <w:b/>
                <w:sz w:val="20"/>
              </w:rPr>
              <w:t>Infrastructure &amp; Orchestration</w:t>
            </w:r>
          </w:p>
        </w:tc>
        <w:tc>
          <w:tcPr>
            <w:tcW w:type="dxa" w:w="720"/>
          </w:tcPr>
          <w:p>
            <w:pPr>
              <w:jc w:val="right"/>
            </w:pPr>
            <w:r>
              <w:rPr>
                <w:b/>
                <w:sz w:val="20"/>
              </w:rPr>
              <w:t>4</w:t>
            </w:r>
          </w:p>
        </w:tc>
      </w:tr>
      <w:tr>
        <w:tc>
          <w:tcPr>
            <w:tcW w:type="dxa" w:w="720"/>
          </w:tcPr>
          <w:p>
            <w:r>
              <w:rPr>
                <w:b/>
                <w:sz w:val="20"/>
              </w:rPr>
              <w:t>4</w:t>
            </w:r>
          </w:p>
        </w:tc>
        <w:tc>
          <w:tcPr>
            <w:tcW w:type="dxa" w:w="7920"/>
          </w:tcPr>
          <w:p>
            <w:r>
              <w:rPr>
                <w:b/>
                <w:sz w:val="20"/>
              </w:rPr>
              <w:t>Service Catalog</w:t>
            </w:r>
          </w:p>
        </w:tc>
        <w:tc>
          <w:tcPr>
            <w:tcW w:type="dxa" w:w="720"/>
          </w:tcPr>
          <w:p>
            <w:pPr>
              <w:jc w:val="right"/>
            </w:pPr>
            <w:r>
              <w:rPr>
                <w:b/>
                <w:sz w:val="20"/>
              </w:rPr>
              <w:t>5</w:t>
            </w:r>
          </w:p>
        </w:tc>
      </w:tr>
      <w:tr>
        <w:tc>
          <w:tcPr>
            <w:tcW w:type="dxa" w:w="720"/>
          </w:tcPr>
          <w:p>
            <w:r>
              <w:rPr>
                <w:sz w:val="20"/>
              </w:rPr>
              <w:t>4.1</w:t>
            </w:r>
          </w:p>
        </w:tc>
        <w:tc>
          <w:tcPr>
            <w:tcW w:type="dxa" w:w="7920"/>
          </w:tcPr>
          <w:p>
            <w:r>
              <w:rPr>
                <w:sz w:val="20"/>
              </w:rPr>
              <w:t>Identity.API – Authentication Provider</w:t>
            </w:r>
          </w:p>
        </w:tc>
        <w:tc>
          <w:tcPr>
            <w:tcW w:type="dxa" w:w="720"/>
          </w:tcPr>
          <w:p>
            <w:pPr>
              <w:jc w:val="right"/>
            </w:pPr>
            <w:r>
              <w:rPr>
                <w:sz w:val="20"/>
              </w:rPr>
              <w:t>5</w:t>
            </w:r>
          </w:p>
        </w:tc>
      </w:tr>
      <w:tr>
        <w:tc>
          <w:tcPr>
            <w:tcW w:type="dxa" w:w="720"/>
          </w:tcPr>
          <w:p>
            <w:r>
              <w:rPr>
                <w:sz w:val="20"/>
              </w:rPr>
              <w:t>4.2</w:t>
            </w:r>
          </w:p>
        </w:tc>
        <w:tc>
          <w:tcPr>
            <w:tcW w:type="dxa" w:w="7920"/>
          </w:tcPr>
          <w:p>
            <w:r>
              <w:rPr>
                <w:sz w:val="20"/>
              </w:rPr>
              <w:t>Catalog.API – Product Catalog Service</w:t>
            </w:r>
          </w:p>
        </w:tc>
        <w:tc>
          <w:tcPr>
            <w:tcW w:type="dxa" w:w="720"/>
          </w:tcPr>
          <w:p>
            <w:pPr>
              <w:jc w:val="right"/>
            </w:pPr>
            <w:r>
              <w:rPr>
                <w:sz w:val="20"/>
              </w:rPr>
              <w:t>6</w:t>
            </w:r>
          </w:p>
        </w:tc>
      </w:tr>
      <w:tr>
        <w:tc>
          <w:tcPr>
            <w:tcW w:type="dxa" w:w="720"/>
          </w:tcPr>
          <w:p>
            <w:r>
              <w:rPr>
                <w:sz w:val="20"/>
              </w:rPr>
              <w:t>4.3</w:t>
            </w:r>
          </w:p>
        </w:tc>
        <w:tc>
          <w:tcPr>
            <w:tcW w:type="dxa" w:w="7920"/>
          </w:tcPr>
          <w:p>
            <w:r>
              <w:rPr>
                <w:sz w:val="20"/>
              </w:rPr>
              <w:t>Basket.API – Shopping Basket Service</w:t>
            </w:r>
          </w:p>
        </w:tc>
        <w:tc>
          <w:tcPr>
            <w:tcW w:type="dxa" w:w="720"/>
          </w:tcPr>
          <w:p>
            <w:pPr>
              <w:jc w:val="right"/>
            </w:pPr>
            <w:r>
              <w:rPr>
                <w:sz w:val="20"/>
              </w:rPr>
              <w:t>7</w:t>
            </w:r>
          </w:p>
        </w:tc>
      </w:tr>
      <w:tr>
        <w:tc>
          <w:tcPr>
            <w:tcW w:type="dxa" w:w="720"/>
          </w:tcPr>
          <w:p>
            <w:r>
              <w:rPr>
                <w:sz w:val="20"/>
              </w:rPr>
              <w:t>4.4</w:t>
            </w:r>
          </w:p>
        </w:tc>
        <w:tc>
          <w:tcPr>
            <w:tcW w:type="dxa" w:w="7920"/>
          </w:tcPr>
          <w:p>
            <w:r>
              <w:rPr>
                <w:sz w:val="20"/>
              </w:rPr>
              <w:t>Ordering.API – Order Management Service</w:t>
            </w:r>
          </w:p>
        </w:tc>
        <w:tc>
          <w:tcPr>
            <w:tcW w:type="dxa" w:w="720"/>
          </w:tcPr>
          <w:p>
            <w:pPr>
              <w:jc w:val="right"/>
            </w:pPr>
            <w:r>
              <w:rPr>
                <w:sz w:val="20"/>
              </w:rPr>
              <w:t>8</w:t>
            </w:r>
          </w:p>
        </w:tc>
      </w:tr>
      <w:tr>
        <w:tc>
          <w:tcPr>
            <w:tcW w:type="dxa" w:w="720"/>
          </w:tcPr>
          <w:p>
            <w:r>
              <w:rPr>
                <w:sz w:val="20"/>
              </w:rPr>
              <w:t>4.5</w:t>
            </w:r>
          </w:p>
        </w:tc>
        <w:tc>
          <w:tcPr>
            <w:tcW w:type="dxa" w:w="7920"/>
          </w:tcPr>
          <w:p>
            <w:r>
              <w:rPr>
                <w:sz w:val="20"/>
              </w:rPr>
              <w:t>Ordering.Domain – Domain Model Library</w:t>
            </w:r>
          </w:p>
        </w:tc>
        <w:tc>
          <w:tcPr>
            <w:tcW w:type="dxa" w:w="720"/>
          </w:tcPr>
          <w:p>
            <w:pPr>
              <w:jc w:val="right"/>
            </w:pPr>
            <w:r>
              <w:rPr>
                <w:sz w:val="20"/>
              </w:rPr>
              <w:t>9</w:t>
            </w:r>
          </w:p>
        </w:tc>
      </w:tr>
      <w:tr>
        <w:tc>
          <w:tcPr>
            <w:tcW w:type="dxa" w:w="720"/>
          </w:tcPr>
          <w:p>
            <w:r>
              <w:rPr>
                <w:sz w:val="20"/>
              </w:rPr>
              <w:t>4.6</w:t>
            </w:r>
          </w:p>
        </w:tc>
        <w:tc>
          <w:tcPr>
            <w:tcW w:type="dxa" w:w="7920"/>
          </w:tcPr>
          <w:p>
            <w:r>
              <w:rPr>
                <w:sz w:val="20"/>
              </w:rPr>
              <w:t>Ordering.Infrastructure – Persistence Layer</w:t>
            </w:r>
          </w:p>
        </w:tc>
        <w:tc>
          <w:tcPr>
            <w:tcW w:type="dxa" w:w="720"/>
          </w:tcPr>
          <w:p>
            <w:pPr>
              <w:jc w:val="right"/>
            </w:pPr>
            <w:r>
              <w:rPr>
                <w:sz w:val="20"/>
              </w:rPr>
              <w:t>10</w:t>
            </w:r>
          </w:p>
        </w:tc>
      </w:tr>
      <w:tr>
        <w:tc>
          <w:tcPr>
            <w:tcW w:type="dxa" w:w="720"/>
          </w:tcPr>
          <w:p>
            <w:r>
              <w:rPr>
                <w:sz w:val="20"/>
              </w:rPr>
              <w:t>4.7</w:t>
            </w:r>
          </w:p>
        </w:tc>
        <w:tc>
          <w:tcPr>
            <w:tcW w:type="dxa" w:w="7920"/>
          </w:tcPr>
          <w:p>
            <w:r>
              <w:rPr>
                <w:sz w:val="20"/>
              </w:rPr>
              <w:t>OrderProcessor – Background Worker</w:t>
            </w:r>
          </w:p>
        </w:tc>
        <w:tc>
          <w:tcPr>
            <w:tcW w:type="dxa" w:w="720"/>
          </w:tcPr>
          <w:p>
            <w:pPr>
              <w:jc w:val="right"/>
            </w:pPr>
            <w:r>
              <w:rPr>
                <w:sz w:val="20"/>
              </w:rPr>
              <w:t>10</w:t>
            </w:r>
          </w:p>
        </w:tc>
      </w:tr>
      <w:tr>
        <w:tc>
          <w:tcPr>
            <w:tcW w:type="dxa" w:w="720"/>
          </w:tcPr>
          <w:p>
            <w:r>
              <w:rPr>
                <w:sz w:val="20"/>
              </w:rPr>
              <w:t>4.8</w:t>
            </w:r>
          </w:p>
        </w:tc>
        <w:tc>
          <w:tcPr>
            <w:tcW w:type="dxa" w:w="7920"/>
          </w:tcPr>
          <w:p>
            <w:r>
              <w:rPr>
                <w:sz w:val="20"/>
              </w:rPr>
              <w:t>PaymentProcessor – Payment Service</w:t>
            </w:r>
          </w:p>
        </w:tc>
        <w:tc>
          <w:tcPr>
            <w:tcW w:type="dxa" w:w="720"/>
          </w:tcPr>
          <w:p>
            <w:pPr>
              <w:jc w:val="right"/>
            </w:pPr>
            <w:r>
              <w:rPr>
                <w:sz w:val="20"/>
              </w:rPr>
              <w:t>11</w:t>
            </w:r>
          </w:p>
        </w:tc>
      </w:tr>
      <w:tr>
        <w:tc>
          <w:tcPr>
            <w:tcW w:type="dxa" w:w="720"/>
          </w:tcPr>
          <w:p>
            <w:r>
              <w:rPr>
                <w:sz w:val="20"/>
              </w:rPr>
              <w:t>4.9</w:t>
            </w:r>
          </w:p>
        </w:tc>
        <w:tc>
          <w:tcPr>
            <w:tcW w:type="dxa" w:w="7920"/>
          </w:tcPr>
          <w:p>
            <w:r>
              <w:rPr>
                <w:sz w:val="20"/>
              </w:rPr>
              <w:t>Webhooks.API – Webhook Service</w:t>
            </w:r>
          </w:p>
        </w:tc>
        <w:tc>
          <w:tcPr>
            <w:tcW w:type="dxa" w:w="720"/>
          </w:tcPr>
          <w:p>
            <w:pPr>
              <w:jc w:val="right"/>
            </w:pPr>
            <w:r>
              <w:rPr>
                <w:sz w:val="20"/>
              </w:rPr>
              <w:t>11</w:t>
            </w:r>
          </w:p>
        </w:tc>
      </w:tr>
      <w:tr>
        <w:tc>
          <w:tcPr>
            <w:tcW w:type="dxa" w:w="720"/>
          </w:tcPr>
          <w:p>
            <w:r>
              <w:rPr>
                <w:sz w:val="20"/>
              </w:rPr>
              <w:t>4.10</w:t>
            </w:r>
          </w:p>
        </w:tc>
        <w:tc>
          <w:tcPr>
            <w:tcW w:type="dxa" w:w="7920"/>
          </w:tcPr>
          <w:p>
            <w:r>
              <w:rPr>
                <w:sz w:val="20"/>
              </w:rPr>
              <w:t>WebApp – Blazor Web Frontend</w:t>
            </w:r>
          </w:p>
        </w:tc>
        <w:tc>
          <w:tcPr>
            <w:tcW w:type="dxa" w:w="720"/>
          </w:tcPr>
          <w:p>
            <w:pPr>
              <w:jc w:val="right"/>
            </w:pPr>
            <w:r>
              <w:rPr>
                <w:sz w:val="20"/>
              </w:rPr>
              <w:t>12</w:t>
            </w:r>
          </w:p>
        </w:tc>
      </w:tr>
      <w:tr>
        <w:tc>
          <w:tcPr>
            <w:tcW w:type="dxa" w:w="720"/>
          </w:tcPr>
          <w:p>
            <w:r>
              <w:rPr>
                <w:sz w:val="20"/>
              </w:rPr>
              <w:t>4.11</w:t>
            </w:r>
          </w:p>
        </w:tc>
        <w:tc>
          <w:tcPr>
            <w:tcW w:type="dxa" w:w="7920"/>
          </w:tcPr>
          <w:p>
            <w:r>
              <w:rPr>
                <w:sz w:val="20"/>
              </w:rPr>
              <w:t>WebAppComponents – Shared UI Library</w:t>
            </w:r>
          </w:p>
        </w:tc>
        <w:tc>
          <w:tcPr>
            <w:tcW w:type="dxa" w:w="720"/>
          </w:tcPr>
          <w:p>
            <w:pPr>
              <w:jc w:val="right"/>
            </w:pPr>
            <w:r>
              <w:rPr>
                <w:sz w:val="20"/>
              </w:rPr>
              <w:t>12</w:t>
            </w:r>
          </w:p>
        </w:tc>
      </w:tr>
      <w:tr>
        <w:tc>
          <w:tcPr>
            <w:tcW w:type="dxa" w:w="720"/>
          </w:tcPr>
          <w:p>
            <w:r>
              <w:rPr>
                <w:sz w:val="20"/>
              </w:rPr>
              <w:t>4.12</w:t>
            </w:r>
          </w:p>
        </w:tc>
        <w:tc>
          <w:tcPr>
            <w:tcW w:type="dxa" w:w="7920"/>
          </w:tcPr>
          <w:p>
            <w:r>
              <w:rPr>
                <w:sz w:val="20"/>
              </w:rPr>
              <w:t>ClientApp – Native Mobile &amp; Desktop App</w:t>
            </w:r>
          </w:p>
        </w:tc>
        <w:tc>
          <w:tcPr>
            <w:tcW w:type="dxa" w:w="720"/>
          </w:tcPr>
          <w:p>
            <w:pPr>
              <w:jc w:val="right"/>
            </w:pPr>
            <w:r>
              <w:rPr>
                <w:sz w:val="20"/>
              </w:rPr>
              <w:t>13</w:t>
            </w:r>
          </w:p>
        </w:tc>
      </w:tr>
      <w:tr>
        <w:tc>
          <w:tcPr>
            <w:tcW w:type="dxa" w:w="720"/>
          </w:tcPr>
          <w:p>
            <w:r>
              <w:rPr>
                <w:sz w:val="20"/>
              </w:rPr>
              <w:t>4.13</w:t>
            </w:r>
          </w:p>
        </w:tc>
        <w:tc>
          <w:tcPr>
            <w:tcW w:type="dxa" w:w="7920"/>
          </w:tcPr>
          <w:p>
            <w:r>
              <w:rPr>
                <w:sz w:val="20"/>
              </w:rPr>
              <w:t>HybridApp – MAUI Blazor Hybrid App</w:t>
            </w:r>
          </w:p>
        </w:tc>
        <w:tc>
          <w:tcPr>
            <w:tcW w:type="dxa" w:w="720"/>
          </w:tcPr>
          <w:p>
            <w:pPr>
              <w:jc w:val="right"/>
            </w:pPr>
            <w:r>
              <w:rPr>
                <w:sz w:val="20"/>
              </w:rPr>
              <w:t>13</w:t>
            </w:r>
          </w:p>
        </w:tc>
      </w:tr>
      <w:tr>
        <w:tc>
          <w:tcPr>
            <w:tcW w:type="dxa" w:w="720"/>
          </w:tcPr>
          <w:p>
            <w:r>
              <w:rPr>
                <w:sz w:val="20"/>
              </w:rPr>
              <w:t>4.14</w:t>
            </w:r>
          </w:p>
        </w:tc>
        <w:tc>
          <w:tcPr>
            <w:tcW w:type="dxa" w:w="7920"/>
          </w:tcPr>
          <w:p>
            <w:r>
              <w:rPr>
                <w:sz w:val="20"/>
              </w:rPr>
              <w:t>WebhookClient – Webhook Consumer Demo</w:t>
            </w:r>
          </w:p>
        </w:tc>
        <w:tc>
          <w:tcPr>
            <w:tcW w:type="dxa" w:w="720"/>
          </w:tcPr>
          <w:p>
            <w:pPr>
              <w:jc w:val="right"/>
            </w:pPr>
            <w:r>
              <w:rPr>
                <w:sz w:val="20"/>
              </w:rPr>
              <w:t>14</w:t>
            </w:r>
          </w:p>
        </w:tc>
      </w:tr>
      <w:tr>
        <w:tc>
          <w:tcPr>
            <w:tcW w:type="dxa" w:w="720"/>
          </w:tcPr>
          <w:p>
            <w:r>
              <w:rPr>
                <w:b/>
                <w:sz w:val="20"/>
              </w:rPr>
              <w:t>5</w:t>
            </w:r>
          </w:p>
        </w:tc>
        <w:tc>
          <w:tcPr>
            <w:tcW w:type="dxa" w:w="7920"/>
          </w:tcPr>
          <w:p>
            <w:r>
              <w:rPr>
                <w:b/>
                <w:sz w:val="20"/>
              </w:rPr>
              <w:t>Communication Patterns</w:t>
            </w:r>
          </w:p>
        </w:tc>
        <w:tc>
          <w:tcPr>
            <w:tcW w:type="dxa" w:w="720"/>
          </w:tcPr>
          <w:p>
            <w:pPr>
              <w:jc w:val="right"/>
            </w:pPr>
            <w:r>
              <w:rPr>
                <w:b/>
                <w:sz w:val="20"/>
              </w:rPr>
              <w:t>14</w:t>
            </w:r>
          </w:p>
        </w:tc>
      </w:tr>
      <w:tr>
        <w:tc>
          <w:tcPr>
            <w:tcW w:type="dxa" w:w="720"/>
          </w:tcPr>
          <w:p>
            <w:r>
              <w:rPr>
                <w:b/>
                <w:sz w:val="20"/>
              </w:rPr>
              <w:t>6</w:t>
            </w:r>
          </w:p>
        </w:tc>
        <w:tc>
          <w:tcPr>
            <w:tcW w:type="dxa" w:w="7920"/>
          </w:tcPr>
          <w:p>
            <w:r>
              <w:rPr>
                <w:b/>
                <w:sz w:val="20"/>
              </w:rPr>
              <w:t>Data Stores</w:t>
            </w:r>
          </w:p>
        </w:tc>
        <w:tc>
          <w:tcPr>
            <w:tcW w:type="dxa" w:w="720"/>
          </w:tcPr>
          <w:p>
            <w:pPr>
              <w:jc w:val="right"/>
            </w:pPr>
            <w:r>
              <w:rPr>
                <w:b/>
                <w:sz w:val="20"/>
              </w:rPr>
              <w:t>16</w:t>
            </w:r>
          </w:p>
        </w:tc>
      </w:tr>
      <w:tr>
        <w:tc>
          <w:tcPr>
            <w:tcW w:type="dxa" w:w="720"/>
          </w:tcPr>
          <w:p>
            <w:r>
              <w:rPr>
                <w:b/>
                <w:sz w:val="20"/>
              </w:rPr>
              <w:t>7</w:t>
            </w:r>
          </w:p>
        </w:tc>
        <w:tc>
          <w:tcPr>
            <w:tcW w:type="dxa" w:w="7920"/>
          </w:tcPr>
          <w:p>
            <w:r>
              <w:rPr>
                <w:b/>
                <w:sz w:val="20"/>
              </w:rPr>
              <w:t>Authentication &amp; Authorization</w:t>
            </w:r>
          </w:p>
        </w:tc>
        <w:tc>
          <w:tcPr>
            <w:tcW w:type="dxa" w:w="720"/>
          </w:tcPr>
          <w:p>
            <w:pPr>
              <w:jc w:val="right"/>
            </w:pPr>
            <w:r>
              <w:rPr>
                <w:b/>
                <w:sz w:val="20"/>
              </w:rPr>
              <w:t>17</w:t>
            </w:r>
          </w:p>
        </w:tc>
      </w:tr>
      <w:tr>
        <w:tc>
          <w:tcPr>
            <w:tcW w:type="dxa" w:w="720"/>
          </w:tcPr>
          <w:p>
            <w:r>
              <w:rPr>
                <w:b/>
                <w:sz w:val="20"/>
              </w:rPr>
              <w:t>8</w:t>
            </w:r>
          </w:p>
        </w:tc>
        <w:tc>
          <w:tcPr>
            <w:tcW w:type="dxa" w:w="7920"/>
          </w:tcPr>
          <w:p>
            <w:r>
              <w:rPr>
                <w:b/>
                <w:sz w:val="20"/>
              </w:rPr>
              <w:t>Event-Driven Architecture</w:t>
            </w:r>
          </w:p>
        </w:tc>
        <w:tc>
          <w:tcPr>
            <w:tcW w:type="dxa" w:w="720"/>
          </w:tcPr>
          <w:p>
            <w:pPr>
              <w:jc w:val="right"/>
            </w:pPr>
            <w:r>
              <w:rPr>
                <w:b/>
                <w:sz w:val="20"/>
              </w:rPr>
              <w:t>18</w:t>
            </w:r>
          </w:p>
        </w:tc>
      </w:tr>
      <w:tr>
        <w:tc>
          <w:tcPr>
            <w:tcW w:type="dxa" w:w="720"/>
          </w:tcPr>
          <w:p>
            <w:r>
              <w:rPr>
                <w:b/>
                <w:sz w:val="20"/>
              </w:rPr>
              <w:t>9</w:t>
            </w:r>
          </w:p>
        </w:tc>
        <w:tc>
          <w:tcPr>
            <w:tcW w:type="dxa" w:w="7920"/>
          </w:tcPr>
          <w:p>
            <w:r>
              <w:rPr>
                <w:b/>
                <w:sz w:val="20"/>
              </w:rPr>
              <w:t>Frontend Technologies</w:t>
            </w:r>
          </w:p>
        </w:tc>
        <w:tc>
          <w:tcPr>
            <w:tcW w:type="dxa" w:w="720"/>
          </w:tcPr>
          <w:p>
            <w:pPr>
              <w:jc w:val="right"/>
            </w:pPr>
            <w:r>
              <w:rPr>
                <w:b/>
                <w:sz w:val="20"/>
              </w:rPr>
              <w:t>20</w:t>
            </w:r>
          </w:p>
        </w:tc>
      </w:tr>
      <w:tr>
        <w:tc>
          <w:tcPr>
            <w:tcW w:type="dxa" w:w="720"/>
          </w:tcPr>
          <w:p>
            <w:r>
              <w:rPr>
                <w:b/>
                <w:sz w:val="20"/>
              </w:rPr>
              <w:t>10</w:t>
            </w:r>
          </w:p>
        </w:tc>
        <w:tc>
          <w:tcPr>
            <w:tcW w:type="dxa" w:w="7920"/>
          </w:tcPr>
          <w:p>
            <w:r>
              <w:rPr>
                <w:b/>
                <w:sz w:val="20"/>
              </w:rPr>
              <w:t>Observability &amp; Monitoring</w:t>
            </w:r>
          </w:p>
        </w:tc>
        <w:tc>
          <w:tcPr>
            <w:tcW w:type="dxa" w:w="720"/>
          </w:tcPr>
          <w:p>
            <w:pPr>
              <w:jc w:val="right"/>
            </w:pPr>
            <w:r>
              <w:rPr>
                <w:b/>
                <w:sz w:val="20"/>
              </w:rPr>
              <w:t>21</w:t>
            </w:r>
          </w:p>
        </w:tc>
      </w:tr>
      <w:tr>
        <w:tc>
          <w:tcPr>
            <w:tcW w:type="dxa" w:w="720"/>
          </w:tcPr>
          <w:p>
            <w:r>
              <w:rPr>
                <w:b/>
                <w:sz w:val="20"/>
              </w:rPr>
              <w:t>11</w:t>
            </w:r>
          </w:p>
        </w:tc>
        <w:tc>
          <w:tcPr>
            <w:tcW w:type="dxa" w:w="7920"/>
          </w:tcPr>
          <w:p>
            <w:r>
              <w:rPr>
                <w:b/>
                <w:sz w:val="20"/>
              </w:rPr>
              <w:t>Deployment &amp; Infrastructure</w:t>
            </w:r>
          </w:p>
        </w:tc>
        <w:tc>
          <w:tcPr>
            <w:tcW w:type="dxa" w:w="720"/>
          </w:tcPr>
          <w:p>
            <w:pPr>
              <w:jc w:val="right"/>
            </w:pPr>
            <w:r>
              <w:rPr>
                <w:b/>
                <w:sz w:val="20"/>
              </w:rPr>
              <w:t>22</w:t>
            </w:r>
          </w:p>
        </w:tc>
      </w:tr>
      <w:tr>
        <w:tc>
          <w:tcPr>
            <w:tcW w:type="dxa" w:w="720"/>
          </w:tcPr>
          <w:p>
            <w:r>
              <w:rPr>
                <w:b/>
                <w:sz w:val="20"/>
              </w:rPr>
              <w:t>12</w:t>
            </w:r>
          </w:p>
        </w:tc>
        <w:tc>
          <w:tcPr>
            <w:tcW w:type="dxa" w:w="7920"/>
          </w:tcPr>
          <w:p>
            <w:r>
              <w:rPr>
                <w:b/>
                <w:sz w:val="20"/>
              </w:rPr>
              <w:t>Security Considerations</w:t>
            </w:r>
          </w:p>
        </w:tc>
        <w:tc>
          <w:tcPr>
            <w:tcW w:type="dxa" w:w="720"/>
          </w:tcPr>
          <w:p>
            <w:pPr>
              <w:jc w:val="right"/>
            </w:pPr>
            <w:r>
              <w:rPr>
                <w:b/>
                <w:sz w:val="20"/>
              </w:rPr>
              <w:t>23</w:t>
            </w:r>
          </w:p>
        </w:tc>
      </w:tr>
      <w:tr>
        <w:tc>
          <w:tcPr>
            <w:tcW w:type="dxa" w:w="720"/>
          </w:tcPr>
          <w:p>
            <w:r>
              <w:rPr>
                <w:b/>
                <w:sz w:val="20"/>
              </w:rPr>
              <w:t>13</w:t>
            </w:r>
          </w:p>
        </w:tc>
        <w:tc>
          <w:tcPr>
            <w:tcW w:type="dxa" w:w="7920"/>
          </w:tcPr>
          <w:p>
            <w:r>
              <w:rPr>
                <w:b/>
                <w:sz w:val="20"/>
              </w:rPr>
              <w:t>Scalability &amp; Performance</w:t>
            </w:r>
          </w:p>
        </w:tc>
        <w:tc>
          <w:tcPr>
            <w:tcW w:type="dxa" w:w="720"/>
          </w:tcPr>
          <w:p>
            <w:pPr>
              <w:jc w:val="right"/>
            </w:pPr>
            <w:r>
              <w:rPr>
                <w:b/>
                <w:sz w:val="20"/>
              </w:rPr>
              <w:t>24</w:t>
            </w:r>
          </w:p>
        </w:tc>
      </w:tr>
      <w:tr>
        <w:tc>
          <w:tcPr>
            <w:tcW w:type="dxa" w:w="720"/>
          </w:tcPr>
          <w:p>
            <w:r>
              <w:rPr>
                <w:b/>
                <w:sz w:val="20"/>
              </w:rPr>
              <w:t>14</w:t>
            </w:r>
          </w:p>
        </w:tc>
        <w:tc>
          <w:tcPr>
            <w:tcW w:type="dxa" w:w="7920"/>
          </w:tcPr>
          <w:p>
            <w:r>
              <w:rPr>
                <w:b/>
                <w:sz w:val="20"/>
              </w:rPr>
              <w:t>Key Architectural Decisions</w:t>
            </w:r>
          </w:p>
        </w:tc>
        <w:tc>
          <w:tcPr>
            <w:tcW w:type="dxa" w:w="720"/>
          </w:tcPr>
          <w:p>
            <w:pPr>
              <w:jc w:val="right"/>
            </w:pPr>
            <w:r>
              <w:rPr>
                <w:b/>
                <w:sz w:val="20"/>
              </w:rPr>
              <w:t>25</w:t>
            </w:r>
          </w:p>
        </w:tc>
      </w:tr>
      <w:tr>
        <w:tc>
          <w:tcPr>
            <w:tcW w:type="dxa" w:w="720"/>
          </w:tcPr>
          <w:p>
            <w:r>
              <w:rPr>
                <w:b/>
                <w:sz w:val="20"/>
              </w:rPr>
              <w:t>15</w:t>
            </w:r>
          </w:p>
        </w:tc>
        <w:tc>
          <w:tcPr>
            <w:tcW w:type="dxa" w:w="7920"/>
          </w:tcPr>
          <w:p>
            <w:r>
              <w:rPr>
                <w:b/>
                <w:sz w:val="20"/>
              </w:rPr>
              <w:t>Service Dependency Matrix</w:t>
            </w:r>
          </w:p>
        </w:tc>
        <w:tc>
          <w:tcPr>
            <w:tcW w:type="dxa" w:w="720"/>
          </w:tcPr>
          <w:p>
            <w:pPr>
              <w:jc w:val="right"/>
            </w:pPr>
            <w:r>
              <w:rPr>
                <w:b/>
                <w:sz w:val="20"/>
              </w:rPr>
              <w:t>26</w:t>
            </w:r>
          </w:p>
        </w:tc>
      </w:tr>
      <w:tr>
        <w:tc>
          <w:tcPr>
            <w:tcW w:type="dxa" w:w="720"/>
          </w:tcPr>
          <w:p>
            <w:r>
              <w:rPr>
                <w:b/>
                <w:sz w:val="20"/>
              </w:rPr>
              <w:t>16</w:t>
            </w:r>
          </w:p>
        </w:tc>
        <w:tc>
          <w:tcPr>
            <w:tcW w:type="dxa" w:w="7920"/>
          </w:tcPr>
          <w:p>
            <w:r>
              <w:rPr>
                <w:b/>
                <w:sz w:val="20"/>
              </w:rPr>
              <w:t>Technology Stack Summary</w:t>
            </w:r>
          </w:p>
        </w:tc>
        <w:tc>
          <w:tcPr>
            <w:tcW w:type="dxa" w:w="720"/>
          </w:tcPr>
          <w:p>
            <w:pPr>
              <w:jc w:val="right"/>
            </w:pPr>
            <w:r>
              <w:rPr>
                <w:b/>
                <w:sz w:val="20"/>
              </w:rPr>
              <w:t>27</w:t>
            </w:r>
          </w:p>
        </w:tc>
      </w:tr>
    </w:tbl>
    <w:p>
      <w:r>
        <w:br w:type="page"/>
      </w:r>
    </w:p>
    <w:p>
      <w:pPr>
        <w:pStyle w:val="Heading1"/>
      </w:pPr>
      <w:r>
        <w:t>1. Executive Summary</w:t>
      </w:r>
    </w:p>
    <w:p>
      <w:r>
        <w:rPr>
          <w:b w:val="0"/>
          <w:i w:val="0"/>
        </w:rPr>
        <w:t>eShop is a production-grade .NET reference application that demonstrates a cloud-native, event-driven microservices architecture. Built on .NET Aspire, it showcases enterprise patterns including Domain-Driven Design (DDD), CQRS, the Outbox pattern, and OpenTelemetry observability. The application covers a full e-commerce lifecycle: product catalog browsing, AI-powered semantic search, shopping basket management, order processing, payment simulation, and webhook notifications — all deployable to Azure with a single CLI command.</w:t>
      </w:r>
    </w:p>
    <w:p/>
    <w:p>
      <w:r>
        <w:rPr>
          <w:b/>
          <w:i w:val="0"/>
        </w:rPr>
        <w:t>Key highlights:</w:t>
      </w:r>
    </w:p>
    <w:p>
      <w:pPr>
        <w:pStyle w:val="ListBullet"/>
        <w:ind w:left="432"/>
      </w:pPr>
      <w:r>
        <w:t>Runtime: .NET 9 / .NET 10 across all services</w:t>
      </w:r>
    </w:p>
    <w:p>
      <w:pPr>
        <w:pStyle w:val="ListBullet"/>
        <w:ind w:left="432"/>
      </w:pPr>
      <w:r>
        <w:t>Orchestration: .NET Aspire with Docker containers</w:t>
      </w:r>
    </w:p>
    <w:p>
      <w:pPr>
        <w:pStyle w:val="ListBullet"/>
        <w:ind w:left="432"/>
      </w:pPr>
      <w:r>
        <w:t>Frontends: Blazor Server (web), .NET MAUI (mobile/desktop), MAUI Blazor Hybrid</w:t>
      </w:r>
    </w:p>
    <w:p>
      <w:pPr>
        <w:pStyle w:val="ListBullet"/>
        <w:ind w:left="432"/>
      </w:pPr>
      <w:r>
        <w:t>Messaging: RabbitMQ event bus with guaranteed delivery via Integration Event Log</w:t>
      </w:r>
    </w:p>
    <w:p>
      <w:pPr>
        <w:pStyle w:val="ListBullet"/>
        <w:ind w:left="432"/>
      </w:pPr>
      <w:r>
        <w:t>Databases: PostgreSQL (4 databases), Redis</w:t>
      </w:r>
    </w:p>
    <w:p>
      <w:pPr>
        <w:pStyle w:val="ListBullet"/>
        <w:ind w:left="432"/>
      </w:pPr>
      <w:r>
        <w:t>Security: Duende IdentityServer (OAuth 2.0 / OpenID Connect)</w:t>
      </w:r>
    </w:p>
    <w:p>
      <w:pPr>
        <w:pStyle w:val="ListBullet"/>
        <w:ind w:left="432"/>
      </w:pPr>
      <w:r>
        <w:t>AI: Azure OpenAI / Ollama for semantic product search</w:t>
      </w:r>
    </w:p>
    <w:p>
      <w:pPr>
        <w:pStyle w:val="ListBullet"/>
        <w:ind w:left="432"/>
      </w:pPr>
      <w:r>
        <w:t>Observability: OpenTelemetry (logs, metrics, traces)</w:t>
      </w:r>
    </w:p>
    <w:p>
      <w:r>
        <w:br w:type="page"/>
      </w:r>
    </w:p>
    <w:p>
      <w:pPr>
        <w:pStyle w:val="Heading1"/>
      </w:pPr>
      <w:r>
        <w:t>2. Overall Architecture</w:t>
      </w:r>
    </w:p>
    <w:p>
      <w:pPr>
        <w:pStyle w:val="Heading2"/>
      </w:pPr>
      <w:r>
        <w:t>2.1 Architecture Pattern</w:t>
      </w:r>
    </w:p>
    <w:p>
      <w:r>
        <w:rPr>
          <w:b w:val="0"/>
          <w:i w:val="0"/>
        </w:rPr>
        <w:t>eShop is structured as a polyglot microservices application. Each service owns its domain, data store, and deployment unit. Services communicate via REST APIs, gRPC, and an asynchronous RabbitMQ event bus, enabling loose coupling and independent scalability.</w:t>
      </w:r>
    </w:p>
    <w:p>
      <w:pPr>
        <w:pStyle w:val="Heading2"/>
      </w:pPr>
      <w:r>
        <w:t>2.2 High-Level Service Map</w:t>
      </w:r>
    </w:p>
    <w:p>
      <w:r>
        <w:rPr>
          <w:b w:val="0"/>
          <w:i w:val="0"/>
        </w:rPr>
        <w:t>The following table summarises each deployable unit and its primary role:</w:t>
      </w:r>
    </w:p>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2672C4"/>
          </w:tcPr>
          <w:p>
            <w:r>
              <w:rPr>
                <w:b/>
                <w:color w:val="FFFFFF"/>
              </w:rPr>
              <w:t>Service / Project</w:t>
            </w:r>
          </w:p>
        </w:tc>
        <w:tc>
          <w:tcPr>
            <w:tcW w:type="dxa" w:w="2880"/>
            <w:shd w:val="clear" w:color="auto" w:fill="2672C4"/>
          </w:tcPr>
          <w:p>
            <w:r>
              <w:rPr>
                <w:b/>
                <w:color w:val="FFFFFF"/>
              </w:rPr>
              <w:t>Type</w:t>
            </w:r>
          </w:p>
        </w:tc>
        <w:tc>
          <w:tcPr>
            <w:tcW w:type="dxa" w:w="4608"/>
            <w:shd w:val="clear" w:color="auto" w:fill="2672C4"/>
          </w:tcPr>
          <w:p>
            <w:r>
              <w:rPr>
                <w:b/>
                <w:color w:val="FFFFFF"/>
              </w:rPr>
              <w:t>Primary Responsibility</w:t>
            </w:r>
          </w:p>
        </w:tc>
      </w:tr>
      <w:tr>
        <w:tc>
          <w:tcPr>
            <w:tcW w:type="dxa" w:w="2880"/>
          </w:tcPr>
          <w:p>
            <w:r>
              <w:rPr>
                <w:sz w:val="20"/>
              </w:rPr>
              <w:t>Identity.API</w:t>
            </w:r>
          </w:p>
        </w:tc>
        <w:tc>
          <w:tcPr>
            <w:tcW w:type="dxa" w:w="2880"/>
          </w:tcPr>
          <w:p>
            <w:r>
              <w:rPr>
                <w:sz w:val="20"/>
              </w:rPr>
              <w:t>ASP.NET Core Web</w:t>
            </w:r>
          </w:p>
        </w:tc>
        <w:tc>
          <w:tcPr>
            <w:tcW w:type="dxa" w:w="4608"/>
          </w:tcPr>
          <w:p>
            <w:r>
              <w:rPr>
                <w:sz w:val="20"/>
              </w:rPr>
              <w:t>OAuth 2.0 / OIDC token issuer (Duende IdentityServer)</w:t>
            </w:r>
          </w:p>
        </w:tc>
      </w:tr>
      <w:tr>
        <w:tc>
          <w:tcPr>
            <w:tcW w:type="dxa" w:w="2880"/>
          </w:tcPr>
          <w:p>
            <w:r>
              <w:rPr>
                <w:sz w:val="20"/>
              </w:rPr>
              <w:t>Catalog.API</w:t>
            </w:r>
          </w:p>
        </w:tc>
        <w:tc>
          <w:tcPr>
            <w:tcW w:type="dxa" w:w="2880"/>
          </w:tcPr>
          <w:p>
            <w:r>
              <w:rPr>
                <w:sz w:val="20"/>
              </w:rPr>
              <w:t>ASP.NET Core REST API</w:t>
            </w:r>
          </w:p>
        </w:tc>
        <w:tc>
          <w:tcPr>
            <w:tcW w:type="dxa" w:w="4608"/>
          </w:tcPr>
          <w:p>
            <w:r>
              <w:rPr>
                <w:sz w:val="20"/>
              </w:rPr>
              <w:t>Product catalogue, AI semantic search</w:t>
            </w:r>
          </w:p>
        </w:tc>
      </w:tr>
      <w:tr>
        <w:tc>
          <w:tcPr>
            <w:tcW w:type="dxa" w:w="2880"/>
          </w:tcPr>
          <w:p>
            <w:r>
              <w:rPr>
                <w:sz w:val="20"/>
              </w:rPr>
              <w:t>Basket.API</w:t>
            </w:r>
          </w:p>
        </w:tc>
        <w:tc>
          <w:tcPr>
            <w:tcW w:type="dxa" w:w="2880"/>
          </w:tcPr>
          <w:p>
            <w:r>
              <w:rPr>
                <w:sz w:val="20"/>
              </w:rPr>
              <w:t>ASP.NET Core gRPC</w:t>
            </w:r>
          </w:p>
        </w:tc>
        <w:tc>
          <w:tcPr>
            <w:tcW w:type="dxa" w:w="4608"/>
          </w:tcPr>
          <w:p>
            <w:r>
              <w:rPr>
                <w:sz w:val="20"/>
              </w:rPr>
              <w:t>Shopping cart (Redis-backed)</w:t>
            </w:r>
          </w:p>
        </w:tc>
      </w:tr>
      <w:tr>
        <w:tc>
          <w:tcPr>
            <w:tcW w:type="dxa" w:w="2880"/>
          </w:tcPr>
          <w:p>
            <w:r>
              <w:rPr>
                <w:sz w:val="20"/>
              </w:rPr>
              <w:t>Ordering.API</w:t>
            </w:r>
          </w:p>
        </w:tc>
        <w:tc>
          <w:tcPr>
            <w:tcW w:type="dxa" w:w="2880"/>
          </w:tcPr>
          <w:p>
            <w:r>
              <w:rPr>
                <w:sz w:val="20"/>
              </w:rPr>
              <w:t>ASP.NET Core REST API</w:t>
            </w:r>
          </w:p>
        </w:tc>
        <w:tc>
          <w:tcPr>
            <w:tcW w:type="dxa" w:w="4608"/>
          </w:tcPr>
          <w:p>
            <w:r>
              <w:rPr>
                <w:sz w:val="20"/>
              </w:rPr>
              <w:t>Order lifecycle management (DDD/CQRS)</w:t>
            </w:r>
          </w:p>
        </w:tc>
      </w:tr>
      <w:tr>
        <w:tc>
          <w:tcPr>
            <w:tcW w:type="dxa" w:w="2880"/>
          </w:tcPr>
          <w:p>
            <w:r>
              <w:rPr>
                <w:sz w:val="20"/>
              </w:rPr>
              <w:t>Ordering.Domain</w:t>
            </w:r>
          </w:p>
        </w:tc>
        <w:tc>
          <w:tcPr>
            <w:tcW w:type="dxa" w:w="2880"/>
          </w:tcPr>
          <w:p>
            <w:r>
              <w:rPr>
                <w:sz w:val="20"/>
              </w:rPr>
              <w:t>.NET Class Library</w:t>
            </w:r>
          </w:p>
        </w:tc>
        <w:tc>
          <w:tcPr>
            <w:tcW w:type="dxa" w:w="4608"/>
          </w:tcPr>
          <w:p>
            <w:r>
              <w:rPr>
                <w:sz w:val="20"/>
              </w:rPr>
              <w:t>Domain model: aggregates, value objects, events</w:t>
            </w:r>
          </w:p>
        </w:tc>
      </w:tr>
      <w:tr>
        <w:tc>
          <w:tcPr>
            <w:tcW w:type="dxa" w:w="2880"/>
          </w:tcPr>
          <w:p>
            <w:r>
              <w:rPr>
                <w:sz w:val="20"/>
              </w:rPr>
              <w:t>Ordering.Infrastructure</w:t>
            </w:r>
          </w:p>
        </w:tc>
        <w:tc>
          <w:tcPr>
            <w:tcW w:type="dxa" w:w="2880"/>
          </w:tcPr>
          <w:p>
            <w:r>
              <w:rPr>
                <w:sz w:val="20"/>
              </w:rPr>
              <w:t>.NET Class Library</w:t>
            </w:r>
          </w:p>
        </w:tc>
        <w:tc>
          <w:tcPr>
            <w:tcW w:type="dxa" w:w="4608"/>
          </w:tcPr>
          <w:p>
            <w:r>
              <w:rPr>
                <w:sz w:val="20"/>
              </w:rPr>
              <w:t>EF Core persistence, repositories</w:t>
            </w:r>
          </w:p>
        </w:tc>
      </w:tr>
      <w:tr>
        <w:tc>
          <w:tcPr>
            <w:tcW w:type="dxa" w:w="2880"/>
          </w:tcPr>
          <w:p>
            <w:r>
              <w:rPr>
                <w:sz w:val="20"/>
              </w:rPr>
              <w:t>OrderProcessor</w:t>
            </w:r>
          </w:p>
        </w:tc>
        <w:tc>
          <w:tcPr>
            <w:tcW w:type="dxa" w:w="2880"/>
          </w:tcPr>
          <w:p>
            <w:r>
              <w:rPr>
                <w:sz w:val="20"/>
              </w:rPr>
              <w:t>.NET Worker Service</w:t>
            </w:r>
          </w:p>
        </w:tc>
        <w:tc>
          <w:tcPr>
            <w:tcW w:type="dxa" w:w="4608"/>
          </w:tcPr>
          <w:p>
            <w:r>
              <w:rPr>
                <w:sz w:val="20"/>
              </w:rPr>
              <w:t>Background task: grace-period monitoring</w:t>
            </w:r>
          </w:p>
        </w:tc>
      </w:tr>
      <w:tr>
        <w:tc>
          <w:tcPr>
            <w:tcW w:type="dxa" w:w="2880"/>
          </w:tcPr>
          <w:p>
            <w:r>
              <w:rPr>
                <w:sz w:val="20"/>
              </w:rPr>
              <w:t>PaymentProcessor</w:t>
            </w:r>
          </w:p>
        </w:tc>
        <w:tc>
          <w:tcPr>
            <w:tcW w:type="dxa" w:w="2880"/>
          </w:tcPr>
          <w:p>
            <w:r>
              <w:rPr>
                <w:sz w:val="20"/>
              </w:rPr>
              <w:t>ASP.NET Core Web</w:t>
            </w:r>
          </w:p>
        </w:tc>
        <w:tc>
          <w:tcPr>
            <w:tcW w:type="dxa" w:w="4608"/>
          </w:tcPr>
          <w:p>
            <w:r>
              <w:rPr>
                <w:sz w:val="20"/>
              </w:rPr>
              <w:t>Simulated payment authorisation</w:t>
            </w:r>
          </w:p>
        </w:tc>
      </w:tr>
      <w:tr>
        <w:tc>
          <w:tcPr>
            <w:tcW w:type="dxa" w:w="2880"/>
          </w:tcPr>
          <w:p>
            <w:r>
              <w:rPr>
                <w:sz w:val="20"/>
              </w:rPr>
              <w:t>Webhooks.API</w:t>
            </w:r>
          </w:p>
        </w:tc>
        <w:tc>
          <w:tcPr>
            <w:tcW w:type="dxa" w:w="2880"/>
          </w:tcPr>
          <w:p>
            <w:r>
              <w:rPr>
                <w:sz w:val="20"/>
              </w:rPr>
              <w:t>ASP.NET Core REST API</w:t>
            </w:r>
          </w:p>
        </w:tc>
        <w:tc>
          <w:tcPr>
            <w:tcW w:type="dxa" w:w="4608"/>
          </w:tcPr>
          <w:p>
            <w:r>
              <w:rPr>
                <w:sz w:val="20"/>
              </w:rPr>
              <w:t>Webhook subscription &amp; dispatch</w:t>
            </w:r>
          </w:p>
        </w:tc>
      </w:tr>
      <w:tr>
        <w:tc>
          <w:tcPr>
            <w:tcW w:type="dxa" w:w="2880"/>
          </w:tcPr>
          <w:p>
            <w:r>
              <w:rPr>
                <w:sz w:val="20"/>
              </w:rPr>
              <w:t>WebApp</w:t>
            </w:r>
          </w:p>
        </w:tc>
        <w:tc>
          <w:tcPr>
            <w:tcW w:type="dxa" w:w="2880"/>
          </w:tcPr>
          <w:p>
            <w:r>
              <w:rPr>
                <w:sz w:val="20"/>
              </w:rPr>
              <w:t>Blazor Server</w:t>
            </w:r>
          </w:p>
        </w:tc>
        <w:tc>
          <w:tcPr>
            <w:tcW w:type="dxa" w:w="4608"/>
          </w:tcPr>
          <w:p>
            <w:r>
              <w:rPr>
                <w:sz w:val="20"/>
              </w:rPr>
              <w:t>Customer-facing web UI</w:t>
            </w:r>
          </w:p>
        </w:tc>
      </w:tr>
      <w:tr>
        <w:tc>
          <w:tcPr>
            <w:tcW w:type="dxa" w:w="2880"/>
          </w:tcPr>
          <w:p>
            <w:r>
              <w:rPr>
                <w:sz w:val="20"/>
              </w:rPr>
              <w:t>WebAppComponents</w:t>
            </w:r>
          </w:p>
        </w:tc>
        <w:tc>
          <w:tcPr>
            <w:tcW w:type="dxa" w:w="2880"/>
          </w:tcPr>
          <w:p>
            <w:r>
              <w:rPr>
                <w:sz w:val="20"/>
              </w:rPr>
              <w:t>Razor Class Library</w:t>
            </w:r>
          </w:p>
        </w:tc>
        <w:tc>
          <w:tcPr>
            <w:tcW w:type="dxa" w:w="4608"/>
          </w:tcPr>
          <w:p>
            <w:r>
              <w:rPr>
                <w:sz w:val="20"/>
              </w:rPr>
              <w:t>Shared Blazor components &amp; service abstractions</w:t>
            </w:r>
          </w:p>
        </w:tc>
      </w:tr>
      <w:tr>
        <w:tc>
          <w:tcPr>
            <w:tcW w:type="dxa" w:w="2880"/>
          </w:tcPr>
          <w:p>
            <w:r>
              <w:rPr>
                <w:sz w:val="20"/>
              </w:rPr>
              <w:t>ClientApp</w:t>
            </w:r>
          </w:p>
        </w:tc>
        <w:tc>
          <w:tcPr>
            <w:tcW w:type="dxa" w:w="2880"/>
          </w:tcPr>
          <w:p>
            <w:r>
              <w:rPr>
                <w:sz w:val="20"/>
              </w:rPr>
              <w:t>.NET MAUI</w:t>
            </w:r>
          </w:p>
        </w:tc>
        <w:tc>
          <w:tcPr>
            <w:tcW w:type="dxa" w:w="4608"/>
          </w:tcPr>
          <w:p>
            <w:r>
              <w:rPr>
                <w:sz w:val="20"/>
              </w:rPr>
              <w:t>Native cross-platform mobile / desktop app</w:t>
            </w:r>
          </w:p>
        </w:tc>
      </w:tr>
      <w:tr>
        <w:tc>
          <w:tcPr>
            <w:tcW w:type="dxa" w:w="2880"/>
          </w:tcPr>
          <w:p>
            <w:r>
              <w:rPr>
                <w:sz w:val="20"/>
              </w:rPr>
              <w:t>HybridApp</w:t>
            </w:r>
          </w:p>
        </w:tc>
        <w:tc>
          <w:tcPr>
            <w:tcW w:type="dxa" w:w="2880"/>
          </w:tcPr>
          <w:p>
            <w:r>
              <w:rPr>
                <w:sz w:val="20"/>
              </w:rPr>
              <w:t>MAUI Blazor Hybrid</w:t>
            </w:r>
          </w:p>
        </w:tc>
        <w:tc>
          <w:tcPr>
            <w:tcW w:type="dxa" w:w="4608"/>
          </w:tcPr>
          <w:p>
            <w:r>
              <w:rPr>
                <w:sz w:val="20"/>
              </w:rPr>
              <w:t>Hybrid native + web UI (shares WebAppComponents)</w:t>
            </w:r>
          </w:p>
        </w:tc>
      </w:tr>
      <w:tr>
        <w:tc>
          <w:tcPr>
            <w:tcW w:type="dxa" w:w="2880"/>
          </w:tcPr>
          <w:p>
            <w:r>
              <w:rPr>
                <w:sz w:val="20"/>
              </w:rPr>
              <w:t>WebhookClient</w:t>
            </w:r>
          </w:p>
        </w:tc>
        <w:tc>
          <w:tcPr>
            <w:tcW w:type="dxa" w:w="2880"/>
          </w:tcPr>
          <w:p>
            <w:r>
              <w:rPr>
                <w:sz w:val="20"/>
              </w:rPr>
              <w:t>Blazor Server</w:t>
            </w:r>
          </w:p>
        </w:tc>
        <w:tc>
          <w:tcPr>
            <w:tcW w:type="dxa" w:w="4608"/>
          </w:tcPr>
          <w:p>
            <w:r>
              <w:rPr>
                <w:sz w:val="20"/>
              </w:rPr>
              <w:t>Example webhook consumer / event viewer</w:t>
            </w:r>
          </w:p>
        </w:tc>
      </w:tr>
      <w:tr>
        <w:tc>
          <w:tcPr>
            <w:tcW w:type="dxa" w:w="2880"/>
          </w:tcPr>
          <w:p>
            <w:r>
              <w:rPr>
                <w:sz w:val="20"/>
              </w:rPr>
              <w:t>eShop.AppHost</w:t>
            </w:r>
          </w:p>
        </w:tc>
        <w:tc>
          <w:tcPr>
            <w:tcW w:type="dxa" w:w="2880"/>
          </w:tcPr>
          <w:p>
            <w:r>
              <w:rPr>
                <w:sz w:val="20"/>
              </w:rPr>
              <w:t>.NET Aspire Host</w:t>
            </w:r>
          </w:p>
        </w:tc>
        <w:tc>
          <w:tcPr>
            <w:tcW w:type="dxa" w:w="4608"/>
          </w:tcPr>
          <w:p>
            <w:r>
              <w:rPr>
                <w:sz w:val="20"/>
              </w:rPr>
              <w:t>Orchestrates all services and infrastructure</w:t>
            </w:r>
          </w:p>
        </w:tc>
      </w:tr>
      <w:tr>
        <w:tc>
          <w:tcPr>
            <w:tcW w:type="dxa" w:w="2880"/>
          </w:tcPr>
          <w:p>
            <w:r>
              <w:rPr>
                <w:sz w:val="20"/>
              </w:rPr>
              <w:t>eShop.ServiceDefaults</w:t>
            </w:r>
          </w:p>
        </w:tc>
        <w:tc>
          <w:tcPr>
            <w:tcW w:type="dxa" w:w="2880"/>
          </w:tcPr>
          <w:p>
            <w:r>
              <w:rPr>
                <w:sz w:val="20"/>
              </w:rPr>
              <w:t>.NET Class Library</w:t>
            </w:r>
          </w:p>
        </w:tc>
        <w:tc>
          <w:tcPr>
            <w:tcW w:type="dxa" w:w="4608"/>
          </w:tcPr>
          <w:p>
            <w:r>
              <w:rPr>
                <w:sz w:val="20"/>
              </w:rPr>
              <w:t>Shared cross-cutting concerns: telemetry, auth, health</w:t>
            </w:r>
          </w:p>
        </w:tc>
      </w:tr>
      <w:tr>
        <w:tc>
          <w:tcPr>
            <w:tcW w:type="dxa" w:w="2880"/>
          </w:tcPr>
          <w:p>
            <w:r>
              <w:rPr>
                <w:sz w:val="20"/>
              </w:rPr>
              <w:t>EventBus</w:t>
            </w:r>
          </w:p>
        </w:tc>
        <w:tc>
          <w:tcPr>
            <w:tcW w:type="dxa" w:w="2880"/>
          </w:tcPr>
          <w:p>
            <w:r>
              <w:rPr>
                <w:sz w:val="20"/>
              </w:rPr>
              <w:t>.NET Class Library</w:t>
            </w:r>
          </w:p>
        </w:tc>
        <w:tc>
          <w:tcPr>
            <w:tcW w:type="dxa" w:w="4608"/>
          </w:tcPr>
          <w:p>
            <w:r>
              <w:rPr>
                <w:sz w:val="20"/>
              </w:rPr>
              <w:t>Event bus abstractions (interfaces, base classes)</w:t>
            </w:r>
          </w:p>
        </w:tc>
      </w:tr>
      <w:tr>
        <w:tc>
          <w:tcPr>
            <w:tcW w:type="dxa" w:w="2880"/>
          </w:tcPr>
          <w:p>
            <w:r>
              <w:rPr>
                <w:sz w:val="20"/>
              </w:rPr>
              <w:t>EventBusRabbitMQ</w:t>
            </w:r>
          </w:p>
        </w:tc>
        <w:tc>
          <w:tcPr>
            <w:tcW w:type="dxa" w:w="2880"/>
          </w:tcPr>
          <w:p>
            <w:r>
              <w:rPr>
                <w:sz w:val="20"/>
              </w:rPr>
              <w:t>.NET Class Library</w:t>
            </w:r>
          </w:p>
        </w:tc>
        <w:tc>
          <w:tcPr>
            <w:tcW w:type="dxa" w:w="4608"/>
          </w:tcPr>
          <w:p>
            <w:r>
              <w:rPr>
                <w:sz w:val="20"/>
              </w:rPr>
              <w:t>RabbitMQ implementation of the event bus</w:t>
            </w:r>
          </w:p>
        </w:tc>
      </w:tr>
      <w:tr>
        <w:tc>
          <w:tcPr>
            <w:tcW w:type="dxa" w:w="2880"/>
          </w:tcPr>
          <w:p>
            <w:r>
              <w:rPr>
                <w:sz w:val="20"/>
              </w:rPr>
              <w:t>IntegrationEventLogEF</w:t>
            </w:r>
          </w:p>
        </w:tc>
        <w:tc>
          <w:tcPr>
            <w:tcW w:type="dxa" w:w="2880"/>
          </w:tcPr>
          <w:p>
            <w:r>
              <w:rPr>
                <w:sz w:val="20"/>
              </w:rPr>
              <w:t>.NET Class Library</w:t>
            </w:r>
          </w:p>
        </w:tc>
        <w:tc>
          <w:tcPr>
            <w:tcW w:type="dxa" w:w="4608"/>
          </w:tcPr>
          <w:p>
            <w:r>
              <w:rPr>
                <w:sz w:val="20"/>
              </w:rPr>
              <w:t>EF Core-backed integration event log (Outbox pattern)</w:t>
            </w:r>
          </w:p>
        </w:tc>
      </w:tr>
      <w:tr>
        <w:tc>
          <w:tcPr>
            <w:tcW w:type="dxa" w:w="2880"/>
          </w:tcPr>
          <w:p>
            <w:r>
              <w:rPr>
                <w:sz w:val="20"/>
              </w:rPr>
              <w:t>Shared</w:t>
            </w:r>
          </w:p>
        </w:tc>
        <w:tc>
          <w:tcPr>
            <w:tcW w:type="dxa" w:w="2880"/>
          </w:tcPr>
          <w:p>
            <w:r>
              <w:rPr>
                <w:sz w:val="20"/>
              </w:rPr>
              <w:t>.NET Class Library</w:t>
            </w:r>
          </w:p>
        </w:tc>
        <w:tc>
          <w:tcPr>
            <w:tcW w:type="dxa" w:w="4608"/>
          </w:tcPr>
          <w:p>
            <w:r>
              <w:rPr>
                <w:sz w:val="20"/>
              </w:rPr>
              <w:t>Shared DTOs, utilities</w:t>
            </w:r>
          </w:p>
        </w:tc>
      </w:tr>
    </w:tbl>
    <w:p>
      <w:r>
        <w:br w:type="page"/>
      </w:r>
    </w:p>
    <w:p>
      <w:pPr>
        <w:pStyle w:val="Heading1"/>
      </w:pPr>
      <w:r>
        <w:t>3. Infrastructure &amp; Orchestration</w:t>
      </w:r>
    </w:p>
    <w:p>
      <w:pPr>
        <w:pStyle w:val="Heading2"/>
      </w:pPr>
      <w:r>
        <w:t>3.1 .NET Aspire AppHost</w:t>
      </w:r>
    </w:p>
    <w:p>
      <w:r>
        <w:rPr>
          <w:b w:val="0"/>
          <w:i w:val="0"/>
        </w:rPr>
        <w:t>eShop.AppHost is the central orchestration entry point. It declares all service dependencies, provisions infrastructure containers (Redis, RabbitMQ, PostgreSQL), injects environment variables (connection strings, URLs), and manages the startup order of every service.</w:t>
      </w:r>
    </w:p>
    <w:p>
      <w:pPr>
        <w:pStyle w:val="Heading3"/>
      </w:pPr>
      <w:r>
        <w:t>Infrastructure Resources Provisioned by Aspire</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2672C4"/>
          </w:tcPr>
          <w:p>
            <w:r>
              <w:rPr>
                <w:b/>
                <w:color w:val="FFFFFF"/>
              </w:rPr>
              <w:t>Resource</w:t>
            </w:r>
          </w:p>
        </w:tc>
        <w:tc>
          <w:tcPr>
            <w:tcW w:type="dxa" w:w="2592"/>
            <w:shd w:val="clear" w:color="auto" w:fill="2672C4"/>
          </w:tcPr>
          <w:p>
            <w:r>
              <w:rPr>
                <w:b/>
                <w:color w:val="FFFFFF"/>
              </w:rPr>
              <w:t>Type</w:t>
            </w:r>
          </w:p>
        </w:tc>
        <w:tc>
          <w:tcPr>
            <w:tcW w:type="dxa" w:w="5184"/>
            <w:shd w:val="clear" w:color="auto" w:fill="2672C4"/>
          </w:tcPr>
          <w:p>
            <w:r>
              <w:rPr>
                <w:b/>
                <w:color w:val="FFFFFF"/>
              </w:rPr>
              <w:t>Consumed By</w:t>
            </w:r>
          </w:p>
        </w:tc>
      </w:tr>
      <w:tr>
        <w:tc>
          <w:tcPr>
            <w:tcW w:type="dxa" w:w="2592"/>
          </w:tcPr>
          <w:p>
            <w:r>
              <w:rPr>
                <w:sz w:val="20"/>
              </w:rPr>
              <w:t>Redis</w:t>
            </w:r>
          </w:p>
        </w:tc>
        <w:tc>
          <w:tcPr>
            <w:tcW w:type="dxa" w:w="2592"/>
          </w:tcPr>
          <w:p>
            <w:r>
              <w:rPr>
                <w:sz w:val="20"/>
              </w:rPr>
              <w:t>Persistent container</w:t>
            </w:r>
          </w:p>
        </w:tc>
        <w:tc>
          <w:tcPr>
            <w:tcW w:type="dxa" w:w="5184"/>
          </w:tcPr>
          <w:p>
            <w:r>
              <w:rPr>
                <w:sz w:val="20"/>
              </w:rPr>
              <w:t>Basket.API (session caching)</w:t>
            </w:r>
          </w:p>
        </w:tc>
      </w:tr>
      <w:tr>
        <w:tc>
          <w:tcPr>
            <w:tcW w:type="dxa" w:w="2592"/>
          </w:tcPr>
          <w:p>
            <w:r>
              <w:rPr>
                <w:sz w:val="20"/>
              </w:rPr>
              <w:t>RabbitMQ</w:t>
            </w:r>
          </w:p>
        </w:tc>
        <w:tc>
          <w:tcPr>
            <w:tcW w:type="dxa" w:w="2592"/>
          </w:tcPr>
          <w:p>
            <w:r>
              <w:rPr>
                <w:sz w:val="20"/>
              </w:rPr>
              <w:t>Persistent container</w:t>
            </w:r>
          </w:p>
        </w:tc>
        <w:tc>
          <w:tcPr>
            <w:tcW w:type="dxa" w:w="5184"/>
          </w:tcPr>
          <w:p>
            <w:r>
              <w:rPr>
                <w:sz w:val="20"/>
              </w:rPr>
              <w:t>All services (event bus)</w:t>
            </w:r>
          </w:p>
        </w:tc>
      </w:tr>
      <w:tr>
        <w:tc>
          <w:tcPr>
            <w:tcW w:type="dxa" w:w="2592"/>
          </w:tcPr>
          <w:p>
            <w:r>
              <w:rPr>
                <w:sz w:val="20"/>
              </w:rPr>
              <w:t>PostgreSQL</w:t>
            </w:r>
          </w:p>
        </w:tc>
        <w:tc>
          <w:tcPr>
            <w:tcW w:type="dxa" w:w="2592"/>
          </w:tcPr>
          <w:p>
            <w:r>
              <w:rPr>
                <w:sz w:val="20"/>
              </w:rPr>
              <w:t>Persistent container</w:t>
            </w:r>
          </w:p>
        </w:tc>
        <w:tc>
          <w:tcPr>
            <w:tcW w:type="dxa" w:w="5184"/>
          </w:tcPr>
          <w:p>
            <w:r>
              <w:rPr>
                <w:sz w:val="20"/>
              </w:rPr>
              <w:t>Catalog, Identity, Ordering, Webhooks APIs</w:t>
            </w:r>
          </w:p>
        </w:tc>
      </w:tr>
      <w:tr>
        <w:tc>
          <w:tcPr>
            <w:tcW w:type="dxa" w:w="2592"/>
          </w:tcPr>
          <w:p>
            <w:r>
              <w:rPr>
                <w:sz w:val="20"/>
              </w:rPr>
              <w:t>catalogdb</w:t>
            </w:r>
          </w:p>
        </w:tc>
        <w:tc>
          <w:tcPr>
            <w:tcW w:type="dxa" w:w="2592"/>
          </w:tcPr>
          <w:p>
            <w:r>
              <w:rPr>
                <w:sz w:val="20"/>
              </w:rPr>
              <w:t>PostgreSQL database</w:t>
            </w:r>
          </w:p>
        </w:tc>
        <w:tc>
          <w:tcPr>
            <w:tcW w:type="dxa" w:w="5184"/>
          </w:tcPr>
          <w:p>
            <w:r>
              <w:rPr>
                <w:sz w:val="20"/>
              </w:rPr>
              <w:t>Catalog.API</w:t>
            </w:r>
          </w:p>
        </w:tc>
      </w:tr>
      <w:tr>
        <w:tc>
          <w:tcPr>
            <w:tcW w:type="dxa" w:w="2592"/>
          </w:tcPr>
          <w:p>
            <w:r>
              <w:rPr>
                <w:sz w:val="20"/>
              </w:rPr>
              <w:t>identitydb</w:t>
            </w:r>
          </w:p>
        </w:tc>
        <w:tc>
          <w:tcPr>
            <w:tcW w:type="dxa" w:w="2592"/>
          </w:tcPr>
          <w:p>
            <w:r>
              <w:rPr>
                <w:sz w:val="20"/>
              </w:rPr>
              <w:t>PostgreSQL database</w:t>
            </w:r>
          </w:p>
        </w:tc>
        <w:tc>
          <w:tcPr>
            <w:tcW w:type="dxa" w:w="5184"/>
          </w:tcPr>
          <w:p>
            <w:r>
              <w:rPr>
                <w:sz w:val="20"/>
              </w:rPr>
              <w:t>Identity.API</w:t>
            </w:r>
          </w:p>
        </w:tc>
      </w:tr>
      <w:tr>
        <w:tc>
          <w:tcPr>
            <w:tcW w:type="dxa" w:w="2592"/>
          </w:tcPr>
          <w:p>
            <w:r>
              <w:rPr>
                <w:sz w:val="20"/>
              </w:rPr>
              <w:t>orderingdb</w:t>
            </w:r>
          </w:p>
        </w:tc>
        <w:tc>
          <w:tcPr>
            <w:tcW w:type="dxa" w:w="2592"/>
          </w:tcPr>
          <w:p>
            <w:r>
              <w:rPr>
                <w:sz w:val="20"/>
              </w:rPr>
              <w:t>PostgreSQL database</w:t>
            </w:r>
          </w:p>
        </w:tc>
        <w:tc>
          <w:tcPr>
            <w:tcW w:type="dxa" w:w="5184"/>
          </w:tcPr>
          <w:p>
            <w:r>
              <w:rPr>
                <w:sz w:val="20"/>
              </w:rPr>
              <w:t>Ordering.API, OrderProcessor</w:t>
            </w:r>
          </w:p>
        </w:tc>
      </w:tr>
      <w:tr>
        <w:tc>
          <w:tcPr>
            <w:tcW w:type="dxa" w:w="2592"/>
          </w:tcPr>
          <w:p>
            <w:r>
              <w:rPr>
                <w:sz w:val="20"/>
              </w:rPr>
              <w:t>webhooksdb</w:t>
            </w:r>
          </w:p>
        </w:tc>
        <w:tc>
          <w:tcPr>
            <w:tcW w:type="dxa" w:w="2592"/>
          </w:tcPr>
          <w:p>
            <w:r>
              <w:rPr>
                <w:sz w:val="20"/>
              </w:rPr>
              <w:t>PostgreSQL database</w:t>
            </w:r>
          </w:p>
        </w:tc>
        <w:tc>
          <w:tcPr>
            <w:tcW w:type="dxa" w:w="5184"/>
          </w:tcPr>
          <w:p>
            <w:r>
              <w:rPr>
                <w:sz w:val="20"/>
              </w:rPr>
              <w:t>Webhooks.API</w:t>
            </w:r>
          </w:p>
        </w:tc>
      </w:tr>
      <w:tr>
        <w:tc>
          <w:tcPr>
            <w:tcW w:type="dxa" w:w="2592"/>
          </w:tcPr>
          <w:p>
            <w:r>
              <w:rPr>
                <w:sz w:val="20"/>
              </w:rPr>
              <w:t>YARP</w:t>
            </w:r>
          </w:p>
        </w:tc>
        <w:tc>
          <w:tcPr>
            <w:tcW w:type="dxa" w:w="2592"/>
          </w:tcPr>
          <w:p>
            <w:r>
              <w:rPr>
                <w:sz w:val="20"/>
              </w:rPr>
              <w:t>Reverse proxy</w:t>
            </w:r>
          </w:p>
        </w:tc>
        <w:tc>
          <w:tcPr>
            <w:tcW w:type="dxa" w:w="5184"/>
          </w:tcPr>
          <w:p>
            <w:r>
              <w:rPr>
                <w:sz w:val="20"/>
              </w:rPr>
              <w:t>Mobile BFF routing (ClientApp)</w:t>
            </w:r>
          </w:p>
        </w:tc>
      </w:tr>
    </w:tbl>
    <w:p>
      <w:pPr>
        <w:pStyle w:val="Heading3"/>
      </w:pPr>
      <w:r>
        <w:t>Service Startup Order</w:t>
      </w:r>
    </w:p>
    <w:p>
      <w:r>
        <w:rPr>
          <w:b w:val="0"/>
          <w:i w:val="0"/>
        </w:rPr>
        <w:t>All services wait for the RabbitMQ health check before accepting traffic. OrderProcessor additionally waits for Ordering.API (to ensure EF migrations have run). Health check endpoints are exposed at /health (readiness) and /alive (liveness).</w:t>
      </w:r>
    </w:p>
    <w:p>
      <w:pPr>
        <w:pStyle w:val="Heading2"/>
      </w:pPr>
      <w:r>
        <w:t>3.2 eShop.ServiceDefaults</w:t>
      </w:r>
    </w:p>
    <w:p>
      <w:r>
        <w:rPr>
          <w:b w:val="0"/>
          <w:i w:val="0"/>
        </w:rPr>
        <w:t>A shared class library applied to every service via builder.AddServiceDefaults(). It provides a consistent baseline of cross-cutting infrastructure:</w:t>
      </w:r>
    </w:p>
    <w:p>
      <w:pPr>
        <w:pStyle w:val="ListBullet"/>
        <w:ind w:left="432"/>
      </w:pPr>
      <w:r>
        <w:t>OpenTelemetry: Structured logging, distributed tracing, metrics (OTLP exporter)</w:t>
      </w:r>
    </w:p>
    <w:p>
      <w:pPr>
        <w:pStyle w:val="ListBullet"/>
        <w:ind w:left="432"/>
      </w:pPr>
      <w:r>
        <w:t>Service Discovery: Resilient HTTP client routing via Aspire service names</w:t>
      </w:r>
    </w:p>
    <w:p>
      <w:pPr>
        <w:pStyle w:val="ListBullet"/>
        <w:ind w:left="432"/>
      </w:pPr>
      <w:r>
        <w:t>Health Checks: /health and /alive endpoints</w:t>
      </w:r>
    </w:p>
    <w:p>
      <w:pPr>
        <w:pStyle w:val="ListBullet"/>
        <w:ind w:left="432"/>
      </w:pPr>
      <w:r>
        <w:t>JWT Authentication: Centralised AddJwtBearer configuration pointing to Identity.API</w:t>
      </w:r>
    </w:p>
    <w:p>
      <w:pPr>
        <w:pStyle w:val="ListBullet"/>
        <w:ind w:left="432"/>
      </w:pPr>
      <w:r>
        <w:t>HTTP Client Resilience: Polly retry and circuit-breaker policies</w:t>
      </w:r>
    </w:p>
    <w:p>
      <w:pPr>
        <w:pStyle w:val="ListBullet"/>
        <w:ind w:left="432"/>
      </w:pPr>
      <w:r>
        <w:t>OpenAPI Extensions: Swagger/OpenAPI setup helpers</w:t>
      </w:r>
    </w:p>
    <w:p>
      <w:r>
        <w:br w:type="page"/>
      </w:r>
    </w:p>
    <w:p>
      <w:pPr>
        <w:pStyle w:val="Heading1"/>
      </w:pPr>
      <w:r>
        <w:t>4. Service Catalog</w:t>
      </w:r>
    </w:p>
    <w:p>
      <w:pPr>
        <w:pStyle w:val="Heading2"/>
      </w:pPr>
      <w:r>
        <w:t>4.1 Identity.API – Authentication Provider</w:t>
      </w:r>
    </w:p>
    <w:tbl>
      <w:tblPr>
        <w:tblStyle w:val="TableGrid"/>
        <w:tblW w:type="auto" w:w="0"/>
        <w:jc w:val="left"/>
        <w:tblLook w:firstColumn="1" w:firstRow="1" w:lastColumn="0" w:lastRow="0" w:noHBand="0" w:noVBand="1" w:val="04A0"/>
      </w:tblPr>
      <w:tblGrid>
        <w:gridCol w:w="4680"/>
        <w:gridCol w:w="4680"/>
      </w:tblGrid>
      <w:tr>
        <w:tc>
          <w:tcPr>
            <w:tcW w:type="dxa" w:w="2592"/>
          </w:tcPr>
          <w:p>
            <w:r>
              <w:rPr>
                <w:sz w:val="20"/>
              </w:rPr>
              <w:t>Framework</w:t>
            </w:r>
          </w:p>
        </w:tc>
        <w:tc>
          <w:tcPr>
            <w:tcW w:type="dxa" w:w="7776"/>
          </w:tcPr>
          <w:p>
            <w:r>
              <w:rPr>
                <w:sz w:val="20"/>
              </w:rPr>
              <w:t>ASP.NET Core Web Application (.NET 10)</w:t>
            </w:r>
          </w:p>
        </w:tc>
      </w:tr>
      <w:tr>
        <w:tc>
          <w:tcPr>
            <w:tcW w:type="dxa" w:w="2592"/>
          </w:tcPr>
          <w:p>
            <w:r>
              <w:rPr>
                <w:sz w:val="20"/>
              </w:rPr>
              <w:t>Protocol</w:t>
            </w:r>
          </w:p>
        </w:tc>
        <w:tc>
          <w:tcPr>
            <w:tcW w:type="dxa" w:w="7776"/>
          </w:tcPr>
          <w:p>
            <w:r>
              <w:rPr>
                <w:sz w:val="20"/>
              </w:rPr>
              <w:t>OAuth 2.0 / OpenID Connect</w:t>
            </w:r>
          </w:p>
        </w:tc>
      </w:tr>
      <w:tr>
        <w:tc>
          <w:tcPr>
            <w:tcW w:type="dxa" w:w="2592"/>
          </w:tcPr>
          <w:p>
            <w:r>
              <w:rPr>
                <w:sz w:val="20"/>
              </w:rPr>
              <w:t>Auth Library</w:t>
            </w:r>
          </w:p>
        </w:tc>
        <w:tc>
          <w:tcPr>
            <w:tcW w:type="dxa" w:w="7776"/>
          </w:tcPr>
          <w:p>
            <w:r>
              <w:rPr>
                <w:sz w:val="20"/>
              </w:rPr>
              <w:t>Duende IdentityServer 8.x</w:t>
            </w:r>
          </w:p>
        </w:tc>
      </w:tr>
      <w:tr>
        <w:tc>
          <w:tcPr>
            <w:tcW w:type="dxa" w:w="2592"/>
          </w:tcPr>
          <w:p>
            <w:r>
              <w:rPr>
                <w:sz w:val="20"/>
              </w:rPr>
              <w:t>Database</w:t>
            </w:r>
          </w:p>
        </w:tc>
        <w:tc>
          <w:tcPr>
            <w:tcW w:type="dxa" w:w="7776"/>
          </w:tcPr>
          <w:p>
            <w:r>
              <w:rPr>
                <w:sz w:val="20"/>
              </w:rPr>
              <w:t>PostgreSQL (identitydb)</w:t>
            </w:r>
          </w:p>
        </w:tc>
      </w:tr>
      <w:tr>
        <w:tc>
          <w:tcPr>
            <w:tcW w:type="dxa" w:w="2592"/>
          </w:tcPr>
          <w:p>
            <w:r>
              <w:rPr>
                <w:sz w:val="20"/>
              </w:rPr>
              <w:t>Key Features</w:t>
            </w:r>
          </w:p>
        </w:tc>
        <w:tc>
          <w:tcPr>
            <w:tcW w:type="dxa" w:w="7776"/>
          </w:tcPr>
          <w:p>
            <w:r>
              <w:rPr>
                <w:sz w:val="20"/>
              </w:rPr>
              <w:t>Token issuance, consent flows, device flow, user login/logout</w:t>
            </w:r>
          </w:p>
        </w:tc>
      </w:tr>
    </w:tbl>
    <w:p/>
    <w:p>
      <w:r>
        <w:rPr>
          <w:b/>
          <w:i w:val="0"/>
        </w:rPr>
        <w:t>Responsibilities:</w:t>
      </w:r>
    </w:p>
    <w:p>
      <w:pPr>
        <w:pStyle w:val="ListBullet"/>
        <w:ind w:left="432"/>
      </w:pPr>
      <w:r>
        <w:t>Acts as the central OAuth 2.0 Authorization Server for the entire platform.</w:t>
      </w:r>
    </w:p>
    <w:p>
      <w:pPr>
        <w:pStyle w:val="ListBullet"/>
        <w:ind w:left="432"/>
      </w:pPr>
      <w:r>
        <w:t>Issues JWT access tokens and ID tokens to all client applications.</w:t>
      </w:r>
    </w:p>
    <w:p>
      <w:pPr>
        <w:pStyle w:val="ListBullet"/>
        <w:ind w:left="432"/>
      </w:pPr>
      <w:r>
        <w:t>Manages user identities via ASP.NET Core Identity.</w:t>
      </w:r>
    </w:p>
    <w:p>
      <w:pPr>
        <w:pStyle w:val="ListBullet"/>
        <w:ind w:left="432"/>
      </w:pPr>
      <w:r>
        <w:t>Persists user accounts and IdentityServer configuration in PostgreSQL.</w:t>
      </w:r>
    </w:p>
    <w:p>
      <w:r>
        <w:rPr>
          <w:b/>
          <w:i w:val="0"/>
        </w:rPr>
        <w:t>Key OAuth Clients Registered:</w:t>
      </w:r>
    </w:p>
    <w:p>
      <w:pPr>
        <w:pStyle w:val="ListBullet"/>
        <w:ind w:left="432"/>
      </w:pPr>
      <w:r>
        <w:t>WebAppClient → WebApp (authorisation code + PKCE)</w:t>
      </w:r>
    </w:p>
    <w:p>
      <w:pPr>
        <w:pStyle w:val="ListBullet"/>
        <w:ind w:left="432"/>
      </w:pPr>
      <w:r>
        <w:t>ClientApp / HybridApp → Mobile / Desktop (authorisation code + PKCE)</w:t>
      </w:r>
    </w:p>
    <w:p>
      <w:pPr>
        <w:pStyle w:val="ListBullet"/>
        <w:ind w:left="432"/>
      </w:pPr>
      <w:r>
        <w:t>WebhooksWebClient → WebhookClient</w:t>
      </w:r>
    </w:p>
    <w:p>
      <w:r>
        <w:rPr>
          <w:b/>
          <w:i w:val="0"/>
        </w:rPr>
        <w:t>API Scopes:</w:t>
      </w:r>
    </w:p>
    <w:p>
      <w:pPr>
        <w:pStyle w:val="ListBullet"/>
        <w:ind w:left="432"/>
      </w:pPr>
      <w:r>
        <w:t>basket, catalog, orders, webhooks</w:t>
      </w:r>
    </w:p>
    <w:p>
      <w:pPr>
        <w:pStyle w:val="Heading2"/>
      </w:pPr>
      <w:r>
        <w:t>4.2 Catalog.API – Product Catalog Service</w:t>
      </w:r>
    </w:p>
    <w:tbl>
      <w:tblPr>
        <w:tblStyle w:val="TableGrid"/>
        <w:tblW w:type="auto" w:w="0"/>
        <w:jc w:val="left"/>
        <w:tblLook w:firstColumn="1" w:firstRow="1" w:lastColumn="0" w:lastRow="0" w:noHBand="0" w:noVBand="1" w:val="04A0"/>
      </w:tblPr>
      <w:tblGrid>
        <w:gridCol w:w="4680"/>
        <w:gridCol w:w="4680"/>
      </w:tblGrid>
      <w:tr>
        <w:tc>
          <w:tcPr>
            <w:tcW w:type="dxa" w:w="2592"/>
          </w:tcPr>
          <w:p>
            <w:r>
              <w:rPr>
                <w:sz w:val="20"/>
              </w:rPr>
              <w:t>Framework</w:t>
            </w:r>
          </w:p>
        </w:tc>
        <w:tc>
          <w:tcPr>
            <w:tcW w:type="dxa" w:w="7776"/>
          </w:tcPr>
          <w:p>
            <w:r>
              <w:rPr>
                <w:sz w:val="20"/>
              </w:rPr>
              <w:t>ASP.NET Core Minimal API (.NET 10)</w:t>
            </w:r>
          </w:p>
        </w:tc>
      </w:tr>
      <w:tr>
        <w:tc>
          <w:tcPr>
            <w:tcW w:type="dxa" w:w="2592"/>
          </w:tcPr>
          <w:p>
            <w:r>
              <w:rPr>
                <w:sz w:val="20"/>
              </w:rPr>
              <w:t>Protocol</w:t>
            </w:r>
          </w:p>
        </w:tc>
        <w:tc>
          <w:tcPr>
            <w:tcW w:type="dxa" w:w="7776"/>
          </w:tcPr>
          <w:p>
            <w:r>
              <w:rPr>
                <w:sz w:val="20"/>
              </w:rPr>
              <w:t>REST (HTTP/HTTPS), versioned v1.0 / v2.0</w:t>
            </w:r>
          </w:p>
        </w:tc>
      </w:tr>
      <w:tr>
        <w:tc>
          <w:tcPr>
            <w:tcW w:type="dxa" w:w="2592"/>
          </w:tcPr>
          <w:p>
            <w:r>
              <w:rPr>
                <w:sz w:val="20"/>
              </w:rPr>
              <w:t>Database</w:t>
            </w:r>
          </w:p>
        </w:tc>
        <w:tc>
          <w:tcPr>
            <w:tcW w:type="dxa" w:w="7776"/>
          </w:tcPr>
          <w:p>
            <w:r>
              <w:rPr>
                <w:sz w:val="20"/>
              </w:rPr>
              <w:t>PostgreSQL (catalogdb) + pgvector extension</w:t>
            </w:r>
          </w:p>
        </w:tc>
      </w:tr>
      <w:tr>
        <w:tc>
          <w:tcPr>
            <w:tcW w:type="dxa" w:w="2592"/>
          </w:tcPr>
          <w:p>
            <w:r>
              <w:rPr>
                <w:sz w:val="20"/>
              </w:rPr>
              <w:t>AI</w:t>
            </w:r>
          </w:p>
        </w:tc>
        <w:tc>
          <w:tcPr>
            <w:tcW w:type="dxa" w:w="7776"/>
          </w:tcPr>
          <w:p>
            <w:r>
              <w:rPr>
                <w:sz w:val="20"/>
              </w:rPr>
              <w:t>Azure OpenAI / Ollama (text embeddings for semantic search)</w:t>
            </w:r>
          </w:p>
        </w:tc>
      </w:tr>
      <w:tr>
        <w:tc>
          <w:tcPr>
            <w:tcW w:type="dxa" w:w="2592"/>
          </w:tcPr>
          <w:p>
            <w:r>
              <w:rPr>
                <w:sz w:val="20"/>
              </w:rPr>
              <w:t>Messaging</w:t>
            </w:r>
          </w:p>
        </w:tc>
        <w:tc>
          <w:tcPr>
            <w:tcW w:type="dxa" w:w="7776"/>
          </w:tcPr>
          <w:p>
            <w:r>
              <w:rPr>
                <w:sz w:val="20"/>
              </w:rPr>
              <w:t>RabbitMQ (publishes &amp; subscribes integration events)</w:t>
            </w:r>
          </w:p>
        </w:tc>
      </w:tr>
    </w:tbl>
    <w:p/>
    <w:p>
      <w:r>
        <w:rPr>
          <w:b/>
          <w:i w:val="0"/>
        </w:rPr>
        <w:t>REST Endpoints:</w:t>
      </w:r>
    </w:p>
    <w:p>
      <w:pPr>
        <w:pStyle w:val="ListBullet"/>
        <w:ind w:left="432"/>
      </w:pPr>
      <w:r>
        <w:t>GET  /api/catalog/items                         – Paginated product list</w:t>
      </w:r>
    </w:p>
    <w:p>
      <w:pPr>
        <w:pStyle w:val="ListBullet"/>
        <w:ind w:left="432"/>
      </w:pPr>
      <w:r>
        <w:t>GET  /api/catalog/items/{id}                   – Single product detail</w:t>
      </w:r>
    </w:p>
    <w:p>
      <w:pPr>
        <w:pStyle w:val="ListBullet"/>
        <w:ind w:left="432"/>
      </w:pPr>
      <w:r>
        <w:t>GET  /api/catalog/items/by/{name}              – Name search</w:t>
      </w:r>
    </w:p>
    <w:p>
      <w:pPr>
        <w:pStyle w:val="ListBullet"/>
        <w:ind w:left="432"/>
      </w:pPr>
      <w:r>
        <w:t>GET  /api/catalog/items/withsemanticrelevance  – AI-powered semantic search</w:t>
      </w:r>
    </w:p>
    <w:p>
      <w:pPr>
        <w:pStyle w:val="ListBullet"/>
        <w:ind w:left="432"/>
      </w:pPr>
      <w:r>
        <w:t>GET  /api/catalog/items/type/{typeId}/brand/{brandId} – Filter by type &amp; brand</w:t>
      </w:r>
    </w:p>
    <w:p>
      <w:pPr>
        <w:pStyle w:val="ListBullet"/>
        <w:ind w:left="432"/>
      </w:pPr>
      <w:r>
        <w:t>GET  /api/catalog/catalogTypes                 – List product types</w:t>
      </w:r>
    </w:p>
    <w:p>
      <w:pPr>
        <w:pStyle w:val="ListBullet"/>
        <w:ind w:left="432"/>
      </w:pPr>
      <w:r>
        <w:t>GET  /api/catalog/catalogBrands                – List product brands</w:t>
      </w:r>
    </w:p>
    <w:p>
      <w:pPr>
        <w:pStyle w:val="ListBullet"/>
        <w:ind w:left="432"/>
      </w:pPr>
      <w:r>
        <w:t>GET  /api/catalog/items/{id}/pic               – Product image</w:t>
      </w:r>
    </w:p>
    <w:p>
      <w:r>
        <w:rPr>
          <w:b/>
          <w:i w:val="0"/>
        </w:rPr>
        <w:t>Integration Events:</w:t>
      </w:r>
    </w:p>
    <w:p>
      <w:pPr>
        <w:pStyle w:val="ListBullet"/>
        <w:ind w:left="432"/>
      </w:pPr>
      <w:r>
        <w:t>Published:   ProductPriceChangedIntegrationEvent</w:t>
      </w:r>
    </w:p>
    <w:p>
      <w:pPr>
        <w:pStyle w:val="ListBullet"/>
        <w:ind w:left="432"/>
      </w:pPr>
      <w:r>
        <w:t>Subscribed:  OrderStatusChangedToAwaitingValidationIntegrationEvent (stock check)</w:t>
      </w:r>
    </w:p>
    <w:p>
      <w:pPr>
        <w:pStyle w:val="ListBullet"/>
        <w:ind w:left="432"/>
      </w:pPr>
      <w:r>
        <w:t>Subscribed:  OrderStatusChangedToPaidIntegrationEvent (stock confirmation)</w:t>
      </w:r>
    </w:p>
    <w:p>
      <w:pPr>
        <w:pStyle w:val="Heading2"/>
      </w:pPr>
      <w:r>
        <w:t>4.3 Basket.API – Shopping Basket Service</w:t>
      </w:r>
    </w:p>
    <w:tbl>
      <w:tblPr>
        <w:tblStyle w:val="TableGrid"/>
        <w:tblW w:type="auto" w:w="0"/>
        <w:jc w:val="left"/>
        <w:tblLook w:firstColumn="1" w:firstRow="1" w:lastColumn="0" w:lastRow="0" w:noHBand="0" w:noVBand="1" w:val="04A0"/>
      </w:tblPr>
      <w:tblGrid>
        <w:gridCol w:w="4680"/>
        <w:gridCol w:w="4680"/>
      </w:tblGrid>
      <w:tr>
        <w:tc>
          <w:tcPr>
            <w:tcW w:type="dxa" w:w="2592"/>
          </w:tcPr>
          <w:p>
            <w:r>
              <w:rPr>
                <w:sz w:val="20"/>
              </w:rPr>
              <w:t>Framework</w:t>
            </w:r>
          </w:p>
        </w:tc>
        <w:tc>
          <w:tcPr>
            <w:tcW w:type="dxa" w:w="7776"/>
          </w:tcPr>
          <w:p>
            <w:r>
              <w:rPr>
                <w:sz w:val="20"/>
              </w:rPr>
              <w:t>ASP.NET Core gRPC Service (.NET 10)</w:t>
            </w:r>
          </w:p>
        </w:tc>
      </w:tr>
      <w:tr>
        <w:tc>
          <w:tcPr>
            <w:tcW w:type="dxa" w:w="2592"/>
          </w:tcPr>
          <w:p>
            <w:r>
              <w:rPr>
                <w:sz w:val="20"/>
              </w:rPr>
              <w:t>Protocol</w:t>
            </w:r>
          </w:p>
        </w:tc>
        <w:tc>
          <w:tcPr>
            <w:tcW w:type="dxa" w:w="7776"/>
          </w:tcPr>
          <w:p>
            <w:r>
              <w:rPr>
                <w:sz w:val="20"/>
              </w:rPr>
              <w:t>gRPC / Protocol Buffers</w:t>
            </w:r>
          </w:p>
        </w:tc>
      </w:tr>
      <w:tr>
        <w:tc>
          <w:tcPr>
            <w:tcW w:type="dxa" w:w="2592"/>
          </w:tcPr>
          <w:p>
            <w:r>
              <w:rPr>
                <w:sz w:val="20"/>
              </w:rPr>
              <w:t>Storage</w:t>
            </w:r>
          </w:p>
        </w:tc>
        <w:tc>
          <w:tcPr>
            <w:tcW w:type="dxa" w:w="7776"/>
          </w:tcPr>
          <w:p>
            <w:r>
              <w:rPr>
                <w:sz w:val="20"/>
              </w:rPr>
              <w:t>Redis (StackExchange.Redis via Aspire)</w:t>
            </w:r>
          </w:p>
        </w:tc>
      </w:tr>
      <w:tr>
        <w:tc>
          <w:tcPr>
            <w:tcW w:type="dxa" w:w="2592"/>
          </w:tcPr>
          <w:p>
            <w:r>
              <w:rPr>
                <w:sz w:val="20"/>
              </w:rPr>
              <w:t>Auth</w:t>
            </w:r>
          </w:p>
        </w:tc>
        <w:tc>
          <w:tcPr>
            <w:tcW w:type="dxa" w:w="7776"/>
          </w:tcPr>
          <w:p>
            <w:r>
              <w:rPr>
                <w:sz w:val="20"/>
              </w:rPr>
              <w:t>JWT bearer (Identity.API)</w:t>
            </w:r>
          </w:p>
        </w:tc>
      </w:tr>
      <w:tr>
        <w:tc>
          <w:tcPr>
            <w:tcW w:type="dxa" w:w="2592"/>
          </w:tcPr>
          <w:p>
            <w:r>
              <w:rPr>
                <w:sz w:val="20"/>
              </w:rPr>
              <w:t>AOT</w:t>
            </w:r>
          </w:p>
        </w:tc>
        <w:tc>
          <w:tcPr>
            <w:tcW w:type="dxa" w:w="7776"/>
          </w:tcPr>
          <w:p>
            <w:r>
              <w:rPr>
                <w:sz w:val="20"/>
              </w:rPr>
              <w:t>Supports Ahead-of-Time compilation (PublishAot)</w:t>
            </w:r>
          </w:p>
        </w:tc>
      </w:tr>
    </w:tbl>
    <w:p/>
    <w:p>
      <w:r>
        <w:rPr>
          <w:b/>
          <w:i w:val="0"/>
        </w:rPr>
        <w:t>gRPC Service Contract:</w:t>
      </w:r>
    </w:p>
    <w:p>
      <w:pPr>
        <w:pStyle w:val="CodeBlock"/>
        <w:ind w:left="576"/>
        <w:shd w:val="clear" w:color="auto" w:fill="F5F5F5"/>
      </w:pPr>
      <w:r>
        <w:t>service Basket {</w:t>
      </w:r>
    </w:p>
    <w:p>
      <w:pPr>
        <w:pStyle w:val="CodeBlock"/>
        <w:ind w:left="576"/>
        <w:shd w:val="clear" w:color="auto" w:fill="F5F5F5"/>
      </w:pPr>
      <w:r>
        <w:t xml:space="preserve">  rpc GetBasket    (GetBasketRequest)    returns (CustomerBasketResponse)</w:t>
      </w:r>
    </w:p>
    <w:p>
      <w:pPr>
        <w:pStyle w:val="CodeBlock"/>
        <w:ind w:left="576"/>
        <w:shd w:val="clear" w:color="auto" w:fill="F5F5F5"/>
      </w:pPr>
      <w:r>
        <w:t xml:space="preserve">  rpc UpdateBasket (UpdateBasketRequest) returns (CustomerBasketResponse)</w:t>
      </w:r>
    </w:p>
    <w:p>
      <w:pPr>
        <w:pStyle w:val="CodeBlock"/>
        <w:ind w:left="576"/>
        <w:shd w:val="clear" w:color="auto" w:fill="F5F5F5"/>
      </w:pPr>
      <w:r>
        <w:t xml:space="preserve">  rpc DeleteBasket (DeleteBasketRequest) returns (DeleteBasketResponse)</w:t>
      </w:r>
    </w:p>
    <w:p>
      <w:pPr>
        <w:pStyle w:val="CodeBlock"/>
        <w:ind w:left="576"/>
        <w:shd w:val="clear" w:color="auto" w:fill="F5F5F5"/>
      </w:pPr>
      <w:r>
        <w:t>}</w:t>
      </w:r>
    </w:p>
    <w:p>
      <w:r>
        <w:rPr>
          <w:b/>
          <w:i w:val="0"/>
        </w:rPr>
        <w:t>Design Notes:</w:t>
      </w:r>
    </w:p>
    <w:p>
      <w:pPr>
        <w:pStyle w:val="ListBullet"/>
        <w:ind w:left="432"/>
      </w:pPr>
      <w:r>
        <w:t>gRPC is chosen for low-latency, high-frequency basket operations.</w:t>
      </w:r>
    </w:p>
    <w:p>
      <w:pPr>
        <w:pStyle w:val="ListBullet"/>
        <w:ind w:left="432"/>
      </w:pPr>
      <w:r>
        <w:t>No database persistence – Redis provides ephemeral session-level storage.</w:t>
      </w:r>
    </w:p>
    <w:p>
      <w:pPr>
        <w:pStyle w:val="ListBullet"/>
        <w:ind w:left="432"/>
      </w:pPr>
      <w:r>
        <w:t>JWT passed as gRPC metadata for user context.</w:t>
      </w:r>
    </w:p>
    <w:p>
      <w:pPr>
        <w:pStyle w:val="ListBullet"/>
        <w:ind w:left="432"/>
      </w:pPr>
      <w:r>
        <w:t>Subscribes to OrderStartedIntegrationEvent to clear basket after checkout.</w:t>
      </w:r>
    </w:p>
    <w:p>
      <w:pPr>
        <w:pStyle w:val="Heading2"/>
      </w:pPr>
      <w:r>
        <w:t>4.4 Ordering.API – Order Management Service</w:t>
      </w:r>
    </w:p>
    <w:tbl>
      <w:tblPr>
        <w:tblStyle w:val="TableGrid"/>
        <w:tblW w:type="auto" w:w="0"/>
        <w:jc w:val="left"/>
        <w:tblLook w:firstColumn="1" w:firstRow="1" w:lastColumn="0" w:lastRow="0" w:noHBand="0" w:noVBand="1" w:val="04A0"/>
      </w:tblPr>
      <w:tblGrid>
        <w:gridCol w:w="4680"/>
        <w:gridCol w:w="4680"/>
      </w:tblGrid>
      <w:tr>
        <w:tc>
          <w:tcPr>
            <w:tcW w:type="dxa" w:w="2592"/>
          </w:tcPr>
          <w:p>
            <w:r>
              <w:rPr>
                <w:sz w:val="20"/>
              </w:rPr>
              <w:t>Framework</w:t>
            </w:r>
          </w:p>
        </w:tc>
        <w:tc>
          <w:tcPr>
            <w:tcW w:type="dxa" w:w="7776"/>
          </w:tcPr>
          <w:p>
            <w:r>
              <w:rPr>
                <w:sz w:val="20"/>
              </w:rPr>
              <w:t>ASP.NET Core Minimal API (.NET 10)</w:t>
            </w:r>
          </w:p>
        </w:tc>
      </w:tr>
      <w:tr>
        <w:tc>
          <w:tcPr>
            <w:tcW w:type="dxa" w:w="2592"/>
          </w:tcPr>
          <w:p>
            <w:r>
              <w:rPr>
                <w:sz w:val="20"/>
              </w:rPr>
              <w:t>Protocol</w:t>
            </w:r>
          </w:p>
        </w:tc>
        <w:tc>
          <w:tcPr>
            <w:tcW w:type="dxa" w:w="7776"/>
          </w:tcPr>
          <w:p>
            <w:r>
              <w:rPr>
                <w:sz w:val="20"/>
              </w:rPr>
              <w:t>REST, API version v1.0</w:t>
            </w:r>
          </w:p>
        </w:tc>
      </w:tr>
      <w:tr>
        <w:tc>
          <w:tcPr>
            <w:tcW w:type="dxa" w:w="2592"/>
          </w:tcPr>
          <w:p>
            <w:r>
              <w:rPr>
                <w:sz w:val="20"/>
              </w:rPr>
              <w:t>Database</w:t>
            </w:r>
          </w:p>
        </w:tc>
        <w:tc>
          <w:tcPr>
            <w:tcW w:type="dxa" w:w="7776"/>
          </w:tcPr>
          <w:p>
            <w:r>
              <w:rPr>
                <w:sz w:val="20"/>
              </w:rPr>
              <w:t>PostgreSQL (orderingdb) via EF Core</w:t>
            </w:r>
          </w:p>
        </w:tc>
      </w:tr>
      <w:tr>
        <w:tc>
          <w:tcPr>
            <w:tcW w:type="dxa" w:w="2592"/>
          </w:tcPr>
          <w:p>
            <w:r>
              <w:rPr>
                <w:sz w:val="20"/>
              </w:rPr>
              <w:t>Pattern</w:t>
            </w:r>
          </w:p>
        </w:tc>
        <w:tc>
          <w:tcPr>
            <w:tcW w:type="dxa" w:w="7776"/>
          </w:tcPr>
          <w:p>
            <w:r>
              <w:rPr>
                <w:sz w:val="20"/>
              </w:rPr>
              <w:t>DDD + CQRS (MediatR)</w:t>
            </w:r>
          </w:p>
        </w:tc>
      </w:tr>
      <w:tr>
        <w:tc>
          <w:tcPr>
            <w:tcW w:type="dxa" w:w="2592"/>
          </w:tcPr>
          <w:p>
            <w:r>
              <w:rPr>
                <w:sz w:val="20"/>
              </w:rPr>
              <w:t>Validation</w:t>
            </w:r>
          </w:p>
        </w:tc>
        <w:tc>
          <w:tcPr>
            <w:tcW w:type="dxa" w:w="7776"/>
          </w:tcPr>
          <w:p>
            <w:r>
              <w:rPr>
                <w:sz w:val="20"/>
              </w:rPr>
              <w:t>FluentValidation</w:t>
            </w:r>
          </w:p>
        </w:tc>
      </w:tr>
      <w:tr>
        <w:tc>
          <w:tcPr>
            <w:tcW w:type="dxa" w:w="2592"/>
          </w:tcPr>
          <w:p>
            <w:r>
              <w:rPr>
                <w:sz w:val="20"/>
              </w:rPr>
              <w:t>Idempotency</w:t>
            </w:r>
          </w:p>
        </w:tc>
        <w:tc>
          <w:tcPr>
            <w:tcW w:type="dxa" w:w="7776"/>
          </w:tcPr>
          <w:p>
            <w:r>
              <w:rPr>
                <w:sz w:val="20"/>
              </w:rPr>
              <w:t>RequestManager (GUID-based deduplication)</w:t>
            </w:r>
          </w:p>
        </w:tc>
      </w:tr>
    </w:tbl>
    <w:p/>
    <w:p>
      <w:r>
        <w:rPr>
          <w:b/>
          <w:i w:val="0"/>
        </w:rPr>
        <w:t>REST Endpoints:</w:t>
      </w:r>
    </w:p>
    <w:p>
      <w:pPr>
        <w:pStyle w:val="ListBullet"/>
        <w:ind w:left="432"/>
      </w:pPr>
      <w:r>
        <w:t>POST /api/orders           – Create new order (idempotent)</w:t>
      </w:r>
    </w:p>
    <w:p>
      <w:pPr>
        <w:pStyle w:val="ListBullet"/>
        <w:ind w:left="432"/>
      </w:pPr>
      <w:r>
        <w:t>POST /api/orders/draft     – Create draft order from basket</w:t>
      </w:r>
    </w:p>
    <w:p>
      <w:pPr>
        <w:pStyle w:val="ListBullet"/>
        <w:ind w:left="432"/>
      </w:pPr>
      <w:r>
        <w:t>GET  /api/orders/{id}      – Get order by ID</w:t>
      </w:r>
    </w:p>
    <w:p>
      <w:pPr>
        <w:pStyle w:val="ListBullet"/>
        <w:ind w:left="432"/>
      </w:pPr>
      <w:r>
        <w:t>GET  /api/orders           – List authenticated user's orders</w:t>
      </w:r>
    </w:p>
    <w:p>
      <w:pPr>
        <w:pStyle w:val="ListBullet"/>
        <w:ind w:left="432"/>
      </w:pPr>
      <w:r>
        <w:t>PUT  /api/orders/cancel    – Cancel an order</w:t>
      </w:r>
    </w:p>
    <w:p>
      <w:pPr>
        <w:pStyle w:val="ListBullet"/>
        <w:ind w:left="432"/>
      </w:pPr>
      <w:r>
        <w:t>PUT  /api/orders/ship      – Mark order as shipped</w:t>
      </w:r>
    </w:p>
    <w:p>
      <w:pPr>
        <w:pStyle w:val="ListBullet"/>
        <w:ind w:left="432"/>
      </w:pPr>
      <w:r>
        <w:t>GET  /api/orders/cardtypes – Retrieve card types</w:t>
      </w:r>
    </w:p>
    <w:p>
      <w:r>
        <w:rPr>
          <w:b/>
          <w:i w:val="0"/>
        </w:rPr>
        <w:t>Order Status Lifecycle:</w:t>
      </w:r>
    </w:p>
    <w:p>
      <w:r>
        <w:rPr>
          <w:b w:val="0"/>
          <w:i w:val="0"/>
        </w:rPr>
        <w:t>Submitted → AwaitingValidation → StockConfirmed → Paid → Shipped (or Cancelled)</w:t>
      </w:r>
    </w:p>
    <w:p>
      <w:r>
        <w:rPr>
          <w:b/>
          <w:i w:val="0"/>
        </w:rPr>
        <w:t>MediatR Pipelines:</w:t>
      </w:r>
    </w:p>
    <w:p>
      <w:pPr>
        <w:pStyle w:val="ListBullet"/>
        <w:ind w:left="432"/>
      </w:pPr>
      <w:r>
        <w:t>LoggingBehavior      – Request/response logging</w:t>
      </w:r>
    </w:p>
    <w:p>
      <w:pPr>
        <w:pStyle w:val="ListBullet"/>
        <w:ind w:left="432"/>
      </w:pPr>
      <w:r>
        <w:t>ValidatorBehavior    – FluentValidation integration</w:t>
      </w:r>
    </w:p>
    <w:p>
      <w:pPr>
        <w:pStyle w:val="ListBullet"/>
        <w:ind w:left="432"/>
      </w:pPr>
      <w:r>
        <w:t>TransactionBehavior  – EF Core transaction per command</w:t>
      </w:r>
    </w:p>
    <w:p>
      <w:r>
        <w:rPr>
          <w:b/>
          <w:i w:val="0"/>
        </w:rPr>
        <w:t>Integration Events Published:</w:t>
      </w:r>
    </w:p>
    <w:p>
      <w:pPr>
        <w:pStyle w:val="ListBullet"/>
        <w:ind w:left="432"/>
      </w:pPr>
      <w:r>
        <w:t>OrderStartedIntegrationEvent</w:t>
      </w:r>
    </w:p>
    <w:p>
      <w:pPr>
        <w:pStyle w:val="ListBullet"/>
        <w:ind w:left="432"/>
      </w:pPr>
      <w:r>
        <w:t>OrderStatusChangedToAwaitingValidationIntegrationEvent</w:t>
      </w:r>
    </w:p>
    <w:p>
      <w:pPr>
        <w:pStyle w:val="ListBullet"/>
        <w:ind w:left="432"/>
      </w:pPr>
      <w:r>
        <w:t>OrderStatusChangedToPaidIntegrationEvent</w:t>
      </w:r>
    </w:p>
    <w:p>
      <w:pPr>
        <w:pStyle w:val="ListBullet"/>
        <w:ind w:left="432"/>
      </w:pPr>
      <w:r>
        <w:t>OrderStatusChangedToStockConfirmedIntegrationEvent</w:t>
      </w:r>
    </w:p>
    <w:p>
      <w:pPr>
        <w:pStyle w:val="ListBullet"/>
        <w:ind w:left="432"/>
      </w:pPr>
      <w:r>
        <w:t>OrderStatusChangedToShippedIntegrationEvent</w:t>
      </w:r>
    </w:p>
    <w:p>
      <w:pPr>
        <w:pStyle w:val="ListBullet"/>
        <w:ind w:left="432"/>
      </w:pPr>
      <w:r>
        <w:t>OrderStatusChangedToCancelledIntegrationEvent</w:t>
      </w:r>
    </w:p>
    <w:p>
      <w:pPr>
        <w:pStyle w:val="ListBullet"/>
        <w:ind w:left="432"/>
      </w:pPr>
      <w:r>
        <w:t>OrderStatusChangedToSubmittedIntegrationEvent</w:t>
      </w:r>
    </w:p>
    <w:p>
      <w:pPr>
        <w:pStyle w:val="Heading2"/>
      </w:pPr>
      <w:r>
        <w:t>4.5 Ordering.Domain – Domain Model Library</w:t>
      </w:r>
    </w:p>
    <w:p>
      <w:r>
        <w:rPr>
          <w:b w:val="0"/>
          <w:i w:val="0"/>
        </w:rPr>
        <w:t>A pure .NET class library containing domain logic with no infrastructure dependencies. Implements DDD patterns:</w:t>
      </w:r>
    </w:p>
    <w:p>
      <w:pPr>
        <w:pStyle w:val="ListBullet"/>
        <w:ind w:left="432"/>
      </w:pPr>
      <w:r>
        <w:t>AggregateRoot: Order, Buyer</w:t>
      </w:r>
    </w:p>
    <w:p>
      <w:pPr>
        <w:pStyle w:val="ListBullet"/>
        <w:ind w:left="432"/>
      </w:pPr>
      <w:r>
        <w:t>ValueObject:   Address</w:t>
      </w:r>
    </w:p>
    <w:p>
      <w:pPr>
        <w:pStyle w:val="ListBullet"/>
        <w:ind w:left="432"/>
      </w:pPr>
      <w:r>
        <w:t>Entities:      OrderItem</w:t>
      </w:r>
    </w:p>
    <w:p>
      <w:pPr>
        <w:pStyle w:val="ListBullet"/>
        <w:ind w:left="432"/>
      </w:pPr>
      <w:r>
        <w:t>Enum:          OrderStatus (Submitted, AwaitingValidation, StockConfirmed, Paid, Shipped, Cancelled)</w:t>
      </w:r>
    </w:p>
    <w:p>
      <w:pPr>
        <w:pStyle w:val="ListBullet"/>
        <w:ind w:left="432"/>
      </w:pPr>
      <w:r>
        <w:t>SeedWork:      Entity, AggregateRoot, ValueObject, IRepository&lt;T&gt;, Specification&lt;T&gt; base classes</w:t>
      </w:r>
    </w:p>
    <w:p>
      <w:pPr>
        <w:pStyle w:val="ListBullet"/>
        <w:ind w:left="432"/>
      </w:pPr>
      <w:r>
        <w:t>Domain Events: Raised within aggregate roots and dispatched before persistence</w:t>
      </w:r>
    </w:p>
    <w:p>
      <w:pPr>
        <w:pStyle w:val="Heading2"/>
      </w:pPr>
      <w:r>
        <w:t>4.6 Ordering.Infrastructure – Persistence Layer</w:t>
      </w:r>
    </w:p>
    <w:p>
      <w:r>
        <w:rPr>
          <w:b w:val="0"/>
          <w:i w:val="0"/>
        </w:rPr>
        <w:t>Implements the repository interfaces defined in Ordering.Domain:</w:t>
      </w:r>
    </w:p>
    <w:p>
      <w:pPr>
        <w:pStyle w:val="ListBullet"/>
        <w:ind w:left="432"/>
      </w:pPr>
      <w:r>
        <w:t>OrderingContext (EF Core DbContext) with Npgsql provider</w:t>
      </w:r>
    </w:p>
    <w:p>
      <w:pPr>
        <w:pStyle w:val="ListBullet"/>
        <w:ind w:left="432"/>
      </w:pPr>
      <w:r>
        <w:t>OrderRepository / BuyerRepository</w:t>
      </w:r>
    </w:p>
    <w:p>
      <w:pPr>
        <w:pStyle w:val="ListBullet"/>
        <w:ind w:left="432"/>
      </w:pPr>
      <w:r>
        <w:t>EF Core Fluent configurations in EntityConfigurations/</w:t>
      </w:r>
    </w:p>
    <w:p>
      <w:pPr>
        <w:pStyle w:val="ListBullet"/>
        <w:ind w:left="432"/>
      </w:pPr>
      <w:r>
        <w:t>Managed migrations in Migrations/</w:t>
      </w:r>
    </w:p>
    <w:p>
      <w:pPr>
        <w:pStyle w:val="ListBullet"/>
        <w:ind w:left="432"/>
      </w:pPr>
      <w:r>
        <w:t>RequestManager for idempotent request deduplication</w:t>
      </w:r>
    </w:p>
    <w:p>
      <w:pPr>
        <w:pStyle w:val="Heading2"/>
      </w:pPr>
      <w:r>
        <w:t>4.7 OrderProcessor – Background Order Worker</w:t>
      </w:r>
    </w:p>
    <w:tbl>
      <w:tblPr>
        <w:tblStyle w:val="TableGrid"/>
        <w:tblW w:type="auto" w:w="0"/>
        <w:jc w:val="left"/>
        <w:tblLook w:firstColumn="1" w:firstRow="1" w:lastColumn="0" w:lastRow="0" w:noHBand="0" w:noVBand="1" w:val="04A0"/>
      </w:tblPr>
      <w:tblGrid>
        <w:gridCol w:w="4680"/>
        <w:gridCol w:w="4680"/>
      </w:tblGrid>
      <w:tr>
        <w:tc>
          <w:tcPr>
            <w:tcW w:type="dxa" w:w="2592"/>
          </w:tcPr>
          <w:p>
            <w:r>
              <w:rPr>
                <w:sz w:val="20"/>
              </w:rPr>
              <w:t>Framework</w:t>
            </w:r>
          </w:p>
        </w:tc>
        <w:tc>
          <w:tcPr>
            <w:tcW w:type="dxa" w:w="7776"/>
          </w:tcPr>
          <w:p>
            <w:r>
              <w:rPr>
                <w:sz w:val="20"/>
              </w:rPr>
              <w:t>.NET Worker Service (.NET 10)</w:t>
            </w:r>
          </w:p>
        </w:tc>
      </w:tr>
      <w:tr>
        <w:tc>
          <w:tcPr>
            <w:tcW w:type="dxa" w:w="2592"/>
          </w:tcPr>
          <w:p>
            <w:r>
              <w:rPr>
                <w:sz w:val="20"/>
              </w:rPr>
              <w:t>Pattern</w:t>
            </w:r>
          </w:p>
        </w:tc>
        <w:tc>
          <w:tcPr>
            <w:tcW w:type="dxa" w:w="7776"/>
          </w:tcPr>
          <w:p>
            <w:r>
              <w:rPr>
                <w:sz w:val="20"/>
              </w:rPr>
              <w:t>IHostedService polling loop</w:t>
            </w:r>
          </w:p>
        </w:tc>
      </w:tr>
      <w:tr>
        <w:tc>
          <w:tcPr>
            <w:tcW w:type="dxa" w:w="2592"/>
          </w:tcPr>
          <w:p>
            <w:r>
              <w:rPr>
                <w:sz w:val="20"/>
              </w:rPr>
              <w:t>Database</w:t>
            </w:r>
          </w:p>
        </w:tc>
        <w:tc>
          <w:tcPr>
            <w:tcW w:type="dxa" w:w="7776"/>
          </w:tcPr>
          <w:p>
            <w:r>
              <w:rPr>
                <w:sz w:val="20"/>
              </w:rPr>
              <w:t>PostgreSQL (orderingdb) – direct Npgsql query</w:t>
            </w:r>
          </w:p>
        </w:tc>
      </w:tr>
      <w:tr>
        <w:tc>
          <w:tcPr>
            <w:tcW w:type="dxa" w:w="2592"/>
          </w:tcPr>
          <w:p>
            <w:r>
              <w:rPr>
                <w:sz w:val="20"/>
              </w:rPr>
              <w:t>AOT</w:t>
            </w:r>
          </w:p>
        </w:tc>
        <w:tc>
          <w:tcPr>
            <w:tcW w:type="dxa" w:w="7776"/>
          </w:tcPr>
          <w:p>
            <w:r>
              <w:rPr>
                <w:sz w:val="20"/>
              </w:rPr>
              <w:t>Supports Ahead-of-Time compilation</w:t>
            </w:r>
          </w:p>
        </w:tc>
      </w:tr>
    </w:tbl>
    <w:p/>
    <w:p>
      <w:r>
        <w:rPr>
          <w:b w:val="0"/>
          <w:i w:val="0"/>
        </w:rPr>
        <w:t>GracePeriodManagerService runs on a configurable interval and queries the ordering database for orders in the Submitted state whose grace period has expired. It then publishes GracePeriodConfirmedIntegrationEvent to trigger order validation.</w:t>
      </w:r>
    </w:p>
    <w:p>
      <w:r>
        <w:rPr>
          <w:b/>
          <w:i w:val="0"/>
        </w:rPr>
        <w:t>Configuration:</w:t>
      </w:r>
    </w:p>
    <w:p>
      <w:pPr>
        <w:pStyle w:val="CodeBlock"/>
        <w:ind w:left="576"/>
        <w:shd w:val="clear" w:color="auto" w:fill="F5F5F5"/>
      </w:pPr>
      <w:r>
        <w:t>{</w:t>
      </w:r>
    </w:p>
    <w:p>
      <w:pPr>
        <w:pStyle w:val="CodeBlock"/>
        <w:ind w:left="576"/>
        <w:shd w:val="clear" w:color="auto" w:fill="F5F5F5"/>
      </w:pPr>
      <w:r>
        <w:t xml:space="preserve">  "BackgroundTaskOptions": {</w:t>
      </w:r>
    </w:p>
    <w:p>
      <w:pPr>
        <w:pStyle w:val="CodeBlock"/>
        <w:ind w:left="576"/>
        <w:shd w:val="clear" w:color="auto" w:fill="F5F5F5"/>
      </w:pPr>
      <w:r>
        <w:t xml:space="preserve">    "CheckUpdateTime": 30,   // seconds between polling cycles</w:t>
      </w:r>
    </w:p>
    <w:p>
      <w:pPr>
        <w:pStyle w:val="CodeBlock"/>
        <w:ind w:left="576"/>
        <w:shd w:val="clear" w:color="auto" w:fill="F5F5F5"/>
      </w:pPr>
      <w:r>
        <w:t xml:space="preserve">    "GracePeriodTime": 10    // minutes before grace period expires</w:t>
      </w:r>
    </w:p>
    <w:p>
      <w:pPr>
        <w:pStyle w:val="CodeBlock"/>
        <w:ind w:left="576"/>
        <w:shd w:val="clear" w:color="auto" w:fill="F5F5F5"/>
      </w:pPr>
      <w:r>
        <w:t xml:space="preserve">  }</w:t>
      </w:r>
    </w:p>
    <w:p>
      <w:pPr>
        <w:pStyle w:val="CodeBlock"/>
        <w:ind w:left="576"/>
        <w:shd w:val="clear" w:color="auto" w:fill="F5F5F5"/>
      </w:pPr>
      <w:r>
        <w:t>}</w:t>
      </w:r>
    </w:p>
    <w:p>
      <w:pPr>
        <w:pStyle w:val="Heading2"/>
      </w:pPr>
      <w:r>
        <w:t>4.8 PaymentProcessor – Payment Service</w:t>
      </w:r>
    </w:p>
    <w:p>
      <w:r>
        <w:rPr>
          <w:b w:val="0"/>
          <w:i w:val="0"/>
        </w:rPr>
        <w:t>A lightweight service that simulates payment authorisation. In a real-world deployment, this would integrate with a payment gateway (Stripe, Adyen, etc.).</w:t>
      </w:r>
    </w:p>
    <w:p>
      <w:pPr>
        <w:pStyle w:val="ListBullet"/>
        <w:ind w:left="432"/>
      </w:pPr>
      <w:r>
        <w:t>Subscribes to:  OrderStatusChangedToStockConfirmedIntegrationEvent</w:t>
      </w:r>
    </w:p>
    <w:p>
      <w:pPr>
        <w:pStyle w:val="ListBullet"/>
        <w:ind w:left="432"/>
      </w:pPr>
      <w:r>
        <w:t>Publishes:      OrderStatusChangedToPaidIntegrationEvent</w:t>
      </w:r>
    </w:p>
    <w:p>
      <w:pPr>
        <w:pStyle w:val="ListBullet"/>
        <w:ind w:left="432"/>
      </w:pPr>
      <w:r>
        <w:t>Configuration:  AuthorizationRetryAttempts, AuthorizationRetryDelaySeconds</w:t>
      </w:r>
    </w:p>
    <w:p>
      <w:pPr>
        <w:pStyle w:val="Heading2"/>
      </w:pPr>
      <w:r>
        <w:t>4.9 Webhooks.API – Webhook Service</w:t>
      </w:r>
    </w:p>
    <w:tbl>
      <w:tblPr>
        <w:tblStyle w:val="TableGrid"/>
        <w:tblW w:type="auto" w:w="0"/>
        <w:jc w:val="left"/>
        <w:tblLook w:firstColumn="1" w:firstRow="1" w:lastColumn="0" w:lastRow="0" w:noHBand="0" w:noVBand="1" w:val="04A0"/>
      </w:tblPr>
      <w:tblGrid>
        <w:gridCol w:w="4680"/>
        <w:gridCol w:w="4680"/>
      </w:tblGrid>
      <w:tr>
        <w:tc>
          <w:tcPr>
            <w:tcW w:type="dxa" w:w="2592"/>
          </w:tcPr>
          <w:p>
            <w:r>
              <w:rPr>
                <w:sz w:val="20"/>
              </w:rPr>
              <w:t>Framework</w:t>
            </w:r>
          </w:p>
        </w:tc>
        <w:tc>
          <w:tcPr>
            <w:tcW w:type="dxa" w:w="7776"/>
          </w:tcPr>
          <w:p>
            <w:r>
              <w:rPr>
                <w:sz w:val="20"/>
              </w:rPr>
              <w:t>ASP.NET Core Minimal API (.NET 10)</w:t>
            </w:r>
          </w:p>
        </w:tc>
      </w:tr>
      <w:tr>
        <w:tc>
          <w:tcPr>
            <w:tcW w:type="dxa" w:w="2592"/>
          </w:tcPr>
          <w:p>
            <w:r>
              <w:rPr>
                <w:sz w:val="20"/>
              </w:rPr>
              <w:t>Database</w:t>
            </w:r>
          </w:p>
        </w:tc>
        <w:tc>
          <w:tcPr>
            <w:tcW w:type="dxa" w:w="7776"/>
          </w:tcPr>
          <w:p>
            <w:r>
              <w:rPr>
                <w:sz w:val="20"/>
              </w:rPr>
              <w:t>PostgreSQL (webhooksdb) via EF Core</w:t>
            </w:r>
          </w:p>
        </w:tc>
      </w:tr>
      <w:tr>
        <w:tc>
          <w:tcPr>
            <w:tcW w:type="dxa" w:w="2592"/>
          </w:tcPr>
          <w:p>
            <w:r>
              <w:rPr>
                <w:sz w:val="20"/>
              </w:rPr>
              <w:t>Auth</w:t>
            </w:r>
          </w:p>
        </w:tc>
        <w:tc>
          <w:tcPr>
            <w:tcW w:type="dxa" w:w="7776"/>
          </w:tcPr>
          <w:p>
            <w:r>
              <w:rPr>
                <w:sz w:val="20"/>
              </w:rPr>
              <w:t>JWT bearer (Identity.API)</w:t>
            </w:r>
          </w:p>
        </w:tc>
      </w:tr>
    </w:tbl>
    <w:p/>
    <w:p>
      <w:r>
        <w:rPr>
          <w:b w:val="0"/>
          <w:i w:val="0"/>
        </w:rPr>
        <w:t>Manages webhook subscription registrations and delivers order status event notifications to subscribed external endpoints (HTTP POST callbacks).</w:t>
      </w:r>
    </w:p>
    <w:p>
      <w:pPr>
        <w:pStyle w:val="ListBullet"/>
        <w:ind w:left="432"/>
      </w:pPr>
      <w:r>
        <w:t>CRUD endpoints for webhook subscriptions (requires authorisation)</w:t>
      </w:r>
    </w:p>
    <w:p>
      <w:pPr>
        <w:pStyle w:val="ListBullet"/>
        <w:ind w:left="432"/>
      </w:pPr>
      <w:r>
        <w:t>Subscribes to all order status integration events</w:t>
      </w:r>
    </w:p>
    <w:p>
      <w:pPr>
        <w:pStyle w:val="ListBullet"/>
        <w:ind w:left="432"/>
      </w:pPr>
      <w:r>
        <w:t>Delivers HTTP POST notifications to registered callback URLs</w:t>
      </w:r>
    </w:p>
    <w:p>
      <w:pPr>
        <w:pStyle w:val="Heading2"/>
      </w:pPr>
      <w:r>
        <w:t>4.10 WebApp – Blazor Web Frontend</w:t>
      </w:r>
    </w:p>
    <w:tbl>
      <w:tblPr>
        <w:tblStyle w:val="TableGrid"/>
        <w:tblW w:type="auto" w:w="0"/>
        <w:jc w:val="left"/>
        <w:tblLook w:firstColumn="1" w:firstRow="1" w:lastColumn="0" w:lastRow="0" w:noHBand="0" w:noVBand="1" w:val="04A0"/>
      </w:tblPr>
      <w:tblGrid>
        <w:gridCol w:w="4680"/>
        <w:gridCol w:w="4680"/>
      </w:tblGrid>
      <w:tr>
        <w:tc>
          <w:tcPr>
            <w:tcW w:type="dxa" w:w="2592"/>
          </w:tcPr>
          <w:p>
            <w:r>
              <w:rPr>
                <w:sz w:val="20"/>
              </w:rPr>
              <w:t>Framework</w:t>
            </w:r>
          </w:p>
        </w:tc>
        <w:tc>
          <w:tcPr>
            <w:tcW w:type="dxa" w:w="7776"/>
          </w:tcPr>
          <w:p>
            <w:r>
              <w:rPr>
                <w:sz w:val="20"/>
              </w:rPr>
              <w:t>ASP.NET Core Blazor Server (.NET 10)</w:t>
            </w:r>
          </w:p>
        </w:tc>
      </w:tr>
      <w:tr>
        <w:tc>
          <w:tcPr>
            <w:tcW w:type="dxa" w:w="2592"/>
          </w:tcPr>
          <w:p>
            <w:r>
              <w:rPr>
                <w:sz w:val="20"/>
              </w:rPr>
              <w:t>Rendering</w:t>
            </w:r>
          </w:p>
        </w:tc>
        <w:tc>
          <w:tcPr>
            <w:tcW w:type="dxa" w:w="7776"/>
          </w:tcPr>
          <w:p>
            <w:r>
              <w:rPr>
                <w:sz w:val="20"/>
              </w:rPr>
              <w:t>Interactive Server Rendering</w:t>
            </w:r>
          </w:p>
        </w:tc>
      </w:tr>
      <w:tr>
        <w:tc>
          <w:tcPr>
            <w:tcW w:type="dxa" w:w="2592"/>
          </w:tcPr>
          <w:p>
            <w:r>
              <w:rPr>
                <w:sz w:val="20"/>
              </w:rPr>
              <w:t>Basket Client</w:t>
            </w:r>
          </w:p>
        </w:tc>
        <w:tc>
          <w:tcPr>
            <w:tcW w:type="dxa" w:w="7776"/>
          </w:tcPr>
          <w:p>
            <w:r>
              <w:rPr>
                <w:sz w:val="20"/>
              </w:rPr>
              <w:t>gRPC (via BasketService)</w:t>
            </w:r>
          </w:p>
        </w:tc>
      </w:tr>
      <w:tr>
        <w:tc>
          <w:tcPr>
            <w:tcW w:type="dxa" w:w="2592"/>
          </w:tcPr>
          <w:p>
            <w:r>
              <w:rPr>
                <w:sz w:val="20"/>
              </w:rPr>
              <w:t>Catalog Client</w:t>
            </w:r>
          </w:p>
        </w:tc>
        <w:tc>
          <w:tcPr>
            <w:tcW w:type="dxa" w:w="7776"/>
          </w:tcPr>
          <w:p>
            <w:r>
              <w:rPr>
                <w:sz w:val="20"/>
              </w:rPr>
              <w:t>HTTP REST v2.0 (via CatalogService)</w:t>
            </w:r>
          </w:p>
        </w:tc>
      </w:tr>
      <w:tr>
        <w:tc>
          <w:tcPr>
            <w:tcW w:type="dxa" w:w="2592"/>
          </w:tcPr>
          <w:p>
            <w:r>
              <w:rPr>
                <w:sz w:val="20"/>
              </w:rPr>
              <w:t>Order Client</w:t>
            </w:r>
          </w:p>
        </w:tc>
        <w:tc>
          <w:tcPr>
            <w:tcW w:type="dxa" w:w="7776"/>
          </w:tcPr>
          <w:p>
            <w:r>
              <w:rPr>
                <w:sz w:val="20"/>
              </w:rPr>
              <w:t>HTTP REST v1.0 (via OrderingService)</w:t>
            </w:r>
          </w:p>
        </w:tc>
      </w:tr>
      <w:tr>
        <w:tc>
          <w:tcPr>
            <w:tcW w:type="dxa" w:w="2592"/>
          </w:tcPr>
          <w:p>
            <w:r>
              <w:rPr>
                <w:sz w:val="20"/>
              </w:rPr>
              <w:t>Auth</w:t>
            </w:r>
          </w:p>
        </w:tc>
        <w:tc>
          <w:tcPr>
            <w:tcW w:type="dxa" w:w="7776"/>
          </w:tcPr>
          <w:p>
            <w:r>
              <w:rPr>
                <w:sz w:val="20"/>
              </w:rPr>
              <w:t>OpenID Connect (cookie-based session)</w:t>
            </w:r>
          </w:p>
        </w:tc>
      </w:tr>
      <w:tr>
        <w:tc>
          <w:tcPr>
            <w:tcW w:type="dxa" w:w="2592"/>
          </w:tcPr>
          <w:p>
            <w:r>
              <w:rPr>
                <w:sz w:val="20"/>
              </w:rPr>
              <w:t>AI</w:t>
            </w:r>
          </w:p>
        </w:tc>
        <w:tc>
          <w:tcPr>
            <w:tcW w:type="dxa" w:w="7776"/>
          </w:tcPr>
          <w:p>
            <w:r>
              <w:rPr>
                <w:sz w:val="20"/>
              </w:rPr>
              <w:t>Azure OpenAI / Ollama for semantic search</w:t>
            </w:r>
          </w:p>
        </w:tc>
      </w:tr>
    </w:tbl>
    <w:p/>
    <w:p>
      <w:r>
        <w:rPr>
          <w:b/>
          <w:i w:val="0"/>
        </w:rPr>
        <w:t>Key UI Features:</w:t>
      </w:r>
    </w:p>
    <w:p>
      <w:pPr>
        <w:pStyle w:val="ListBullet"/>
        <w:ind w:left="432"/>
      </w:pPr>
      <w:r>
        <w:t>Product catalogue browsing with pagination and filtering</w:t>
      </w:r>
    </w:p>
    <w:p>
      <w:pPr>
        <w:pStyle w:val="ListBullet"/>
        <w:ind w:left="432"/>
      </w:pPr>
      <w:r>
        <w:t>AI-powered semantic product search</w:t>
      </w:r>
    </w:p>
    <w:p>
      <w:pPr>
        <w:pStyle w:val="ListBullet"/>
        <w:ind w:left="432"/>
      </w:pPr>
      <w:r>
        <w:t>Shopping cart (backed by Basket.API via gRPC)</w:t>
      </w:r>
    </w:p>
    <w:p>
      <w:pPr>
        <w:pStyle w:val="ListBullet"/>
        <w:ind w:left="432"/>
      </w:pPr>
      <w:r>
        <w:t>Checkout and order placement</w:t>
      </w:r>
    </w:p>
    <w:p>
      <w:pPr>
        <w:pStyle w:val="ListBullet"/>
        <w:ind w:left="432"/>
      </w:pPr>
      <w:r>
        <w:t>Real-time order status tracking (subscribes to integration events)</w:t>
      </w:r>
    </w:p>
    <w:p>
      <w:pPr>
        <w:pStyle w:val="ListBullet"/>
        <w:ind w:left="432"/>
      </w:pPr>
      <w:r>
        <w:t>Account management</w:t>
      </w:r>
    </w:p>
    <w:p>
      <w:pPr>
        <w:pStyle w:val="ListBullet"/>
        <w:ind w:left="432"/>
      </w:pPr>
      <w:r>
        <w:t>Image proxying (/product-images/{id} → Catalog.API)</w:t>
      </w:r>
    </w:p>
    <w:p>
      <w:pPr>
        <w:pStyle w:val="Heading2"/>
      </w:pPr>
      <w:r>
        <w:t>4.11 WebAppComponents – Shared UI Library</w:t>
      </w:r>
    </w:p>
    <w:p>
      <w:r>
        <w:rPr>
          <w:b w:val="0"/>
          <w:i w:val="0"/>
        </w:rPr>
        <w:t>A Razor Class Library shared between WebApp and HybridApp. Contains reusable Blazor components (product cards, catalog grid, order list) and service abstractions (CatalogService, OrderingService, BasketState).</w:t>
      </w:r>
    </w:p>
    <w:p>
      <w:pPr>
        <w:pStyle w:val="Heading2"/>
      </w:pPr>
      <w:r>
        <w:t>4.12 ClientApp – Native Mobile &amp; Desktop App</w:t>
      </w:r>
    </w:p>
    <w:tbl>
      <w:tblPr>
        <w:tblStyle w:val="TableGrid"/>
        <w:tblW w:type="auto" w:w="0"/>
        <w:jc w:val="left"/>
        <w:tblLook w:firstColumn="1" w:firstRow="1" w:lastColumn="0" w:lastRow="0" w:noHBand="0" w:noVBand="1" w:val="04A0"/>
      </w:tblPr>
      <w:tblGrid>
        <w:gridCol w:w="4680"/>
        <w:gridCol w:w="4680"/>
      </w:tblGrid>
      <w:tr>
        <w:tc>
          <w:tcPr>
            <w:tcW w:type="dxa" w:w="2592"/>
          </w:tcPr>
          <w:p>
            <w:r>
              <w:rPr>
                <w:sz w:val="20"/>
              </w:rPr>
              <w:t>Framework</w:t>
            </w:r>
          </w:p>
        </w:tc>
        <w:tc>
          <w:tcPr>
            <w:tcW w:type="dxa" w:w="7776"/>
          </w:tcPr>
          <w:p>
            <w:r>
              <w:rPr>
                <w:sz w:val="20"/>
              </w:rPr>
              <w:t>.NET MAUI (.NET 10)</w:t>
            </w:r>
          </w:p>
        </w:tc>
      </w:tr>
      <w:tr>
        <w:tc>
          <w:tcPr>
            <w:tcW w:type="dxa" w:w="2592"/>
          </w:tcPr>
          <w:p>
            <w:r>
              <w:rPr>
                <w:sz w:val="20"/>
              </w:rPr>
              <w:t>Platforms</w:t>
            </w:r>
          </w:p>
        </w:tc>
        <w:tc>
          <w:tcPr>
            <w:tcW w:type="dxa" w:w="7776"/>
          </w:tcPr>
          <w:p>
            <w:r>
              <w:rPr>
                <w:sz w:val="20"/>
              </w:rPr>
              <w:t>Android, iOS, macOS Catalyst, Windows</w:t>
            </w:r>
          </w:p>
        </w:tc>
      </w:tr>
      <w:tr>
        <w:tc>
          <w:tcPr>
            <w:tcW w:type="dxa" w:w="2592"/>
          </w:tcPr>
          <w:p>
            <w:r>
              <w:rPr>
                <w:sz w:val="20"/>
              </w:rPr>
              <w:t>Pattern</w:t>
            </w:r>
          </w:p>
        </w:tc>
        <w:tc>
          <w:tcPr>
            <w:tcW w:type="dxa" w:w="7776"/>
          </w:tcPr>
          <w:p>
            <w:r>
              <w:rPr>
                <w:sz w:val="20"/>
              </w:rPr>
              <w:t>MVVM (Microsoft MVVM Toolkit)</w:t>
            </w:r>
          </w:p>
        </w:tc>
      </w:tr>
      <w:tr>
        <w:tc>
          <w:tcPr>
            <w:tcW w:type="dxa" w:w="2592"/>
          </w:tcPr>
          <w:p>
            <w:r>
              <w:rPr>
                <w:sz w:val="20"/>
              </w:rPr>
              <w:t>Basket</w:t>
            </w:r>
          </w:p>
        </w:tc>
        <w:tc>
          <w:tcPr>
            <w:tcW w:type="dxa" w:w="7776"/>
          </w:tcPr>
          <w:p>
            <w:r>
              <w:rPr>
                <w:sz w:val="20"/>
              </w:rPr>
              <w:t>gRPC client</w:t>
            </w:r>
          </w:p>
        </w:tc>
      </w:tr>
      <w:tr>
        <w:tc>
          <w:tcPr>
            <w:tcW w:type="dxa" w:w="2592"/>
          </w:tcPr>
          <w:p>
            <w:r>
              <w:rPr>
                <w:sz w:val="20"/>
              </w:rPr>
              <w:t>Auth</w:t>
            </w:r>
          </w:p>
        </w:tc>
        <w:tc>
          <w:tcPr>
            <w:tcW w:type="dxa" w:w="7776"/>
          </w:tcPr>
          <w:p>
            <w:r>
              <w:rPr>
                <w:sz w:val="20"/>
              </w:rPr>
              <w:t>IdentityModel.OidcClient (OIDC)</w:t>
            </w:r>
          </w:p>
        </w:tc>
      </w:tr>
    </w:tbl>
    <w:p>
      <w:pPr>
        <w:pStyle w:val="Heading2"/>
      </w:pPr>
      <w:r>
        <w:t>4.13 HybridApp – MAUI Blazor Hybrid App</w:t>
      </w:r>
    </w:p>
    <w:p>
      <w:r>
        <w:rPr>
          <w:b w:val="0"/>
          <w:i w:val="0"/>
        </w:rPr>
        <w:t>Runs the WebApp Blazor components inside a .NET MAUI host using a native WebView. Shares the WebAppComponents library, providing a hybrid native/web experience on Android, iOS, macOS, and Windows without duplicating UI code.</w:t>
      </w:r>
    </w:p>
    <w:p>
      <w:pPr>
        <w:pStyle w:val="Heading2"/>
      </w:pPr>
      <w:r>
        <w:t>4.14 WebhookClient – Webhook Consumer Demo</w:t>
      </w:r>
    </w:p>
    <w:p>
      <w:r>
        <w:rPr>
          <w:b w:val="0"/>
          <w:i w:val="0"/>
        </w:rPr>
        <w:t>A Blazor Server application that demonstrates how to consume webhook events. It registers a callback URL with Webhooks.API, receives HTTP POST events, and displays them in a QuickGrid UI. Secured with OpenID Connect.</w:t>
      </w:r>
    </w:p>
    <w:p>
      <w:r>
        <w:br w:type="page"/>
      </w:r>
    </w:p>
    <w:p>
      <w:pPr>
        <w:pStyle w:val="Heading1"/>
      </w:pPr>
      <w:r>
        <w:t>5. Communication Patterns</w:t>
      </w:r>
    </w:p>
    <w:p>
      <w:pPr>
        <w:pStyle w:val="Heading2"/>
      </w:pPr>
      <w:r>
        <w:t>5.1 Synchronous Communication</w:t>
      </w:r>
    </w:p>
    <w:p>
      <w:pPr>
        <w:pStyle w:val="Heading3"/>
      </w:pPr>
      <w:r>
        <w:t>REST APIs (HTTP/HTTPS)</w:t>
      </w:r>
    </w:p>
    <w:p>
      <w:r>
        <w:rPr>
          <w:b w:val="0"/>
          <w:i w:val="0"/>
        </w:rPr>
        <w:t>Used for request-response interactions requiring immediate answers: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2672C4"/>
          </w:tcPr>
          <w:p>
            <w:r>
              <w:rPr>
                <w:b/>
                <w:color w:val="FFFFFF"/>
              </w:rPr>
              <w:t>Client</w:t>
            </w:r>
          </w:p>
        </w:tc>
        <w:tc>
          <w:tcPr>
            <w:tcW w:type="dxa" w:w="2160"/>
            <w:shd w:val="clear" w:color="auto" w:fill="2672C4"/>
          </w:tcPr>
          <w:p>
            <w:r>
              <w:rPr>
                <w:b/>
                <w:color w:val="FFFFFF"/>
              </w:rPr>
              <w:t>Service</w:t>
            </w:r>
          </w:p>
        </w:tc>
        <w:tc>
          <w:tcPr>
            <w:tcW w:type="dxa" w:w="2160"/>
            <w:shd w:val="clear" w:color="auto" w:fill="2672C4"/>
          </w:tcPr>
          <w:p>
            <w:r>
              <w:rPr>
                <w:b/>
                <w:color w:val="FFFFFF"/>
              </w:rPr>
              <w:t>Protocol</w:t>
            </w:r>
          </w:p>
        </w:tc>
        <w:tc>
          <w:tcPr>
            <w:tcW w:type="dxa" w:w="4176"/>
            <w:shd w:val="clear" w:color="auto" w:fill="2672C4"/>
          </w:tcPr>
          <w:p>
            <w:r>
              <w:rPr>
                <w:b/>
                <w:color w:val="FFFFFF"/>
              </w:rPr>
              <w:t>Notes</w:t>
            </w:r>
          </w:p>
        </w:tc>
      </w:tr>
      <w:tr>
        <w:tc>
          <w:tcPr>
            <w:tcW w:type="dxa" w:w="1872"/>
          </w:tcPr>
          <w:p>
            <w:r>
              <w:rPr>
                <w:sz w:val="20"/>
              </w:rPr>
              <w:t>WebApp</w:t>
            </w:r>
          </w:p>
        </w:tc>
        <w:tc>
          <w:tcPr>
            <w:tcW w:type="dxa" w:w="2160"/>
          </w:tcPr>
          <w:p>
            <w:r>
              <w:rPr>
                <w:sz w:val="20"/>
              </w:rPr>
              <w:t>Catalog.API</w:t>
            </w:r>
          </w:p>
        </w:tc>
        <w:tc>
          <w:tcPr>
            <w:tcW w:type="dxa" w:w="2160"/>
          </w:tcPr>
          <w:p>
            <w:r>
              <w:rPr>
                <w:sz w:val="20"/>
              </w:rPr>
              <w:t>HTTP REST v2.0</w:t>
            </w:r>
          </w:p>
        </w:tc>
        <w:tc>
          <w:tcPr>
            <w:tcW w:type="dxa" w:w="4176"/>
          </w:tcPr>
          <w:p>
            <w:r>
              <w:rPr>
                <w:sz w:val="20"/>
              </w:rPr>
              <w:t>Product browsing, semantic search</w:t>
            </w:r>
          </w:p>
        </w:tc>
      </w:tr>
      <w:tr>
        <w:tc>
          <w:tcPr>
            <w:tcW w:type="dxa" w:w="1872"/>
          </w:tcPr>
          <w:p>
            <w:r>
              <w:rPr>
                <w:sz w:val="20"/>
              </w:rPr>
              <w:t>WebApp</w:t>
            </w:r>
          </w:p>
        </w:tc>
        <w:tc>
          <w:tcPr>
            <w:tcW w:type="dxa" w:w="2160"/>
          </w:tcPr>
          <w:p>
            <w:r>
              <w:rPr>
                <w:sz w:val="20"/>
              </w:rPr>
              <w:t>Ordering.API</w:t>
            </w:r>
          </w:p>
        </w:tc>
        <w:tc>
          <w:tcPr>
            <w:tcW w:type="dxa" w:w="2160"/>
          </w:tcPr>
          <w:p>
            <w:r>
              <w:rPr>
                <w:sz w:val="20"/>
              </w:rPr>
              <w:t>HTTP REST v1.0</w:t>
            </w:r>
          </w:p>
        </w:tc>
        <w:tc>
          <w:tcPr>
            <w:tcW w:type="dxa" w:w="4176"/>
          </w:tcPr>
          <w:p>
            <w:r>
              <w:rPr>
                <w:sz w:val="20"/>
              </w:rPr>
              <w:t>Order management (auth required)</w:t>
            </w:r>
          </w:p>
        </w:tc>
      </w:tr>
      <w:tr>
        <w:tc>
          <w:tcPr>
            <w:tcW w:type="dxa" w:w="1872"/>
          </w:tcPr>
          <w:p>
            <w:r>
              <w:rPr>
                <w:sz w:val="20"/>
              </w:rPr>
              <w:t>WebhookClient</w:t>
            </w:r>
          </w:p>
        </w:tc>
        <w:tc>
          <w:tcPr>
            <w:tcW w:type="dxa" w:w="2160"/>
          </w:tcPr>
          <w:p>
            <w:r>
              <w:rPr>
                <w:sz w:val="20"/>
              </w:rPr>
              <w:t>Webhooks.API</w:t>
            </w:r>
          </w:p>
        </w:tc>
        <w:tc>
          <w:tcPr>
            <w:tcW w:type="dxa" w:w="2160"/>
          </w:tcPr>
          <w:p>
            <w:r>
              <w:rPr>
                <w:sz w:val="20"/>
              </w:rPr>
              <w:t>HTTP REST</w:t>
            </w:r>
          </w:p>
        </w:tc>
        <w:tc>
          <w:tcPr>
            <w:tcW w:type="dxa" w:w="4176"/>
          </w:tcPr>
          <w:p>
            <w:r>
              <w:rPr>
                <w:sz w:val="20"/>
              </w:rPr>
              <w:t>Webhook subscription management</w:t>
            </w:r>
          </w:p>
        </w:tc>
      </w:tr>
      <w:tr>
        <w:tc>
          <w:tcPr>
            <w:tcW w:type="dxa" w:w="1872"/>
          </w:tcPr>
          <w:p>
            <w:r>
              <w:rPr>
                <w:sz w:val="20"/>
              </w:rPr>
              <w:t>Any client</w:t>
            </w:r>
          </w:p>
        </w:tc>
        <w:tc>
          <w:tcPr>
            <w:tcW w:type="dxa" w:w="2160"/>
          </w:tcPr>
          <w:p>
            <w:r>
              <w:rPr>
                <w:sz w:val="20"/>
              </w:rPr>
              <w:t>Identity.API</w:t>
            </w:r>
          </w:p>
        </w:tc>
        <w:tc>
          <w:tcPr>
            <w:tcW w:type="dxa" w:w="2160"/>
          </w:tcPr>
          <w:p>
            <w:r>
              <w:rPr>
                <w:sz w:val="20"/>
              </w:rPr>
              <w:t>HTTP OIDC</w:t>
            </w:r>
          </w:p>
        </w:tc>
        <w:tc>
          <w:tcPr>
            <w:tcW w:type="dxa" w:w="4176"/>
          </w:tcPr>
          <w:p>
            <w:r>
              <w:rPr>
                <w:sz w:val="20"/>
              </w:rPr>
              <w:t>Token exchange, authorisation</w:t>
            </w:r>
          </w:p>
        </w:tc>
      </w:tr>
    </w:tbl>
    <w:p>
      <w:pPr>
        <w:pStyle w:val="Heading3"/>
      </w:pPr>
      <w:r>
        <w:t>gRPC (Protocol Buffers)</w:t>
      </w:r>
    </w:p>
    <w:p>
      <w:r>
        <w:rPr>
          <w:b w:val="0"/>
          <w:i w:val="0"/>
        </w:rPr>
        <w:t>Chosen for high-frequency, low-latency basket operations:</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2672C4"/>
          </w:tcPr>
          <w:p>
            <w:r>
              <w:rPr>
                <w:b/>
                <w:color w:val="FFFFFF"/>
              </w:rPr>
              <w:t>Client</w:t>
            </w:r>
          </w:p>
        </w:tc>
        <w:tc>
          <w:tcPr>
            <w:tcW w:type="dxa" w:w="2160"/>
            <w:shd w:val="clear" w:color="auto" w:fill="2672C4"/>
          </w:tcPr>
          <w:p>
            <w:r>
              <w:rPr>
                <w:b/>
                <w:color w:val="FFFFFF"/>
              </w:rPr>
              <w:t>Service</w:t>
            </w:r>
          </w:p>
        </w:tc>
        <w:tc>
          <w:tcPr>
            <w:tcW w:type="dxa" w:w="6048"/>
            <w:shd w:val="clear" w:color="auto" w:fill="2672C4"/>
          </w:tcPr>
          <w:p>
            <w:r>
              <w:rPr>
                <w:b/>
                <w:color w:val="FFFFFF"/>
              </w:rPr>
              <w:t>Operations</w:t>
            </w:r>
          </w:p>
        </w:tc>
      </w:tr>
      <w:tr>
        <w:tc>
          <w:tcPr>
            <w:tcW w:type="dxa" w:w="2160"/>
          </w:tcPr>
          <w:p>
            <w:r>
              <w:rPr>
                <w:sz w:val="20"/>
              </w:rPr>
              <w:t>WebApp</w:t>
            </w:r>
          </w:p>
        </w:tc>
        <w:tc>
          <w:tcPr>
            <w:tcW w:type="dxa" w:w="2160"/>
          </w:tcPr>
          <w:p>
            <w:r>
              <w:rPr>
                <w:sz w:val="20"/>
              </w:rPr>
              <w:t>Basket.API</w:t>
            </w:r>
          </w:p>
        </w:tc>
        <w:tc>
          <w:tcPr>
            <w:tcW w:type="dxa" w:w="6048"/>
          </w:tcPr>
          <w:p>
            <w:r>
              <w:rPr>
                <w:sz w:val="20"/>
              </w:rPr>
              <w:t>GetBasket, UpdateBasket, DeleteBasket</w:t>
            </w:r>
          </w:p>
        </w:tc>
      </w:tr>
      <w:tr>
        <w:tc>
          <w:tcPr>
            <w:tcW w:type="dxa" w:w="2160"/>
          </w:tcPr>
          <w:p>
            <w:r>
              <w:rPr>
                <w:sz w:val="20"/>
              </w:rPr>
              <w:t>ClientApp</w:t>
            </w:r>
          </w:p>
        </w:tc>
        <w:tc>
          <w:tcPr>
            <w:tcW w:type="dxa" w:w="2160"/>
          </w:tcPr>
          <w:p>
            <w:r>
              <w:rPr>
                <w:sz w:val="20"/>
              </w:rPr>
              <w:t>Basket.API</w:t>
            </w:r>
          </w:p>
        </w:tc>
        <w:tc>
          <w:tcPr>
            <w:tcW w:type="dxa" w:w="6048"/>
          </w:tcPr>
          <w:p>
            <w:r>
              <w:rPr>
                <w:sz w:val="20"/>
              </w:rPr>
              <w:t>GetBasket, UpdateBasket, DeleteBasket</w:t>
            </w:r>
          </w:p>
        </w:tc>
      </w:tr>
    </w:tbl>
    <w:p>
      <w:pPr>
        <w:pStyle w:val="Heading2"/>
      </w:pPr>
      <w:r>
        <w:t>5.2 Asynchronous Communication – RabbitMQ Event Bus</w:t>
      </w:r>
    </w:p>
    <w:p>
      <w:r>
        <w:rPr>
          <w:b w:val="0"/>
          <w:i w:val="0"/>
        </w:rPr>
        <w:t>The EventBusRabbitMQ library wraps RabbitMQ with a direct exchange named "eshop_event_bus". Each integration event type is routed by its class name. Polly retry policies ensure resilience.</w:t>
      </w:r>
    </w:p>
    <w:p>
      <w:pPr>
        <w:pStyle w:val="Heading3"/>
      </w:pPr>
      <w:r>
        <w:t>End-to-End Order Flow</w:t>
      </w:r>
    </w:p>
    <w:p>
      <w:pPr>
        <w:pStyle w:val="CodeBlock"/>
        <w:ind w:left="576"/>
        <w:shd w:val="clear" w:color="auto" w:fill="F5F5F5"/>
      </w:pPr>
      <w:r>
        <w:t>1. Customer places order in WebApp</w:t>
      </w:r>
    </w:p>
    <w:p>
      <w:pPr>
        <w:pStyle w:val="CodeBlock"/>
        <w:ind w:left="576"/>
        <w:shd w:val="clear" w:color="auto" w:fill="F5F5F5"/>
      </w:pPr>
      <w:r>
        <w:t xml:space="preserve">   → WebApp calls Ordering.API (REST POST /api/orders)</w:t>
      </w:r>
    </w:p>
    <w:p>
      <w:pPr>
        <w:pStyle w:val="CodeBlock"/>
        <w:ind w:left="576"/>
        <w:shd w:val="clear" w:color="auto" w:fill="F5F5F5"/>
      </w:pPr>
      <w:r/>
    </w:p>
    <w:p>
      <w:pPr>
        <w:pStyle w:val="CodeBlock"/>
        <w:ind w:left="576"/>
        <w:shd w:val="clear" w:color="auto" w:fill="F5F5F5"/>
      </w:pPr>
      <w:r>
        <w:t>2. Ordering.API publishes OrderStartedIntegrationEvent</w:t>
      </w:r>
    </w:p>
    <w:p>
      <w:pPr>
        <w:pStyle w:val="CodeBlock"/>
        <w:ind w:left="576"/>
        <w:shd w:val="clear" w:color="auto" w:fill="F5F5F5"/>
      </w:pPr>
      <w:r>
        <w:t xml:space="preserve">   → Basket.API receives → clears customer basket</w:t>
      </w:r>
    </w:p>
    <w:p>
      <w:pPr>
        <w:pStyle w:val="CodeBlock"/>
        <w:ind w:left="576"/>
        <w:shd w:val="clear" w:color="auto" w:fill="F5F5F5"/>
      </w:pPr>
      <w:r/>
    </w:p>
    <w:p>
      <w:pPr>
        <w:pStyle w:val="CodeBlock"/>
        <w:ind w:left="576"/>
        <w:shd w:val="clear" w:color="auto" w:fill="F5F5F5"/>
      </w:pPr>
      <w:r>
        <w:t>3. OrderProcessor polls DB → grace period expires</w:t>
      </w:r>
    </w:p>
    <w:p>
      <w:pPr>
        <w:pStyle w:val="CodeBlock"/>
        <w:ind w:left="576"/>
        <w:shd w:val="clear" w:color="auto" w:fill="F5F5F5"/>
      </w:pPr>
      <w:r>
        <w:t xml:space="preserve">   → Publishes GracePeriodConfirmedIntegrationEvent</w:t>
      </w:r>
    </w:p>
    <w:p>
      <w:pPr>
        <w:pStyle w:val="CodeBlock"/>
        <w:ind w:left="576"/>
        <w:shd w:val="clear" w:color="auto" w:fill="F5F5F5"/>
      </w:pPr>
      <w:r>
        <w:t xml:space="preserve">   → Ordering.API receives → changes status to AwaitingValidation</w:t>
      </w:r>
    </w:p>
    <w:p>
      <w:pPr>
        <w:pStyle w:val="CodeBlock"/>
        <w:ind w:left="576"/>
        <w:shd w:val="clear" w:color="auto" w:fill="F5F5F5"/>
      </w:pPr>
      <w:r/>
    </w:p>
    <w:p>
      <w:pPr>
        <w:pStyle w:val="CodeBlock"/>
        <w:ind w:left="576"/>
        <w:shd w:val="clear" w:color="auto" w:fill="F5F5F5"/>
      </w:pPr>
      <w:r>
        <w:t>4. Ordering.API publishes OrderStatusChangedToAwaitingValidationIntegrationEvent</w:t>
      </w:r>
    </w:p>
    <w:p>
      <w:pPr>
        <w:pStyle w:val="CodeBlock"/>
        <w:ind w:left="576"/>
        <w:shd w:val="clear" w:color="auto" w:fill="F5F5F5"/>
      </w:pPr>
      <w:r>
        <w:t xml:space="preserve">   → Catalog.API receives → validates stock availability</w:t>
      </w:r>
    </w:p>
    <w:p>
      <w:pPr>
        <w:pStyle w:val="CodeBlock"/>
        <w:ind w:left="576"/>
        <w:shd w:val="clear" w:color="auto" w:fill="F5F5F5"/>
      </w:pPr>
      <w:r/>
    </w:p>
    <w:p>
      <w:pPr>
        <w:pStyle w:val="CodeBlock"/>
        <w:ind w:left="576"/>
        <w:shd w:val="clear" w:color="auto" w:fill="F5F5F5"/>
      </w:pPr>
      <w:r>
        <w:t>5. Catalog.API confirms stock</w:t>
      </w:r>
    </w:p>
    <w:p>
      <w:pPr>
        <w:pStyle w:val="CodeBlock"/>
        <w:ind w:left="576"/>
        <w:shd w:val="clear" w:color="auto" w:fill="F5F5F5"/>
      </w:pPr>
      <w:r>
        <w:t xml:space="preserve">   → Ordering.API changes status to StockConfirmed</w:t>
      </w:r>
    </w:p>
    <w:p>
      <w:pPr>
        <w:pStyle w:val="CodeBlock"/>
        <w:ind w:left="576"/>
        <w:shd w:val="clear" w:color="auto" w:fill="F5F5F5"/>
      </w:pPr>
      <w:r>
        <w:t xml:space="preserve">   → Publishes OrderStatusChangedToStockConfirmedIntegrationEvent</w:t>
      </w:r>
    </w:p>
    <w:p>
      <w:pPr>
        <w:pStyle w:val="CodeBlock"/>
        <w:ind w:left="576"/>
        <w:shd w:val="clear" w:color="auto" w:fill="F5F5F5"/>
      </w:pPr>
      <w:r/>
    </w:p>
    <w:p>
      <w:pPr>
        <w:pStyle w:val="CodeBlock"/>
        <w:ind w:left="576"/>
        <w:shd w:val="clear" w:color="auto" w:fill="F5F5F5"/>
      </w:pPr>
      <w:r>
        <w:t>6. PaymentProcessor receives OrderStatusChangedToStockConfirmedIntegrationEvent</w:t>
      </w:r>
    </w:p>
    <w:p>
      <w:pPr>
        <w:pStyle w:val="CodeBlock"/>
        <w:ind w:left="576"/>
        <w:shd w:val="clear" w:color="auto" w:fill="F5F5F5"/>
      </w:pPr>
      <w:r>
        <w:t xml:space="preserve">   → Simulates payment → publishes OrderStatusChangedToPaidIntegrationEvent</w:t>
      </w:r>
    </w:p>
    <w:p>
      <w:pPr>
        <w:pStyle w:val="CodeBlock"/>
        <w:ind w:left="576"/>
        <w:shd w:val="clear" w:color="auto" w:fill="F5F5F5"/>
      </w:pPr>
      <w:r/>
    </w:p>
    <w:p>
      <w:pPr>
        <w:pStyle w:val="CodeBlock"/>
        <w:ind w:left="576"/>
        <w:shd w:val="clear" w:color="auto" w:fill="F5F5F5"/>
      </w:pPr>
      <w:r>
        <w:t>7. Ordering.API receives payment confirmation → status = Paid</w:t>
      </w:r>
    </w:p>
    <w:p>
      <w:pPr>
        <w:pStyle w:val="CodeBlock"/>
        <w:ind w:left="576"/>
        <w:shd w:val="clear" w:color="auto" w:fill="F5F5F5"/>
      </w:pPr>
      <w:r>
        <w:t xml:space="preserve">   → Publishes OrderStatusChangedToPaidIntegrationEvent → Catalog.API updates stock</w:t>
      </w:r>
    </w:p>
    <w:p>
      <w:pPr>
        <w:pStyle w:val="CodeBlock"/>
        <w:ind w:left="576"/>
        <w:shd w:val="clear" w:color="auto" w:fill="F5F5F5"/>
      </w:pPr>
      <w:r>
        <w:t xml:space="preserve">   → Webhooks.API receives → dispatches HTTP notifications to subscribers</w:t>
      </w:r>
    </w:p>
    <w:p>
      <w:pPr>
        <w:pStyle w:val="CodeBlock"/>
        <w:ind w:left="576"/>
        <w:shd w:val="clear" w:color="auto" w:fill="F5F5F5"/>
      </w:pPr>
      <w:r/>
    </w:p>
    <w:p>
      <w:pPr>
        <w:pStyle w:val="CodeBlock"/>
        <w:ind w:left="576"/>
        <w:shd w:val="clear" w:color="auto" w:fill="F5F5F5"/>
      </w:pPr>
      <w:r>
        <w:t>8. Admin calls PUT /api/orders/ship</w:t>
      </w:r>
    </w:p>
    <w:p>
      <w:pPr>
        <w:pStyle w:val="CodeBlock"/>
        <w:ind w:left="576"/>
        <w:shd w:val="clear" w:color="auto" w:fill="F5F5F5"/>
      </w:pPr>
      <w:r>
        <w:t xml:space="preserve">   → Ordering.API changes status to Shipped</w:t>
      </w:r>
    </w:p>
    <w:p>
      <w:pPr>
        <w:pStyle w:val="CodeBlock"/>
        <w:ind w:left="576"/>
        <w:shd w:val="clear" w:color="auto" w:fill="F5F5F5"/>
      </w:pPr>
      <w:r>
        <w:t xml:space="preserve">   → Publishes OrderStatusChangedToShippedIntegrationEvent</w:t>
      </w:r>
    </w:p>
    <w:p>
      <w:pPr>
        <w:pStyle w:val="Heading3"/>
      </w:pPr>
      <w:r>
        <w:t>Price Update Flow</w:t>
      </w:r>
    </w:p>
    <w:p>
      <w:pPr>
        <w:pStyle w:val="CodeBlock"/>
        <w:ind w:left="576"/>
        <w:shd w:val="clear" w:color="auto" w:fill="F5F5F5"/>
      </w:pPr>
      <w:r>
        <w:t>Catalog.API (admin price change)</w:t>
      </w:r>
    </w:p>
    <w:p>
      <w:pPr>
        <w:pStyle w:val="CodeBlock"/>
        <w:ind w:left="576"/>
        <w:shd w:val="clear" w:color="auto" w:fill="F5F5F5"/>
      </w:pPr>
      <w:r>
        <w:t xml:space="preserve">  → Publishes ProductPriceChangedIntegrationEvent</w:t>
      </w:r>
    </w:p>
    <w:p>
      <w:pPr>
        <w:pStyle w:val="CodeBlock"/>
        <w:ind w:left="576"/>
        <w:shd w:val="clear" w:color="auto" w:fill="F5F5F5"/>
      </w:pPr>
      <w:r>
        <w:t xml:space="preserve">  → Subscribed services handle price update notifications</w:t>
      </w:r>
    </w:p>
    <w:p>
      <w:pPr>
        <w:pStyle w:val="Heading2"/>
      </w:pPr>
      <w:r>
        <w:t>5.3 Service Discovery</w:t>
      </w:r>
    </w:p>
    <w:p>
      <w:r>
        <w:rPr>
          <w:b w:val="0"/>
          <w:i w:val="0"/>
        </w:rPr>
        <w:t>.NET Aspire injects service base URLs as environment variables. WebApp uses typed HTTP clients resolved by service name. YARP reverse proxy routes mobile app traffic (ClientApp) to the appropriate backend services.</w:t>
      </w:r>
    </w:p>
    <w:p>
      <w:r>
        <w:br w:type="page"/>
      </w:r>
    </w:p>
    <w:p>
      <w:pPr>
        <w:pStyle w:val="Heading1"/>
      </w:pPr>
      <w:r>
        <w:t>6. Data Stores</w:t>
      </w:r>
    </w:p>
    <w:p>
      <w:pPr>
        <w:pStyle w:val="Heading2"/>
      </w:pPr>
      <w:r>
        <w:t>6.1 PostgreSQL (Multi-Database)</w:t>
      </w:r>
    </w:p>
    <w:p>
      <w:r>
        <w:rPr>
          <w:b w:val="0"/>
          <w:i w:val="0"/>
        </w:rPr>
        <w:t>A single PostgreSQL instance hosts four independent databases, one per bounded context. All services use Entity Framework Core with the Npgsql provider.</w:t>
      </w:r>
    </w:p>
    <w:tbl>
      <w:tblPr>
        <w:tblStyle w:val="TableGrid"/>
        <w:tblW w:type="auto" w:w="0"/>
        <w:jc w:val="left"/>
        <w:tblLook w:firstColumn="1" w:firstRow="1" w:lastColumn="0" w:lastRow="0" w:noHBand="0" w:noVBand="1" w:val="04A0"/>
      </w:tblPr>
      <w:tblGrid>
        <w:gridCol w:w="3120"/>
        <w:gridCol w:w="3120"/>
        <w:gridCol w:w="3120"/>
      </w:tblGrid>
      <w:tr>
        <w:tc>
          <w:tcPr>
            <w:tcW w:type="dxa" w:w="1728"/>
            <w:shd w:val="clear" w:color="auto" w:fill="2672C4"/>
          </w:tcPr>
          <w:p>
            <w:r>
              <w:rPr>
                <w:b/>
                <w:color w:val="FFFFFF"/>
              </w:rPr>
              <w:t>Database</w:t>
            </w:r>
          </w:p>
        </w:tc>
        <w:tc>
          <w:tcPr>
            <w:tcW w:type="dxa" w:w="2592"/>
            <w:shd w:val="clear" w:color="auto" w:fill="2672C4"/>
          </w:tcPr>
          <w:p>
            <w:r>
              <w:rPr>
                <w:b/>
                <w:color w:val="FFFFFF"/>
              </w:rPr>
              <w:t>Owner Service</w:t>
            </w:r>
          </w:p>
        </w:tc>
        <w:tc>
          <w:tcPr>
            <w:tcW w:type="dxa" w:w="6048"/>
            <w:shd w:val="clear" w:color="auto" w:fill="2672C4"/>
          </w:tcPr>
          <w:p>
            <w:r>
              <w:rPr>
                <w:b/>
                <w:color w:val="FFFFFF"/>
              </w:rPr>
              <w:t>Key Tables / Contents</w:t>
            </w:r>
          </w:p>
        </w:tc>
      </w:tr>
      <w:tr>
        <w:tc>
          <w:tcPr>
            <w:tcW w:type="dxa" w:w="1728"/>
          </w:tcPr>
          <w:p>
            <w:r>
              <w:rPr>
                <w:sz w:val="20"/>
              </w:rPr>
              <w:t>catalogdb</w:t>
            </w:r>
          </w:p>
        </w:tc>
        <w:tc>
          <w:tcPr>
            <w:tcW w:type="dxa" w:w="2592"/>
          </w:tcPr>
          <w:p>
            <w:r>
              <w:rPr>
                <w:sz w:val="20"/>
              </w:rPr>
              <w:t>Catalog.API</w:t>
            </w:r>
          </w:p>
        </w:tc>
        <w:tc>
          <w:tcPr>
            <w:tcW w:type="dxa" w:w="6048"/>
          </w:tcPr>
          <w:p>
            <w:r>
              <w:rPr>
                <w:sz w:val="20"/>
              </w:rPr>
              <w:t>CatalogItems (+ pgvector embeddings), CatalogTypes, CatalogBrands, IntegrationEventLog</w:t>
            </w:r>
          </w:p>
        </w:tc>
      </w:tr>
      <w:tr>
        <w:tc>
          <w:tcPr>
            <w:tcW w:type="dxa" w:w="1728"/>
          </w:tcPr>
          <w:p>
            <w:r>
              <w:rPr>
                <w:sz w:val="20"/>
              </w:rPr>
              <w:t>identitydb</w:t>
            </w:r>
          </w:p>
        </w:tc>
        <w:tc>
          <w:tcPr>
            <w:tcW w:type="dxa" w:w="2592"/>
          </w:tcPr>
          <w:p>
            <w:r>
              <w:rPr>
                <w:sz w:val="20"/>
              </w:rPr>
              <w:t>Identity.API</w:t>
            </w:r>
          </w:p>
        </w:tc>
        <w:tc>
          <w:tcPr>
            <w:tcW w:type="dxa" w:w="6048"/>
          </w:tcPr>
          <w:p>
            <w:r>
              <w:rPr>
                <w:sz w:val="20"/>
              </w:rPr>
              <w:t>ASP.NET Core Identity tables (Users, Roles, Claims), IdentityServer config</w:t>
            </w:r>
          </w:p>
        </w:tc>
      </w:tr>
      <w:tr>
        <w:tc>
          <w:tcPr>
            <w:tcW w:type="dxa" w:w="1728"/>
          </w:tcPr>
          <w:p>
            <w:r>
              <w:rPr>
                <w:sz w:val="20"/>
              </w:rPr>
              <w:t>orderingdb</w:t>
            </w:r>
          </w:p>
        </w:tc>
        <w:tc>
          <w:tcPr>
            <w:tcW w:type="dxa" w:w="2592"/>
          </w:tcPr>
          <w:p>
            <w:r>
              <w:rPr>
                <w:sz w:val="20"/>
              </w:rPr>
              <w:t>Ordering.API / OrderProcessor</w:t>
            </w:r>
          </w:p>
        </w:tc>
        <w:tc>
          <w:tcPr>
            <w:tcW w:type="dxa" w:w="6048"/>
          </w:tcPr>
          <w:p>
            <w:r>
              <w:rPr>
                <w:sz w:val="20"/>
              </w:rPr>
              <w:t>Orders, OrderItems, Buyers, CardTypes, RequestManager (idempotency), IntegrationEventLog</w:t>
            </w:r>
          </w:p>
        </w:tc>
      </w:tr>
      <w:tr>
        <w:tc>
          <w:tcPr>
            <w:tcW w:type="dxa" w:w="1728"/>
          </w:tcPr>
          <w:p>
            <w:r>
              <w:rPr>
                <w:sz w:val="20"/>
              </w:rPr>
              <w:t>webhooksdb</w:t>
            </w:r>
          </w:p>
        </w:tc>
        <w:tc>
          <w:tcPr>
            <w:tcW w:type="dxa" w:w="2592"/>
          </w:tcPr>
          <w:p>
            <w:r>
              <w:rPr>
                <w:sz w:val="20"/>
              </w:rPr>
              <w:t>Webhooks.API</w:t>
            </w:r>
          </w:p>
        </w:tc>
        <w:tc>
          <w:tcPr>
            <w:tcW w:type="dxa" w:w="6048"/>
          </w:tcPr>
          <w:p>
            <w:r>
              <w:rPr>
                <w:sz w:val="20"/>
              </w:rPr>
              <w:t>WebhookSubscriptions, WebhookHistory</w:t>
            </w:r>
          </w:p>
        </w:tc>
      </w:tr>
    </w:tbl>
    <w:p/>
    <w:p>
      <w:r>
        <w:rPr>
          <w:b/>
          <w:i w:val="0"/>
        </w:rPr>
        <w:t>Notable extension:</w:t>
      </w:r>
    </w:p>
    <w:p>
      <w:pPr>
        <w:pStyle w:val="ListBullet"/>
        <w:ind w:left="432"/>
      </w:pPr>
      <w:r>
        <w:t>pgvector: Enables vector storage and cosine-similarity queries on CatalogItem.Embedding for AI semantic search.</w:t>
      </w:r>
    </w:p>
    <w:p>
      <w:pPr>
        <w:pStyle w:val="Heading2"/>
      </w:pPr>
      <w:r>
        <w:t>6.2 Redis (In-Memory Cache)</w:t>
      </w:r>
    </w:p>
    <w:p>
      <w:r>
        <w:rPr>
          <w:b w:val="0"/>
          <w:i w:val="0"/>
        </w:rPr>
        <w:t>Used exclusively by Basket.API for ephemeral shopping-cart storage. Key = User/Basket ID; Value = serialized CustomerBasket JSON. Data is not persisted across Redis restarts — baskets are session-like.</w:t>
      </w:r>
    </w:p>
    <w:p>
      <w:pPr>
        <w:pStyle w:val="Heading2"/>
      </w:pPr>
      <w:r>
        <w:t>6.3 Integration Event Log (Outbox Pattern)</w:t>
      </w:r>
    </w:p>
    <w:p>
      <w:r>
        <w:rPr>
          <w:b w:val="0"/>
          <w:i w:val="0"/>
        </w:rPr>
        <w:t>Implemented in IntegrationEventLogEF and embedded as a table in the owning service's database (catalogdb and orderingdb). Guarantees at-least-once delivery of events by writing the domain change and the event record in the same EF Core transaction.</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2672C4"/>
          </w:tcPr>
          <w:p>
            <w:r>
              <w:rPr>
                <w:b/>
                <w:color w:val="FFFFFF"/>
              </w:rPr>
              <w:t>Column</w:t>
            </w:r>
          </w:p>
        </w:tc>
        <w:tc>
          <w:tcPr>
            <w:tcW w:type="dxa" w:w="1440"/>
            <w:shd w:val="clear" w:color="auto" w:fill="2672C4"/>
          </w:tcPr>
          <w:p>
            <w:r>
              <w:rPr>
                <w:b/>
                <w:color w:val="FFFFFF"/>
              </w:rPr>
              <w:t>Type</w:t>
            </w:r>
          </w:p>
        </w:tc>
        <w:tc>
          <w:tcPr>
            <w:tcW w:type="dxa" w:w="6768"/>
            <w:shd w:val="clear" w:color="auto" w:fill="2672C4"/>
          </w:tcPr>
          <w:p>
            <w:r>
              <w:rPr>
                <w:b/>
                <w:color w:val="FFFFFF"/>
              </w:rPr>
              <w:t>Description</w:t>
            </w:r>
          </w:p>
        </w:tc>
      </w:tr>
      <w:tr>
        <w:tc>
          <w:tcPr>
            <w:tcW w:type="dxa" w:w="2160"/>
          </w:tcPr>
          <w:p>
            <w:r>
              <w:rPr>
                <w:sz w:val="20"/>
              </w:rPr>
              <w:t>EventId</w:t>
            </w:r>
          </w:p>
        </w:tc>
        <w:tc>
          <w:tcPr>
            <w:tcW w:type="dxa" w:w="1440"/>
          </w:tcPr>
          <w:p>
            <w:r>
              <w:rPr>
                <w:sz w:val="20"/>
              </w:rPr>
              <w:t>GUID</w:t>
            </w:r>
          </w:p>
        </w:tc>
        <w:tc>
          <w:tcPr>
            <w:tcW w:type="dxa" w:w="6768"/>
          </w:tcPr>
          <w:p>
            <w:r>
              <w:rPr>
                <w:sz w:val="20"/>
              </w:rPr>
              <w:t>Unique event identifier</w:t>
            </w:r>
          </w:p>
        </w:tc>
      </w:tr>
      <w:tr>
        <w:tc>
          <w:tcPr>
            <w:tcW w:type="dxa" w:w="2160"/>
          </w:tcPr>
          <w:p>
            <w:r>
              <w:rPr>
                <w:sz w:val="20"/>
              </w:rPr>
              <w:t>EventTypeName</w:t>
            </w:r>
          </w:p>
        </w:tc>
        <w:tc>
          <w:tcPr>
            <w:tcW w:type="dxa" w:w="1440"/>
          </w:tcPr>
          <w:p>
            <w:r>
              <w:rPr>
                <w:sz w:val="20"/>
              </w:rPr>
              <w:t>string</w:t>
            </w:r>
          </w:p>
        </w:tc>
        <w:tc>
          <w:tcPr>
            <w:tcW w:type="dxa" w:w="6768"/>
          </w:tcPr>
          <w:p>
            <w:r>
              <w:rPr>
                <w:sz w:val="20"/>
              </w:rPr>
              <w:t>Fully-qualified event class name</w:t>
            </w:r>
          </w:p>
        </w:tc>
      </w:tr>
      <w:tr>
        <w:tc>
          <w:tcPr>
            <w:tcW w:type="dxa" w:w="2160"/>
          </w:tcPr>
          <w:p>
            <w:r>
              <w:rPr>
                <w:sz w:val="20"/>
              </w:rPr>
              <w:t>Content</w:t>
            </w:r>
          </w:p>
        </w:tc>
        <w:tc>
          <w:tcPr>
            <w:tcW w:type="dxa" w:w="1440"/>
          </w:tcPr>
          <w:p>
            <w:r>
              <w:rPr>
                <w:sz w:val="20"/>
              </w:rPr>
              <w:t>JSON</w:t>
            </w:r>
          </w:p>
        </w:tc>
        <w:tc>
          <w:tcPr>
            <w:tcW w:type="dxa" w:w="6768"/>
          </w:tcPr>
          <w:p>
            <w:r>
              <w:rPr>
                <w:sz w:val="20"/>
              </w:rPr>
              <w:t>Serialized event payload</w:t>
            </w:r>
          </w:p>
        </w:tc>
      </w:tr>
      <w:tr>
        <w:tc>
          <w:tcPr>
            <w:tcW w:type="dxa" w:w="2160"/>
          </w:tcPr>
          <w:p>
            <w:r>
              <w:rPr>
                <w:sz w:val="20"/>
              </w:rPr>
              <w:t>State</w:t>
            </w:r>
          </w:p>
        </w:tc>
        <w:tc>
          <w:tcPr>
            <w:tcW w:type="dxa" w:w="1440"/>
          </w:tcPr>
          <w:p>
            <w:r>
              <w:rPr>
                <w:sz w:val="20"/>
              </w:rPr>
              <w:t>enum</w:t>
            </w:r>
          </w:p>
        </w:tc>
        <w:tc>
          <w:tcPr>
            <w:tcW w:type="dxa" w:w="6768"/>
          </w:tcPr>
          <w:p>
            <w:r>
              <w:rPr>
                <w:sz w:val="20"/>
              </w:rPr>
              <w:t>NotPublished | Published | PublishedFailed</w:t>
            </w:r>
          </w:p>
        </w:tc>
      </w:tr>
      <w:tr>
        <w:tc>
          <w:tcPr>
            <w:tcW w:type="dxa" w:w="2160"/>
          </w:tcPr>
          <w:p>
            <w:r>
              <w:rPr>
                <w:sz w:val="20"/>
              </w:rPr>
              <w:t>TimesSent</w:t>
            </w:r>
          </w:p>
        </w:tc>
        <w:tc>
          <w:tcPr>
            <w:tcW w:type="dxa" w:w="1440"/>
          </w:tcPr>
          <w:p>
            <w:r>
              <w:rPr>
                <w:sz w:val="20"/>
              </w:rPr>
              <w:t>int</w:t>
            </w:r>
          </w:p>
        </w:tc>
        <w:tc>
          <w:tcPr>
            <w:tcW w:type="dxa" w:w="6768"/>
          </w:tcPr>
          <w:p>
            <w:r>
              <w:rPr>
                <w:sz w:val="20"/>
              </w:rPr>
              <w:t>Delivery attempt counter</w:t>
            </w:r>
          </w:p>
        </w:tc>
      </w:tr>
      <w:tr>
        <w:tc>
          <w:tcPr>
            <w:tcW w:type="dxa" w:w="2160"/>
          </w:tcPr>
          <w:p>
            <w:r>
              <w:rPr>
                <w:sz w:val="20"/>
              </w:rPr>
              <w:t>CreationTime</w:t>
            </w:r>
          </w:p>
        </w:tc>
        <w:tc>
          <w:tcPr>
            <w:tcW w:type="dxa" w:w="1440"/>
          </w:tcPr>
          <w:p>
            <w:r>
              <w:rPr>
                <w:sz w:val="20"/>
              </w:rPr>
              <w:t>datetime</w:t>
            </w:r>
          </w:p>
        </w:tc>
        <w:tc>
          <w:tcPr>
            <w:tcW w:type="dxa" w:w="6768"/>
          </w:tcPr>
          <w:p>
            <w:r>
              <w:rPr>
                <w:sz w:val="20"/>
              </w:rPr>
              <w:t>When the event was recorded</w:t>
            </w:r>
          </w:p>
        </w:tc>
      </w:tr>
      <w:tr>
        <w:tc>
          <w:tcPr>
            <w:tcW w:type="dxa" w:w="2160"/>
          </w:tcPr>
          <w:p>
            <w:r>
              <w:rPr>
                <w:sz w:val="20"/>
              </w:rPr>
              <w:t>TransactionId</w:t>
            </w:r>
          </w:p>
        </w:tc>
        <w:tc>
          <w:tcPr>
            <w:tcW w:type="dxa" w:w="1440"/>
          </w:tcPr>
          <w:p>
            <w:r>
              <w:rPr>
                <w:sz w:val="20"/>
              </w:rPr>
              <w:t>GUID</w:t>
            </w:r>
          </w:p>
        </w:tc>
        <w:tc>
          <w:tcPr>
            <w:tcW w:type="dxa" w:w="6768"/>
          </w:tcPr>
          <w:p>
            <w:r>
              <w:rPr>
                <w:sz w:val="20"/>
              </w:rPr>
              <w:t>Links event to originating DB transaction</w:t>
            </w:r>
          </w:p>
        </w:tc>
      </w:tr>
    </w:tbl>
    <w:p>
      <w:r>
        <w:br w:type="page"/>
      </w:r>
    </w:p>
    <w:p>
      <w:pPr>
        <w:pStyle w:val="Heading1"/>
      </w:pPr>
      <w:r>
        <w:t>7. Authentication &amp; Authorization</w:t>
      </w:r>
    </w:p>
    <w:p>
      <w:pPr>
        <w:pStyle w:val="Heading2"/>
      </w:pPr>
      <w:r>
        <w:t>7.1 Identity Provider – Duende IdentityServer</w:t>
      </w:r>
    </w:p>
    <w:p>
      <w:r>
        <w:rPr>
          <w:b w:val="0"/>
          <w:i w:val="0"/>
        </w:rPr>
        <w:t>Identity.API implements a full OAuth 2.0 Authorization Server using Duende IdentityServer 8.x. It issues signed JWT access tokens and OpenID Connect ID tokens to all clients.</w:t>
      </w:r>
    </w:p>
    <w:p>
      <w:pPr>
        <w:pStyle w:val="Heading2"/>
      </w:pPr>
      <w:r>
        <w:t>7.2 Authentication Flow</w:t>
      </w:r>
    </w:p>
    <w:p>
      <w:pPr>
        <w:pStyle w:val="CodeBlock"/>
        <w:ind w:left="576"/>
        <w:shd w:val="clear" w:color="auto" w:fill="F5F5F5"/>
      </w:pPr>
      <w:r>
        <w:t>1. Client redirects user to Identity.API  /connect/authorize</w:t>
      </w:r>
    </w:p>
    <w:p>
      <w:pPr>
        <w:pStyle w:val="CodeBlock"/>
        <w:ind w:left="576"/>
        <w:shd w:val="clear" w:color="auto" w:fill="F5F5F5"/>
      </w:pPr>
      <w:r>
        <w:t>2. User authenticates (login form)</w:t>
      </w:r>
    </w:p>
    <w:p>
      <w:pPr>
        <w:pStyle w:val="CodeBlock"/>
        <w:ind w:left="576"/>
        <w:shd w:val="clear" w:color="auto" w:fill="F5F5F5"/>
      </w:pPr>
      <w:r>
        <w:t>3. Identity.API issues authorization code</w:t>
      </w:r>
    </w:p>
    <w:p>
      <w:pPr>
        <w:pStyle w:val="CodeBlock"/>
        <w:ind w:left="576"/>
        <w:shd w:val="clear" w:color="auto" w:fill="F5F5F5"/>
      </w:pPr>
      <w:r>
        <w:t>4. Client exchanges code for tokens  POST /connect/token</w:t>
      </w:r>
    </w:p>
    <w:p>
      <w:pPr>
        <w:pStyle w:val="CodeBlock"/>
        <w:ind w:left="576"/>
        <w:shd w:val="clear" w:color="auto" w:fill="F5F5F5"/>
      </w:pPr>
      <w:r>
        <w:t>5. Access token (JWT) included in every API request:</w:t>
      </w:r>
    </w:p>
    <w:p>
      <w:pPr>
        <w:pStyle w:val="CodeBlock"/>
        <w:ind w:left="576"/>
        <w:shd w:val="clear" w:color="auto" w:fill="F5F5F5"/>
      </w:pPr>
      <w:r>
        <w:t xml:space="preserve">   Authorization: Bearer &lt;token&gt;</w:t>
      </w:r>
    </w:p>
    <w:p>
      <w:pPr>
        <w:pStyle w:val="CodeBlock"/>
        <w:ind w:left="576"/>
        <w:shd w:val="clear" w:color="auto" w:fill="F5F5F5"/>
      </w:pPr>
      <w:r>
        <w:t>6. API services validate token using JWT bearer middleware</w:t>
      </w:r>
    </w:p>
    <w:p>
      <w:pPr>
        <w:pStyle w:val="CodeBlock"/>
        <w:ind w:left="576"/>
        <w:shd w:val="clear" w:color="auto" w:fill="F5F5F5"/>
      </w:pPr>
      <w:r>
        <w:t xml:space="preserve">   (Authority = Identity.API URL, Audience = service-specific)</w:t>
      </w:r>
    </w:p>
    <w:p>
      <w:pPr>
        <w:pStyle w:val="Heading2"/>
      </w:pPr>
      <w:r>
        <w:t>7.3 Service-Level Audiences</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2672C4"/>
          </w:tcPr>
          <w:p>
            <w:r>
              <w:rPr>
                <w:b/>
                <w:color w:val="FFFFFF"/>
              </w:rPr>
              <w:t>Service</w:t>
            </w:r>
          </w:p>
        </w:tc>
        <w:tc>
          <w:tcPr>
            <w:tcW w:type="dxa" w:w="2880"/>
            <w:shd w:val="clear" w:color="auto" w:fill="2672C4"/>
          </w:tcPr>
          <w:p>
            <w:r>
              <w:rPr>
                <w:b/>
                <w:color w:val="FFFFFF"/>
              </w:rPr>
              <w:t>Audience</w:t>
            </w:r>
          </w:p>
        </w:tc>
        <w:tc>
          <w:tcPr>
            <w:tcW w:type="dxa" w:w="4608"/>
            <w:shd w:val="clear" w:color="auto" w:fill="2672C4"/>
          </w:tcPr>
          <w:p>
            <w:r>
              <w:rPr>
                <w:b/>
                <w:color w:val="FFFFFF"/>
              </w:rPr>
              <w:t>Required Scope</w:t>
            </w:r>
          </w:p>
        </w:tc>
      </w:tr>
      <w:tr>
        <w:tc>
          <w:tcPr>
            <w:tcW w:type="dxa" w:w="2880"/>
          </w:tcPr>
          <w:p>
            <w:r>
              <w:rPr>
                <w:sz w:val="20"/>
              </w:rPr>
              <w:t>Basket.API</w:t>
            </w:r>
          </w:p>
        </w:tc>
        <w:tc>
          <w:tcPr>
            <w:tcW w:type="dxa" w:w="2880"/>
          </w:tcPr>
          <w:p>
            <w:r>
              <w:rPr>
                <w:sz w:val="20"/>
              </w:rPr>
              <w:t>basket</w:t>
            </w:r>
          </w:p>
        </w:tc>
        <w:tc>
          <w:tcPr>
            <w:tcW w:type="dxa" w:w="4608"/>
          </w:tcPr>
          <w:p>
            <w:r>
              <w:rPr>
                <w:sz w:val="20"/>
              </w:rPr>
              <w:t>basket</w:t>
            </w:r>
          </w:p>
        </w:tc>
      </w:tr>
      <w:tr>
        <w:tc>
          <w:tcPr>
            <w:tcW w:type="dxa" w:w="2880"/>
          </w:tcPr>
          <w:p>
            <w:r>
              <w:rPr>
                <w:sz w:val="20"/>
              </w:rPr>
              <w:t>Catalog.API</w:t>
            </w:r>
          </w:p>
        </w:tc>
        <w:tc>
          <w:tcPr>
            <w:tcW w:type="dxa" w:w="2880"/>
          </w:tcPr>
          <w:p>
            <w:r>
              <w:rPr>
                <w:sz w:val="20"/>
              </w:rPr>
              <w:t>catalog</w:t>
            </w:r>
          </w:p>
        </w:tc>
        <w:tc>
          <w:tcPr>
            <w:tcW w:type="dxa" w:w="4608"/>
          </w:tcPr>
          <w:p>
            <w:r>
              <w:rPr>
                <w:sz w:val="20"/>
              </w:rPr>
              <w:t>catalog</w:t>
            </w:r>
          </w:p>
        </w:tc>
      </w:tr>
      <w:tr>
        <w:tc>
          <w:tcPr>
            <w:tcW w:type="dxa" w:w="2880"/>
          </w:tcPr>
          <w:p>
            <w:r>
              <w:rPr>
                <w:sz w:val="20"/>
              </w:rPr>
              <w:t>Ordering.API</w:t>
            </w:r>
          </w:p>
        </w:tc>
        <w:tc>
          <w:tcPr>
            <w:tcW w:type="dxa" w:w="2880"/>
          </w:tcPr>
          <w:p>
            <w:r>
              <w:rPr>
                <w:sz w:val="20"/>
              </w:rPr>
              <w:t>ordering</w:t>
            </w:r>
          </w:p>
        </w:tc>
        <w:tc>
          <w:tcPr>
            <w:tcW w:type="dxa" w:w="4608"/>
          </w:tcPr>
          <w:p>
            <w:r>
              <w:rPr>
                <w:sz w:val="20"/>
              </w:rPr>
              <w:t>orders</w:t>
            </w:r>
          </w:p>
        </w:tc>
      </w:tr>
      <w:tr>
        <w:tc>
          <w:tcPr>
            <w:tcW w:type="dxa" w:w="2880"/>
          </w:tcPr>
          <w:p>
            <w:r>
              <w:rPr>
                <w:sz w:val="20"/>
              </w:rPr>
              <w:t>Webhooks.API</w:t>
            </w:r>
          </w:p>
        </w:tc>
        <w:tc>
          <w:tcPr>
            <w:tcW w:type="dxa" w:w="2880"/>
          </w:tcPr>
          <w:p>
            <w:r>
              <w:rPr>
                <w:sz w:val="20"/>
              </w:rPr>
              <w:t>webhooks</w:t>
            </w:r>
          </w:p>
        </w:tc>
        <w:tc>
          <w:tcPr>
            <w:tcW w:type="dxa" w:w="4608"/>
          </w:tcPr>
          <w:p>
            <w:r>
              <w:rPr>
                <w:sz w:val="20"/>
              </w:rPr>
              <w:t>webhooks</w:t>
            </w:r>
          </w:p>
        </w:tc>
      </w:tr>
    </w:tbl>
    <w:p>
      <w:pPr>
        <w:pStyle w:val="Heading2"/>
      </w:pPr>
      <w:r>
        <w:t>7.4 Token Propagation</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2672C4"/>
          </w:tcPr>
          <w:p>
            <w:r>
              <w:rPr>
                <w:b/>
                <w:color w:val="FFFFFF"/>
              </w:rPr>
              <w:t>Caller</w:t>
            </w:r>
          </w:p>
        </w:tc>
        <w:tc>
          <w:tcPr>
            <w:tcW w:type="dxa" w:w="2160"/>
            <w:shd w:val="clear" w:color="auto" w:fill="2672C4"/>
          </w:tcPr>
          <w:p>
            <w:r>
              <w:rPr>
                <w:b/>
                <w:color w:val="FFFFFF"/>
              </w:rPr>
              <w:t>Callee</w:t>
            </w:r>
          </w:p>
        </w:tc>
        <w:tc>
          <w:tcPr>
            <w:tcW w:type="dxa" w:w="6048"/>
            <w:shd w:val="clear" w:color="auto" w:fill="2672C4"/>
          </w:tcPr>
          <w:p>
            <w:r>
              <w:rPr>
                <w:b/>
                <w:color w:val="FFFFFF"/>
              </w:rPr>
              <w:t>Mechanism</w:t>
            </w:r>
          </w:p>
        </w:tc>
      </w:tr>
      <w:tr>
        <w:tc>
          <w:tcPr>
            <w:tcW w:type="dxa" w:w="2160"/>
          </w:tcPr>
          <w:p>
            <w:r>
              <w:rPr>
                <w:sz w:val="20"/>
              </w:rPr>
              <w:t>WebApp</w:t>
            </w:r>
          </w:p>
        </w:tc>
        <w:tc>
          <w:tcPr>
            <w:tcW w:type="dxa" w:w="2160"/>
          </w:tcPr>
          <w:p>
            <w:r>
              <w:rPr>
                <w:sz w:val="20"/>
              </w:rPr>
              <w:t>Basket.API</w:t>
            </w:r>
          </w:p>
        </w:tc>
        <w:tc>
          <w:tcPr>
            <w:tcW w:type="dxa" w:w="6048"/>
          </w:tcPr>
          <w:p>
            <w:r>
              <w:rPr>
                <w:sz w:val="20"/>
              </w:rPr>
              <w:t>JWT in gRPC metadata header</w:t>
            </w:r>
          </w:p>
        </w:tc>
      </w:tr>
      <w:tr>
        <w:tc>
          <w:tcPr>
            <w:tcW w:type="dxa" w:w="2160"/>
          </w:tcPr>
          <w:p>
            <w:r>
              <w:rPr>
                <w:sz w:val="20"/>
              </w:rPr>
              <w:t>WebApp</w:t>
            </w:r>
          </w:p>
        </w:tc>
        <w:tc>
          <w:tcPr>
            <w:tcW w:type="dxa" w:w="2160"/>
          </w:tcPr>
          <w:p>
            <w:r>
              <w:rPr>
                <w:sz w:val="20"/>
              </w:rPr>
              <w:t>Ordering.API</w:t>
            </w:r>
          </w:p>
        </w:tc>
        <w:tc>
          <w:tcPr>
            <w:tcW w:type="dxa" w:w="6048"/>
          </w:tcPr>
          <w:p>
            <w:r>
              <w:rPr>
                <w:sz w:val="20"/>
              </w:rPr>
              <w:t>JWT in HTTP Authorization header</w:t>
            </w:r>
          </w:p>
        </w:tc>
      </w:tr>
      <w:tr>
        <w:tc>
          <w:tcPr>
            <w:tcW w:type="dxa" w:w="2160"/>
          </w:tcPr>
          <w:p>
            <w:r>
              <w:rPr>
                <w:sz w:val="20"/>
              </w:rPr>
              <w:t>WebApp</w:t>
            </w:r>
          </w:p>
        </w:tc>
        <w:tc>
          <w:tcPr>
            <w:tcW w:type="dxa" w:w="2160"/>
          </w:tcPr>
          <w:p>
            <w:r>
              <w:rPr>
                <w:sz w:val="20"/>
              </w:rPr>
              <w:t>Catalog.API</w:t>
            </w:r>
          </w:p>
        </w:tc>
        <w:tc>
          <w:tcPr>
            <w:tcW w:type="dxa" w:w="6048"/>
          </w:tcPr>
          <w:p>
            <w:r>
              <w:rPr>
                <w:sz w:val="20"/>
              </w:rPr>
              <w:t>JWT in HTTP Authorization header (optional)</w:t>
            </w:r>
          </w:p>
        </w:tc>
      </w:tr>
      <w:tr>
        <w:tc>
          <w:tcPr>
            <w:tcW w:type="dxa" w:w="2160"/>
          </w:tcPr>
          <w:p>
            <w:r>
              <w:rPr>
                <w:sz w:val="20"/>
              </w:rPr>
              <w:t>ClientApp</w:t>
            </w:r>
          </w:p>
        </w:tc>
        <w:tc>
          <w:tcPr>
            <w:tcW w:type="dxa" w:w="2160"/>
          </w:tcPr>
          <w:p>
            <w:r>
              <w:rPr>
                <w:sz w:val="20"/>
              </w:rPr>
              <w:t>Basket.API</w:t>
            </w:r>
          </w:p>
        </w:tc>
        <w:tc>
          <w:tcPr>
            <w:tcW w:type="dxa" w:w="6048"/>
          </w:tcPr>
          <w:p>
            <w:r>
              <w:rPr>
                <w:sz w:val="20"/>
              </w:rPr>
              <w:t>JWT in gRPC metadata header</w:t>
            </w:r>
          </w:p>
        </w:tc>
      </w:tr>
    </w:tbl>
    <w:p>
      <w:pPr>
        <w:pStyle w:val="Heading2"/>
      </w:pPr>
      <w:r>
        <w:t>7.5 Authorization Policies</w:t>
      </w:r>
    </w:p>
    <w:p>
      <w:r>
        <w:rPr>
          <w:b w:val="0"/>
          <w:i w:val="0"/>
        </w:rPr>
        <w:t>Ordering.API and Webhooks.API endpoints require authorisation (RequireAuthorization()). Catalog.API browse endpoints are publicly accessible. Webhook delivery endpoints on WebhookClient are secured with OIDC.</w:t>
      </w:r>
    </w:p>
    <w:p>
      <w:r>
        <w:br w:type="page"/>
      </w:r>
    </w:p>
    <w:p>
      <w:pPr>
        <w:pStyle w:val="Heading1"/>
      </w:pPr>
      <w:r>
        <w:t>8. Event-Driven Architecture</w:t>
      </w:r>
    </w:p>
    <w:p>
      <w:pPr>
        <w:pStyle w:val="Heading2"/>
      </w:pPr>
      <w:r>
        <w:t>8.1 Event Bus Implementation</w:t>
      </w:r>
    </w:p>
    <w:p>
      <w:r>
        <w:rPr>
          <w:b w:val="0"/>
          <w:i w:val="0"/>
        </w:rPr>
        <w:t>The EventBusRabbitMQ library provides the IEventBus abstraction backed by RabbitMQ. A single direct exchange ("eshop_event_bus") routes messages by event class name.</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2672C4"/>
          </w:tcPr>
          <w:p>
            <w:r>
              <w:rPr>
                <w:b/>
                <w:color w:val="FFFFFF"/>
              </w:rPr>
              <w:t>Property</w:t>
            </w:r>
          </w:p>
        </w:tc>
        <w:tc>
          <w:tcPr>
            <w:tcW w:type="dxa" w:w="7200"/>
            <w:shd w:val="clear" w:color="auto" w:fill="2672C4"/>
          </w:tcPr>
          <w:p>
            <w:r>
              <w:rPr>
                <w:b/>
                <w:color w:val="FFFFFF"/>
              </w:rPr>
              <w:t>Value</w:t>
            </w:r>
          </w:p>
        </w:tc>
      </w:tr>
      <w:tr>
        <w:tc>
          <w:tcPr>
            <w:tcW w:type="dxa" w:w="3168"/>
          </w:tcPr>
          <w:p>
            <w:r>
              <w:rPr>
                <w:sz w:val="20"/>
              </w:rPr>
              <w:t>Exchange Type</w:t>
            </w:r>
          </w:p>
        </w:tc>
        <w:tc>
          <w:tcPr>
            <w:tcW w:type="dxa" w:w="7200"/>
          </w:tcPr>
          <w:p>
            <w:r>
              <w:rPr>
                <w:sz w:val="20"/>
              </w:rPr>
              <w:t>Direct</w:t>
            </w:r>
          </w:p>
        </w:tc>
      </w:tr>
      <w:tr>
        <w:tc>
          <w:tcPr>
            <w:tcW w:type="dxa" w:w="3168"/>
          </w:tcPr>
          <w:p>
            <w:r>
              <w:rPr>
                <w:sz w:val="20"/>
              </w:rPr>
              <w:t>Exchange Name</w:t>
            </w:r>
          </w:p>
        </w:tc>
        <w:tc>
          <w:tcPr>
            <w:tcW w:type="dxa" w:w="7200"/>
          </w:tcPr>
          <w:p>
            <w:r>
              <w:rPr>
                <w:sz w:val="20"/>
              </w:rPr>
              <w:t>eshop_event_bus</w:t>
            </w:r>
          </w:p>
        </w:tc>
      </w:tr>
      <w:tr>
        <w:tc>
          <w:tcPr>
            <w:tcW w:type="dxa" w:w="3168"/>
          </w:tcPr>
          <w:p>
            <w:r>
              <w:rPr>
                <w:sz w:val="20"/>
              </w:rPr>
              <w:t>Routing Key</w:t>
            </w:r>
          </w:p>
        </w:tc>
        <w:tc>
          <w:tcPr>
            <w:tcW w:type="dxa" w:w="7200"/>
          </w:tcPr>
          <w:p>
            <w:r>
              <w:rPr>
                <w:sz w:val="20"/>
              </w:rPr>
              <w:t>Event class name (e.g., OrderStartedIntegrationEvent)</w:t>
            </w:r>
          </w:p>
        </w:tc>
      </w:tr>
      <w:tr>
        <w:tc>
          <w:tcPr>
            <w:tcW w:type="dxa" w:w="3168"/>
          </w:tcPr>
          <w:p>
            <w:r>
              <w:rPr>
                <w:sz w:val="20"/>
              </w:rPr>
              <w:t>Message Format</w:t>
            </w:r>
          </w:p>
        </w:tc>
        <w:tc>
          <w:tcPr>
            <w:tcW w:type="dxa" w:w="7200"/>
          </w:tcPr>
          <w:p>
            <w:r>
              <w:rPr>
                <w:sz w:val="20"/>
              </w:rPr>
              <w:t>JSON (System.Text.Json)</w:t>
            </w:r>
          </w:p>
        </w:tc>
      </w:tr>
      <w:tr>
        <w:tc>
          <w:tcPr>
            <w:tcW w:type="dxa" w:w="3168"/>
          </w:tcPr>
          <w:p>
            <w:r>
              <w:rPr>
                <w:sz w:val="20"/>
              </w:rPr>
              <w:t>Retry Policy</w:t>
            </w:r>
          </w:p>
        </w:tc>
        <w:tc>
          <w:tcPr>
            <w:tcW w:type="dxa" w:w="7200"/>
          </w:tcPr>
          <w:p>
            <w:r>
              <w:rPr>
                <w:sz w:val="20"/>
              </w:rPr>
              <w:t>Polly exponential backoff</w:t>
            </w:r>
          </w:p>
        </w:tc>
      </w:tr>
      <w:tr>
        <w:tc>
          <w:tcPr>
            <w:tcW w:type="dxa" w:w="3168"/>
          </w:tcPr>
          <w:p>
            <w:r>
              <w:rPr>
                <w:sz w:val="20"/>
              </w:rPr>
              <w:t>Telemetry</w:t>
            </w:r>
          </w:p>
        </w:tc>
        <w:tc>
          <w:tcPr>
            <w:tcW w:type="dxa" w:w="7200"/>
          </w:tcPr>
          <w:p>
            <w:r>
              <w:rPr>
                <w:sz w:val="20"/>
              </w:rPr>
              <w:t>OpenTelemetry activity propagation</w:t>
            </w:r>
          </w:p>
        </w:tc>
      </w:tr>
    </w:tbl>
    <w:p>
      <w:pPr>
        <w:pStyle w:val="Heading2"/>
      </w:pPr>
      <w:r>
        <w:t>8.2 Integration Event Catalogue</w:t>
      </w:r>
    </w:p>
    <w:tbl>
      <w:tblPr>
        <w:tblStyle w:val="TableGrid"/>
        <w:tblW w:type="auto" w:w="0"/>
        <w:jc w:val="left"/>
        <w:tblLook w:firstColumn="1" w:firstRow="1" w:lastColumn="0" w:lastRow="0" w:noHBand="0" w:noVBand="1" w:val="04A0"/>
      </w:tblPr>
      <w:tblGrid>
        <w:gridCol w:w="3120"/>
        <w:gridCol w:w="3120"/>
        <w:gridCol w:w="3120"/>
      </w:tblGrid>
      <w:tr>
        <w:tc>
          <w:tcPr>
            <w:tcW w:type="dxa" w:w="5040"/>
            <w:shd w:val="clear" w:color="auto" w:fill="2672C4"/>
          </w:tcPr>
          <w:p>
            <w:r>
              <w:rPr>
                <w:b/>
                <w:color w:val="FFFFFF"/>
              </w:rPr>
              <w:t>Event</w:t>
            </w:r>
          </w:p>
        </w:tc>
        <w:tc>
          <w:tcPr>
            <w:tcW w:type="dxa" w:w="2160"/>
            <w:shd w:val="clear" w:color="auto" w:fill="2672C4"/>
          </w:tcPr>
          <w:p>
            <w:r>
              <w:rPr>
                <w:b/>
                <w:color w:val="FFFFFF"/>
              </w:rPr>
              <w:t>Publisher</w:t>
            </w:r>
          </w:p>
        </w:tc>
        <w:tc>
          <w:tcPr>
            <w:tcW w:type="dxa" w:w="3168"/>
            <w:shd w:val="clear" w:color="auto" w:fill="2672C4"/>
          </w:tcPr>
          <w:p>
            <w:r>
              <w:rPr>
                <w:b/>
                <w:color w:val="FFFFFF"/>
              </w:rPr>
              <w:t>Subscribers</w:t>
            </w:r>
          </w:p>
        </w:tc>
      </w:tr>
      <w:tr>
        <w:tc>
          <w:tcPr>
            <w:tcW w:type="dxa" w:w="5040"/>
          </w:tcPr>
          <w:p>
            <w:r>
              <w:rPr>
                <w:sz w:val="20"/>
              </w:rPr>
              <w:t>OrderStartedIntegrationEvent</w:t>
            </w:r>
          </w:p>
        </w:tc>
        <w:tc>
          <w:tcPr>
            <w:tcW w:type="dxa" w:w="2160"/>
          </w:tcPr>
          <w:p>
            <w:r>
              <w:rPr>
                <w:sz w:val="20"/>
              </w:rPr>
              <w:t>Ordering.API</w:t>
            </w:r>
          </w:p>
        </w:tc>
        <w:tc>
          <w:tcPr>
            <w:tcW w:type="dxa" w:w="3168"/>
          </w:tcPr>
          <w:p>
            <w:r>
              <w:rPr>
                <w:sz w:val="20"/>
              </w:rPr>
              <w:t>Basket.API</w:t>
            </w:r>
          </w:p>
        </w:tc>
      </w:tr>
      <w:tr>
        <w:tc>
          <w:tcPr>
            <w:tcW w:type="dxa" w:w="5040"/>
          </w:tcPr>
          <w:p>
            <w:r>
              <w:rPr>
                <w:sz w:val="20"/>
              </w:rPr>
              <w:t>GracePeriodConfirmedIntegrationEvent</w:t>
            </w:r>
          </w:p>
        </w:tc>
        <w:tc>
          <w:tcPr>
            <w:tcW w:type="dxa" w:w="2160"/>
          </w:tcPr>
          <w:p>
            <w:r>
              <w:rPr>
                <w:sz w:val="20"/>
              </w:rPr>
              <w:t>OrderProcessor</w:t>
            </w:r>
          </w:p>
        </w:tc>
        <w:tc>
          <w:tcPr>
            <w:tcW w:type="dxa" w:w="3168"/>
          </w:tcPr>
          <w:p>
            <w:r>
              <w:rPr>
                <w:sz w:val="20"/>
              </w:rPr>
              <w:t>Ordering.API</w:t>
            </w:r>
          </w:p>
        </w:tc>
      </w:tr>
      <w:tr>
        <w:tc>
          <w:tcPr>
            <w:tcW w:type="dxa" w:w="5040"/>
          </w:tcPr>
          <w:p>
            <w:r>
              <w:rPr>
                <w:sz w:val="20"/>
              </w:rPr>
              <w:t>OrderStatusChangedToSubmittedIntegrationEvent</w:t>
            </w:r>
          </w:p>
        </w:tc>
        <w:tc>
          <w:tcPr>
            <w:tcW w:type="dxa" w:w="2160"/>
          </w:tcPr>
          <w:p>
            <w:r>
              <w:rPr>
                <w:sz w:val="20"/>
              </w:rPr>
              <w:t>Ordering.API</w:t>
            </w:r>
          </w:p>
        </w:tc>
        <w:tc>
          <w:tcPr>
            <w:tcW w:type="dxa" w:w="3168"/>
          </w:tcPr>
          <w:p>
            <w:r>
              <w:rPr>
                <w:sz w:val="20"/>
              </w:rPr>
              <w:t>Webhooks.API</w:t>
            </w:r>
          </w:p>
        </w:tc>
      </w:tr>
      <w:tr>
        <w:tc>
          <w:tcPr>
            <w:tcW w:type="dxa" w:w="5040"/>
          </w:tcPr>
          <w:p>
            <w:r>
              <w:rPr>
                <w:sz w:val="20"/>
              </w:rPr>
              <w:t>OrderStatusChangedToAwaitingValidationIntegrationEvent</w:t>
            </w:r>
          </w:p>
        </w:tc>
        <w:tc>
          <w:tcPr>
            <w:tcW w:type="dxa" w:w="2160"/>
          </w:tcPr>
          <w:p>
            <w:r>
              <w:rPr>
                <w:sz w:val="20"/>
              </w:rPr>
              <w:t>Ordering.API</w:t>
            </w:r>
          </w:p>
        </w:tc>
        <w:tc>
          <w:tcPr>
            <w:tcW w:type="dxa" w:w="3168"/>
          </w:tcPr>
          <w:p>
            <w:r>
              <w:rPr>
                <w:sz w:val="20"/>
              </w:rPr>
              <w:t>Catalog.API, Webhooks.API</w:t>
            </w:r>
          </w:p>
        </w:tc>
      </w:tr>
      <w:tr>
        <w:tc>
          <w:tcPr>
            <w:tcW w:type="dxa" w:w="5040"/>
          </w:tcPr>
          <w:p>
            <w:r>
              <w:rPr>
                <w:sz w:val="20"/>
              </w:rPr>
              <w:t>OrderStatusChangedToStockConfirmedIntegrationEvent</w:t>
            </w:r>
          </w:p>
        </w:tc>
        <w:tc>
          <w:tcPr>
            <w:tcW w:type="dxa" w:w="2160"/>
          </w:tcPr>
          <w:p>
            <w:r>
              <w:rPr>
                <w:sz w:val="20"/>
              </w:rPr>
              <w:t>Ordering.API</w:t>
            </w:r>
          </w:p>
        </w:tc>
        <w:tc>
          <w:tcPr>
            <w:tcW w:type="dxa" w:w="3168"/>
          </w:tcPr>
          <w:p>
            <w:r>
              <w:rPr>
                <w:sz w:val="20"/>
              </w:rPr>
              <w:t>PaymentProcessor, Webhooks.API</w:t>
            </w:r>
          </w:p>
        </w:tc>
      </w:tr>
      <w:tr>
        <w:tc>
          <w:tcPr>
            <w:tcW w:type="dxa" w:w="5040"/>
          </w:tcPr>
          <w:p>
            <w:r>
              <w:rPr>
                <w:sz w:val="20"/>
              </w:rPr>
              <w:t>OrderStatusChangedToPaidIntegrationEvent</w:t>
            </w:r>
          </w:p>
        </w:tc>
        <w:tc>
          <w:tcPr>
            <w:tcW w:type="dxa" w:w="2160"/>
          </w:tcPr>
          <w:p>
            <w:r>
              <w:rPr>
                <w:sz w:val="20"/>
              </w:rPr>
              <w:t>Ordering.API</w:t>
            </w:r>
          </w:p>
        </w:tc>
        <w:tc>
          <w:tcPr>
            <w:tcW w:type="dxa" w:w="3168"/>
          </w:tcPr>
          <w:p>
            <w:r>
              <w:rPr>
                <w:sz w:val="20"/>
              </w:rPr>
              <w:t>Catalog.API, Webhooks.API</w:t>
            </w:r>
          </w:p>
        </w:tc>
      </w:tr>
      <w:tr>
        <w:tc>
          <w:tcPr>
            <w:tcW w:type="dxa" w:w="5040"/>
          </w:tcPr>
          <w:p>
            <w:r>
              <w:rPr>
                <w:sz w:val="20"/>
              </w:rPr>
              <w:t>OrderStatusChangedToShippedIntegrationEvent</w:t>
            </w:r>
          </w:p>
        </w:tc>
        <w:tc>
          <w:tcPr>
            <w:tcW w:type="dxa" w:w="2160"/>
          </w:tcPr>
          <w:p>
            <w:r>
              <w:rPr>
                <w:sz w:val="20"/>
              </w:rPr>
              <w:t>Ordering.API</w:t>
            </w:r>
          </w:p>
        </w:tc>
        <w:tc>
          <w:tcPr>
            <w:tcW w:type="dxa" w:w="3168"/>
          </w:tcPr>
          <w:p>
            <w:r>
              <w:rPr>
                <w:sz w:val="20"/>
              </w:rPr>
              <w:t>Webhooks.API</w:t>
            </w:r>
          </w:p>
        </w:tc>
      </w:tr>
      <w:tr>
        <w:tc>
          <w:tcPr>
            <w:tcW w:type="dxa" w:w="5040"/>
          </w:tcPr>
          <w:p>
            <w:r>
              <w:rPr>
                <w:sz w:val="20"/>
              </w:rPr>
              <w:t>OrderStatusChangedToCancelledIntegrationEvent</w:t>
            </w:r>
          </w:p>
        </w:tc>
        <w:tc>
          <w:tcPr>
            <w:tcW w:type="dxa" w:w="2160"/>
          </w:tcPr>
          <w:p>
            <w:r>
              <w:rPr>
                <w:sz w:val="20"/>
              </w:rPr>
              <w:t>Ordering.API</w:t>
            </w:r>
          </w:p>
        </w:tc>
        <w:tc>
          <w:tcPr>
            <w:tcW w:type="dxa" w:w="3168"/>
          </w:tcPr>
          <w:p>
            <w:r>
              <w:rPr>
                <w:sz w:val="20"/>
              </w:rPr>
              <w:t>Webhooks.API</w:t>
            </w:r>
          </w:p>
        </w:tc>
      </w:tr>
      <w:tr>
        <w:tc>
          <w:tcPr>
            <w:tcW w:type="dxa" w:w="5040"/>
          </w:tcPr>
          <w:p>
            <w:r>
              <w:rPr>
                <w:sz w:val="20"/>
              </w:rPr>
              <w:t>ProductPriceChangedIntegrationEvent</w:t>
            </w:r>
          </w:p>
        </w:tc>
        <w:tc>
          <w:tcPr>
            <w:tcW w:type="dxa" w:w="2160"/>
          </w:tcPr>
          <w:p>
            <w:r>
              <w:rPr>
                <w:sz w:val="20"/>
              </w:rPr>
              <w:t>Catalog.API</w:t>
            </w:r>
          </w:p>
        </w:tc>
        <w:tc>
          <w:tcPr>
            <w:tcW w:type="dxa" w:w="3168"/>
          </w:tcPr>
          <w:p>
            <w:r>
              <w:rPr>
                <w:sz w:val="20"/>
              </w:rPr>
              <w:t>(none in current impl)</w:t>
            </w:r>
          </w:p>
        </w:tc>
      </w:tr>
    </w:tbl>
    <w:p>
      <w:pPr>
        <w:pStyle w:val="Heading2"/>
      </w:pPr>
      <w:r>
        <w:t>8.3 Outbox / Guaranteed Delivery</w:t>
      </w:r>
    </w:p>
    <w:p>
      <w:r>
        <w:rPr>
          <w:b w:val="0"/>
          <w:i w:val="0"/>
        </w:rPr>
        <w:t>Before publishing to RabbitMQ, each event is written atomically to the IntegrationEventLog table in the same EF Core transaction as the domain change. A background process retries events in the NotPublished or PublishedFailed state, ensuring at-least-once delivery even if RabbitMQ is temporarily unavailable.</w:t>
      </w:r>
    </w:p>
    <w:p>
      <w:pPr>
        <w:pStyle w:val="Heading2"/>
      </w:pPr>
      <w:r>
        <w:t>8.4 Idempotent Event Handling</w:t>
      </w:r>
    </w:p>
    <w:p>
      <w:r>
        <w:rPr>
          <w:b w:val="0"/>
          <w:i w:val="0"/>
        </w:rPr>
        <w:t>Ordering.API uses a RequestManager that records processed request IDs (GUIDs) in the database. The IdentifiedCommand&lt;T&gt; decorator wraps commands to detect and discard duplicate requests, enabling safe retry from event consumers.</w:t>
      </w:r>
    </w:p>
    <w:p>
      <w:r>
        <w:br w:type="page"/>
      </w:r>
    </w:p>
    <w:p>
      <w:pPr>
        <w:pStyle w:val="Heading1"/>
      </w:pPr>
      <w:r>
        <w:t>9. Frontend Technologies</w:t>
      </w:r>
    </w:p>
    <w:p>
      <w:pPr>
        <w:pStyle w:val="Heading2"/>
      </w:pPr>
      <w:r>
        <w:t>9.1 Technology Comparison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2672C4"/>
          </w:tcPr>
          <w:p>
            <w:r>
              <w:rPr>
                <w:b/>
                <w:color w:val="FFFFFF"/>
              </w:rPr>
              <w:t>Frontend</w:t>
            </w:r>
          </w:p>
        </w:tc>
        <w:tc>
          <w:tcPr>
            <w:tcW w:type="dxa" w:w="2592"/>
            <w:shd w:val="clear" w:color="auto" w:fill="2672C4"/>
          </w:tcPr>
          <w:p>
            <w:r>
              <w:rPr>
                <w:b/>
                <w:color w:val="FFFFFF"/>
              </w:rPr>
              <w:t>Technology</w:t>
            </w:r>
          </w:p>
        </w:tc>
        <w:tc>
          <w:tcPr>
            <w:tcW w:type="dxa" w:w="3168"/>
            <w:shd w:val="clear" w:color="auto" w:fill="2672C4"/>
          </w:tcPr>
          <w:p>
            <w:r>
              <w:rPr>
                <w:b/>
                <w:color w:val="FFFFFF"/>
              </w:rPr>
              <w:t>Target</w:t>
            </w:r>
          </w:p>
        </w:tc>
        <w:tc>
          <w:tcPr>
            <w:tcW w:type="dxa" w:w="2592"/>
            <w:shd w:val="clear" w:color="auto" w:fill="2672C4"/>
          </w:tcPr>
          <w:p>
            <w:r>
              <w:rPr>
                <w:b/>
                <w:color w:val="FFFFFF"/>
              </w:rPr>
              <w:t>Code Sharing</w:t>
            </w:r>
          </w:p>
        </w:tc>
      </w:tr>
      <w:tr>
        <w:tc>
          <w:tcPr>
            <w:tcW w:type="dxa" w:w="2016"/>
          </w:tcPr>
          <w:p>
            <w:r>
              <w:rPr>
                <w:sz w:val="20"/>
              </w:rPr>
              <w:t>WebApp</w:t>
            </w:r>
          </w:p>
        </w:tc>
        <w:tc>
          <w:tcPr>
            <w:tcW w:type="dxa" w:w="2592"/>
          </w:tcPr>
          <w:p>
            <w:r>
              <w:rPr>
                <w:sz w:val="20"/>
              </w:rPr>
              <w:t>Blazor Server</w:t>
            </w:r>
          </w:p>
        </w:tc>
        <w:tc>
          <w:tcPr>
            <w:tcW w:type="dxa" w:w="3168"/>
          </w:tcPr>
          <w:p>
            <w:r>
              <w:rPr>
                <w:sz w:val="20"/>
              </w:rPr>
              <w:t>Browser (all platforms)</w:t>
            </w:r>
          </w:p>
        </w:tc>
        <w:tc>
          <w:tcPr>
            <w:tcW w:type="dxa" w:w="2592"/>
          </w:tcPr>
          <w:p>
            <w:r>
              <w:rPr>
                <w:sz w:val="20"/>
              </w:rPr>
              <w:t>Uses WebAppComponents</w:t>
            </w:r>
          </w:p>
        </w:tc>
      </w:tr>
      <w:tr>
        <w:tc>
          <w:tcPr>
            <w:tcW w:type="dxa" w:w="2016"/>
          </w:tcPr>
          <w:p>
            <w:r>
              <w:rPr>
                <w:sz w:val="20"/>
              </w:rPr>
              <w:t>ClientApp</w:t>
            </w:r>
          </w:p>
        </w:tc>
        <w:tc>
          <w:tcPr>
            <w:tcW w:type="dxa" w:w="2592"/>
          </w:tcPr>
          <w:p>
            <w:r>
              <w:rPr>
                <w:sz w:val="20"/>
              </w:rPr>
              <w:t>.NET MAUI</w:t>
            </w:r>
          </w:p>
        </w:tc>
        <w:tc>
          <w:tcPr>
            <w:tcW w:type="dxa" w:w="3168"/>
          </w:tcPr>
          <w:p>
            <w:r>
              <w:rPr>
                <w:sz w:val="20"/>
              </w:rPr>
              <w:t>Android, iOS, macOS, Windows</w:t>
            </w:r>
          </w:p>
        </w:tc>
        <w:tc>
          <w:tcPr>
            <w:tcW w:type="dxa" w:w="2592"/>
          </w:tcPr>
          <w:p>
            <w:r>
              <w:rPr>
                <w:sz w:val="20"/>
              </w:rPr>
              <w:t>Own MVVM ViewModels/Views</w:t>
            </w:r>
          </w:p>
        </w:tc>
      </w:tr>
      <w:tr>
        <w:tc>
          <w:tcPr>
            <w:tcW w:type="dxa" w:w="2016"/>
          </w:tcPr>
          <w:p>
            <w:r>
              <w:rPr>
                <w:sz w:val="20"/>
              </w:rPr>
              <w:t>HybridApp</w:t>
            </w:r>
          </w:p>
        </w:tc>
        <w:tc>
          <w:tcPr>
            <w:tcW w:type="dxa" w:w="2592"/>
          </w:tcPr>
          <w:p>
            <w:r>
              <w:rPr>
                <w:sz w:val="20"/>
              </w:rPr>
              <w:t>MAUI Blazor Hybrid</w:t>
            </w:r>
          </w:p>
        </w:tc>
        <w:tc>
          <w:tcPr>
            <w:tcW w:type="dxa" w:w="3168"/>
          </w:tcPr>
          <w:p>
            <w:r>
              <w:rPr>
                <w:sz w:val="20"/>
              </w:rPr>
              <w:t>Android, iOS, macOS, Windows</w:t>
            </w:r>
          </w:p>
        </w:tc>
        <w:tc>
          <w:tcPr>
            <w:tcW w:type="dxa" w:w="2592"/>
          </w:tcPr>
          <w:p>
            <w:r>
              <w:rPr>
                <w:sz w:val="20"/>
              </w:rPr>
              <w:t>Uses WebAppComponents (100%)</w:t>
            </w:r>
          </w:p>
        </w:tc>
      </w:tr>
      <w:tr>
        <w:tc>
          <w:tcPr>
            <w:tcW w:type="dxa" w:w="2016"/>
          </w:tcPr>
          <w:p>
            <w:r>
              <w:rPr>
                <w:sz w:val="20"/>
              </w:rPr>
              <w:t>WebhookClient</w:t>
            </w:r>
          </w:p>
        </w:tc>
        <w:tc>
          <w:tcPr>
            <w:tcW w:type="dxa" w:w="2592"/>
          </w:tcPr>
          <w:p>
            <w:r>
              <w:rPr>
                <w:sz w:val="20"/>
              </w:rPr>
              <w:t>Blazor Server</w:t>
            </w:r>
          </w:p>
        </w:tc>
        <w:tc>
          <w:tcPr>
            <w:tcW w:type="dxa" w:w="3168"/>
          </w:tcPr>
          <w:p>
            <w:r>
              <w:rPr>
                <w:sz w:val="20"/>
              </w:rPr>
              <w:t>Browser (admin / demo use)</w:t>
            </w:r>
          </w:p>
        </w:tc>
        <w:tc>
          <w:tcPr>
            <w:tcW w:type="dxa" w:w="2592"/>
          </w:tcPr>
          <w:p>
            <w:r>
              <w:rPr>
                <w:sz w:val="20"/>
              </w:rPr>
              <w:t>Standalone</w:t>
            </w:r>
          </w:p>
        </w:tc>
      </w:tr>
    </w:tbl>
    <w:p>
      <w:pPr>
        <w:pStyle w:val="Heading2"/>
      </w:pPr>
      <w:r>
        <w:t>9.2 WebApp (Blazor Server)</w:t>
      </w:r>
    </w:p>
    <w:p>
      <w:r>
        <w:rPr>
          <w:b w:val="0"/>
          <w:i w:val="0"/>
        </w:rPr>
        <w:t>The primary customer-facing web application. Runs with interactive server rendering – the Blazor runtime maintains a persistent SignalR connection to the server for real-time UI updates. Server-side state simplifies order status notifications without extra client infrastructure.</w:t>
      </w:r>
    </w:p>
    <w:p>
      <w:pPr>
        <w:pStyle w:val="ListBullet"/>
        <w:ind w:left="432"/>
      </w:pPr>
      <w:r>
        <w:t>Components: Product grid, product detail, cart flyout, checkout, order history</w:t>
      </w:r>
    </w:p>
    <w:p>
      <w:pPr>
        <w:pStyle w:val="ListBullet"/>
        <w:ind w:left="432"/>
      </w:pPr>
      <w:r>
        <w:t>Real-time: Subscribes to order status events via RabbitMQ, pushes UI updates via SignalR</w:t>
      </w:r>
    </w:p>
    <w:p>
      <w:pPr>
        <w:pStyle w:val="ListBullet"/>
        <w:ind w:left="432"/>
      </w:pPr>
      <w:r>
        <w:t>Image proxy: Serves /product-images/{id} → Catalog.API /pic endpoint</w:t>
      </w:r>
    </w:p>
    <w:p>
      <w:pPr>
        <w:pStyle w:val="Heading2"/>
      </w:pPr>
      <w:r>
        <w:t>9.3 WebAppComponents (Razor Class Library)</w:t>
      </w:r>
    </w:p>
    <w:p>
      <w:r>
        <w:rPr>
          <w:b w:val="0"/>
          <w:i w:val="0"/>
        </w:rPr>
        <w:t>Decouples reusable UI components and service abstractions from the hosting application. CatalogService, OrderingService, and BasketState are defined here, allowing both WebApp and HybridApp to share business logic without duplication.</w:t>
      </w:r>
    </w:p>
    <w:p>
      <w:pPr>
        <w:pStyle w:val="Heading2"/>
      </w:pPr>
      <w:r>
        <w:t>9.4 ClientApp (.NET MAUI)</w:t>
      </w:r>
    </w:p>
    <w:p>
      <w:r>
        <w:rPr>
          <w:b w:val="0"/>
          <w:i w:val="0"/>
        </w:rPr>
        <w:t>A fully native cross-platform application. The MVVM pattern (Microsoft MVVM Toolkit) keeps ViewModels independent of the UI framework, facilitating unit testing. OIDC authentication is handled by IdentityModel.OidcClient with a built-in system browser.</w:t>
      </w:r>
    </w:p>
    <w:p>
      <w:pPr>
        <w:pStyle w:val="Heading2"/>
      </w:pPr>
      <w:r>
        <w:t>9.5 HybridApp (MAUI Blazor Hybrid)</w:t>
      </w:r>
    </w:p>
    <w:p>
      <w:r>
        <w:rPr>
          <w:b w:val="0"/>
          <w:i w:val="0"/>
        </w:rPr>
        <w:t>Demonstrates the code-reuse benefits of Blazor Hybrid – the entire WebAppComponents library runs inside a native WebView on every MAUI platform. Updates to shared components automatically benefit both WebApp and HybridApp.</w:t>
      </w:r>
    </w:p>
    <w:p>
      <w:r>
        <w:br w:type="page"/>
      </w:r>
    </w:p>
    <w:p>
      <w:pPr>
        <w:pStyle w:val="Heading1"/>
      </w:pPr>
      <w:r>
        <w:t>10. Observability &amp; Monitoring</w:t>
      </w:r>
    </w:p>
    <w:p>
      <w:pPr>
        <w:pStyle w:val="Heading2"/>
      </w:pPr>
      <w:r>
        <w:t>10.1 OpenTelemetry</w:t>
      </w:r>
    </w:p>
    <w:p>
      <w:r>
        <w:rPr>
          <w:b w:val="0"/>
          <w:i w:val="0"/>
        </w:rPr>
        <w:t>All services are instrumented with OpenTelemetry via eShop.ServiceDefaults. The three pillars of observability are covered:</w:t>
      </w:r>
    </w:p>
    <w:tbl>
      <w:tblPr>
        <w:tblStyle w:val="TableGrid"/>
        <w:tblW w:type="auto" w:w="0"/>
        <w:jc w:val="left"/>
        <w:tblLook w:firstColumn="1" w:firstRow="1" w:lastColumn="0" w:lastRow="0" w:noHBand="0" w:noVBand="1" w:val="04A0"/>
      </w:tblPr>
      <w:tblGrid>
        <w:gridCol w:w="3120"/>
        <w:gridCol w:w="3120"/>
        <w:gridCol w:w="3120"/>
      </w:tblGrid>
      <w:tr>
        <w:tc>
          <w:tcPr>
            <w:tcW w:type="dxa" w:w="1440"/>
            <w:shd w:val="clear" w:color="auto" w:fill="2672C4"/>
          </w:tcPr>
          <w:p>
            <w:r>
              <w:rPr>
                <w:b/>
                <w:color w:val="FFFFFF"/>
              </w:rPr>
              <w:t>Pillar</w:t>
            </w:r>
          </w:p>
        </w:tc>
        <w:tc>
          <w:tcPr>
            <w:tcW w:type="dxa" w:w="6048"/>
            <w:shd w:val="clear" w:color="auto" w:fill="2672C4"/>
          </w:tcPr>
          <w:p>
            <w:r>
              <w:rPr>
                <w:b/>
                <w:color w:val="FFFFFF"/>
              </w:rPr>
              <w:t>What is collected</w:t>
            </w:r>
          </w:p>
        </w:tc>
        <w:tc>
          <w:tcPr>
            <w:tcW w:type="dxa" w:w="2880"/>
            <w:shd w:val="clear" w:color="auto" w:fill="2672C4"/>
          </w:tcPr>
          <w:p>
            <w:r>
              <w:rPr>
                <w:b/>
                <w:color w:val="FFFFFF"/>
              </w:rPr>
              <w:t>Exporter</w:t>
            </w:r>
          </w:p>
        </w:tc>
      </w:tr>
      <w:tr>
        <w:tc>
          <w:tcPr>
            <w:tcW w:type="dxa" w:w="1440"/>
          </w:tcPr>
          <w:p>
            <w:r>
              <w:rPr>
                <w:sz w:val="20"/>
              </w:rPr>
              <w:t>Logs</w:t>
            </w:r>
          </w:p>
        </w:tc>
        <w:tc>
          <w:tcPr>
            <w:tcW w:type="dxa" w:w="6048"/>
          </w:tcPr>
          <w:p>
            <w:r>
              <w:rPr>
                <w:sz w:val="20"/>
              </w:rPr>
              <w:t>Structured logs with scopes and trace context correlation</w:t>
            </w:r>
          </w:p>
        </w:tc>
        <w:tc>
          <w:tcPr>
            <w:tcW w:type="dxa" w:w="2880"/>
          </w:tcPr>
          <w:p>
            <w:r>
              <w:rPr>
                <w:sz w:val="20"/>
              </w:rPr>
              <w:t>OTLP (configurable)</w:t>
            </w:r>
          </w:p>
        </w:tc>
      </w:tr>
      <w:tr>
        <w:tc>
          <w:tcPr>
            <w:tcW w:type="dxa" w:w="1440"/>
          </w:tcPr>
          <w:p>
            <w:r>
              <w:rPr>
                <w:sz w:val="20"/>
              </w:rPr>
              <w:t>Traces</w:t>
            </w:r>
          </w:p>
        </w:tc>
        <w:tc>
          <w:tcPr>
            <w:tcW w:type="dxa" w:w="6048"/>
          </w:tcPr>
          <w:p>
            <w:r>
              <w:rPr>
                <w:sz w:val="20"/>
              </w:rPr>
              <w:t>Distributed traces across HTTP, gRPC, EF Core, and RabbitMQ</w:t>
            </w:r>
          </w:p>
        </w:tc>
        <w:tc>
          <w:tcPr>
            <w:tcW w:type="dxa" w:w="2880"/>
          </w:tcPr>
          <w:p>
            <w:r>
              <w:rPr>
                <w:sz w:val="20"/>
              </w:rPr>
              <w:t>OTLP (configurable)</w:t>
            </w:r>
          </w:p>
        </w:tc>
      </w:tr>
      <w:tr>
        <w:tc>
          <w:tcPr>
            <w:tcW w:type="dxa" w:w="1440"/>
          </w:tcPr>
          <w:p>
            <w:r>
              <w:rPr>
                <w:sz w:val="20"/>
              </w:rPr>
              <w:t>Metrics</w:t>
            </w:r>
          </w:p>
        </w:tc>
        <w:tc>
          <w:tcPr>
            <w:tcW w:type="dxa" w:w="6048"/>
          </w:tcPr>
          <w:p>
            <w:r>
              <w:rPr>
                <w:sz w:val="20"/>
              </w:rPr>
              <w:t>ASP.NET Core, HTTP client, .NET runtime, and AI operation metrics</w:t>
            </w:r>
          </w:p>
        </w:tc>
        <w:tc>
          <w:tcPr>
            <w:tcW w:type="dxa" w:w="2880"/>
          </w:tcPr>
          <w:p>
            <w:r>
              <w:rPr>
                <w:sz w:val="20"/>
              </w:rPr>
              <w:t>OTLP (configurable)</w:t>
            </w:r>
          </w:p>
        </w:tc>
      </w:tr>
    </w:tbl>
    <w:p>
      <w:pPr>
        <w:pStyle w:val="Heading2"/>
      </w:pPr>
      <w:r>
        <w:t>10.2 .NET Aspire Dashboard</w:t>
      </w:r>
    </w:p>
    <w:p>
      <w:r>
        <w:rPr>
          <w:b w:val="0"/>
          <w:i w:val="0"/>
        </w:rPr>
        <w:t>When running locally, .NET Aspire launches a developer dashboard that aggregates logs, traces, and resource health across all services. Accessible at http://localhost:19888/login?t=&lt;token&gt;.</w:t>
      </w:r>
    </w:p>
    <w:p>
      <w:pPr>
        <w:pStyle w:val="Heading2"/>
      </w:pPr>
      <w:r>
        <w:t>10.3 Health Checks</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2672C4"/>
          </w:tcPr>
          <w:p>
            <w:r>
              <w:rPr>
                <w:b/>
                <w:color w:val="FFFFFF"/>
              </w:rPr>
              <w:t>Endpoint</w:t>
            </w:r>
          </w:p>
        </w:tc>
        <w:tc>
          <w:tcPr>
            <w:tcW w:type="dxa" w:w="8208"/>
            <w:shd w:val="clear" w:color="auto" w:fill="2672C4"/>
          </w:tcPr>
          <w:p>
            <w:r>
              <w:rPr>
                <w:b/>
                <w:color w:val="FFFFFF"/>
              </w:rPr>
              <w:t>Purpose</w:t>
            </w:r>
          </w:p>
        </w:tc>
      </w:tr>
      <w:tr>
        <w:tc>
          <w:tcPr>
            <w:tcW w:type="dxa" w:w="2160"/>
          </w:tcPr>
          <w:p>
            <w:r>
              <w:rPr>
                <w:sz w:val="20"/>
              </w:rPr>
              <w:t>/health</w:t>
            </w:r>
          </w:p>
        </w:tc>
        <w:tc>
          <w:tcPr>
            <w:tcW w:type="dxa" w:w="8208"/>
          </w:tcPr>
          <w:p>
            <w:r>
              <w:rPr>
                <w:sz w:val="20"/>
              </w:rPr>
              <w:t>Readiness probe – checks all dependencies (DB, Redis, RabbitMQ)</w:t>
            </w:r>
          </w:p>
        </w:tc>
      </w:tr>
      <w:tr>
        <w:tc>
          <w:tcPr>
            <w:tcW w:type="dxa" w:w="2160"/>
          </w:tcPr>
          <w:p>
            <w:r>
              <w:rPr>
                <w:sz w:val="20"/>
              </w:rPr>
              <w:t>/alive</w:t>
            </w:r>
          </w:p>
        </w:tc>
        <w:tc>
          <w:tcPr>
            <w:tcW w:type="dxa" w:w="8208"/>
          </w:tcPr>
          <w:p>
            <w:r>
              <w:rPr>
                <w:sz w:val="20"/>
              </w:rPr>
              <w:t>Liveness probe – returns 200 if the process is running</w:t>
            </w:r>
          </w:p>
        </w:tc>
      </w:tr>
    </w:tbl>
    <w:p>
      <w:pPr>
        <w:pStyle w:val="Heading2"/>
      </w:pPr>
      <w:r>
        <w:t>10.4 W3C Trace Context Propagation</w:t>
      </w:r>
    </w:p>
    <w:p>
      <w:r>
        <w:rPr>
          <w:b w:val="0"/>
          <w:i w:val="0"/>
        </w:rPr>
        <w:t>Trace IDs are propagated across HTTP headers (traceparent / tracestate) and gRPC metadata, enabling end-to-end distributed tracing from browser to database.</w:t>
      </w:r>
    </w:p>
    <w:p>
      <w:r>
        <w:br w:type="page"/>
      </w:r>
    </w:p>
    <w:p>
      <w:pPr>
        <w:pStyle w:val="Heading1"/>
      </w:pPr>
      <w:r>
        <w:t>11. Deployment &amp; Infrastructure</w:t>
      </w:r>
    </w:p>
    <w:p>
      <w:pPr>
        <w:pStyle w:val="Heading2"/>
      </w:pPr>
      <w:r>
        <w:t>11.1 Local Development</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2672C4"/>
          </w:tcPr>
          <w:p>
            <w:r>
              <w:rPr>
                <w:b/>
                <w:color w:val="FFFFFF"/>
              </w:rPr>
              <w:t>Prerequisite</w:t>
            </w:r>
          </w:p>
        </w:tc>
        <w:tc>
          <w:tcPr>
            <w:tcW w:type="dxa" w:w="6768"/>
            <w:shd w:val="clear" w:color="auto" w:fill="2672C4"/>
          </w:tcPr>
          <w:p>
            <w:r>
              <w:rPr>
                <w:b/>
                <w:color w:val="FFFFFF"/>
              </w:rPr>
              <w:t>Purpose</w:t>
            </w:r>
          </w:p>
        </w:tc>
      </w:tr>
      <w:tr>
        <w:tc>
          <w:tcPr>
            <w:tcW w:type="dxa" w:w="3600"/>
          </w:tcPr>
          <w:p>
            <w:r>
              <w:rPr>
                <w:sz w:val="20"/>
              </w:rPr>
              <w:t>.NET 9 / 10 SDK</w:t>
            </w:r>
          </w:p>
        </w:tc>
        <w:tc>
          <w:tcPr>
            <w:tcW w:type="dxa" w:w="6768"/>
          </w:tcPr>
          <w:p>
            <w:r>
              <w:rPr>
                <w:sz w:val="20"/>
              </w:rPr>
              <w:t>Runtime and build toolchain</w:t>
            </w:r>
          </w:p>
        </w:tc>
      </w:tr>
      <w:tr>
        <w:tc>
          <w:tcPr>
            <w:tcW w:type="dxa" w:w="3600"/>
          </w:tcPr>
          <w:p>
            <w:r>
              <w:rPr>
                <w:sz w:val="20"/>
              </w:rPr>
              <w:t>Docker Desktop</w:t>
            </w:r>
          </w:p>
        </w:tc>
        <w:tc>
          <w:tcPr>
            <w:tcW w:type="dxa" w:w="6768"/>
          </w:tcPr>
          <w:p>
            <w:r>
              <w:rPr>
                <w:sz w:val="20"/>
              </w:rPr>
              <w:t>Hosts Redis, RabbitMQ, PostgreSQL containers</w:t>
            </w:r>
          </w:p>
        </w:tc>
      </w:tr>
      <w:tr>
        <w:tc>
          <w:tcPr>
            <w:tcW w:type="dxa" w:w="3600"/>
          </w:tcPr>
          <w:p>
            <w:r>
              <w:rPr>
                <w:sz w:val="20"/>
              </w:rPr>
              <w:t>Visual Studio 2022 or VS Code</w:t>
            </w:r>
          </w:p>
        </w:tc>
        <w:tc>
          <w:tcPr>
            <w:tcW w:type="dxa" w:w="6768"/>
          </w:tcPr>
          <w:p>
            <w:r>
              <w:rPr>
                <w:sz w:val="20"/>
              </w:rPr>
              <w:t>IDE with Aspire integration</w:t>
            </w:r>
          </w:p>
        </w:tc>
      </w:tr>
    </w:tbl>
    <w:p/>
    <w:p>
      <w:pPr>
        <w:pStyle w:val="CodeBlock"/>
        <w:ind w:left="576"/>
        <w:shd w:val="clear" w:color="auto" w:fill="F5F5F5"/>
      </w:pPr>
      <w:r>
        <w:t># Start all services</w:t>
      </w:r>
    </w:p>
    <w:p>
      <w:pPr>
        <w:pStyle w:val="CodeBlock"/>
        <w:ind w:left="576"/>
        <w:shd w:val="clear" w:color="auto" w:fill="F5F5F5"/>
      </w:pPr>
      <w:r>
        <w:t>dotnet run --project src/eShop.AppHost/eShop.AppHost.csproj</w:t>
      </w:r>
    </w:p>
    <w:p>
      <w:pPr>
        <w:pStyle w:val="CodeBlock"/>
        <w:ind w:left="576"/>
        <w:shd w:val="clear" w:color="auto" w:fill="F5F5F5"/>
      </w:pPr>
      <w:r/>
    </w:p>
    <w:p>
      <w:pPr>
        <w:pStyle w:val="CodeBlock"/>
        <w:ind w:left="576"/>
        <w:shd w:val="clear" w:color="auto" w:fill="F5F5F5"/>
      </w:pPr>
      <w:r>
        <w:t># Aspire Dashboard URL printed on startup</w:t>
      </w:r>
    </w:p>
    <w:p>
      <w:pPr>
        <w:pStyle w:val="Heading2"/>
      </w:pPr>
      <w:r>
        <w:t>11.2 Azure Deployment (Azure Developer CLI)</w:t>
      </w:r>
    </w:p>
    <w:p>
      <w:r>
        <w:rPr>
          <w:b w:val="0"/>
          <w:i w:val="0"/>
        </w:rPr>
        <w:t>The repository is configured for one-command Azure deployment:</w:t>
      </w:r>
    </w:p>
    <w:p>
      <w:pPr>
        <w:pStyle w:val="CodeBlock"/>
        <w:ind w:left="576"/>
        <w:shd w:val="clear" w:color="auto" w:fill="F5F5F5"/>
      </w:pPr>
      <w:r>
        <w:t>azd init   # Initialise project and select subscription</w:t>
      </w:r>
    </w:p>
    <w:p>
      <w:pPr>
        <w:pStyle w:val="CodeBlock"/>
        <w:ind w:left="576"/>
        <w:shd w:val="clear" w:color="auto" w:fill="F5F5F5"/>
      </w:pPr>
      <w:r>
        <w:t>azd up     # Provision Azure resources and deploy all services</w:t>
      </w:r>
    </w:p>
    <w:p>
      <w:pPr>
        <w:pStyle w:val="CodeBlock"/>
        <w:ind w:left="576"/>
        <w:shd w:val="clear" w:color="auto" w:fill="F5F5F5"/>
      </w:pPr>
      <w:r>
        <w:t>azd down   # Tear down all resources</w:t>
      </w:r>
    </w:p>
    <w:p>
      <w:r>
        <w:rPr>
          <w:b/>
          <w:i w:val="0"/>
        </w:rPr>
        <w:t>Azure resources provisioned:</w:t>
      </w:r>
    </w:p>
    <w:p>
      <w:pPr>
        <w:pStyle w:val="ListBullet"/>
        <w:ind w:left="432"/>
      </w:pPr>
      <w:r>
        <w:t>Azure Container Apps / Container Instances (per service)</w:t>
      </w:r>
    </w:p>
    <w:p>
      <w:pPr>
        <w:pStyle w:val="ListBullet"/>
        <w:ind w:left="432"/>
      </w:pPr>
      <w:r>
        <w:t>Azure Database for PostgreSQL</w:t>
      </w:r>
    </w:p>
    <w:p>
      <w:pPr>
        <w:pStyle w:val="ListBullet"/>
        <w:ind w:left="432"/>
      </w:pPr>
      <w:r>
        <w:t>Azure Cache for Redis</w:t>
      </w:r>
    </w:p>
    <w:p>
      <w:pPr>
        <w:pStyle w:val="ListBullet"/>
        <w:ind w:left="432"/>
      </w:pPr>
      <w:r>
        <w:t>Azure Service Bus (or Azure RabbitMQ-compatible broker)</w:t>
      </w:r>
    </w:p>
    <w:p>
      <w:pPr>
        <w:pStyle w:val="ListBullet"/>
        <w:ind w:left="432"/>
      </w:pPr>
      <w:r>
        <w:t>Azure Container Registry (for images)</w:t>
      </w:r>
    </w:p>
    <w:p>
      <w:pPr>
        <w:pStyle w:val="ListBullet"/>
        <w:ind w:left="432"/>
      </w:pPr>
      <w:r>
        <w:t>Azure Key Vault (secrets management in production)</w:t>
      </w:r>
    </w:p>
    <w:p>
      <w:pPr>
        <w:pStyle w:val="Heading2"/>
      </w:pPr>
      <w:r>
        <w:t>11.3 AOT (Ahead-of-Time) Compilation</w:t>
      </w:r>
    </w:p>
    <w:p>
      <w:r>
        <w:rPr>
          <w:b w:val="0"/>
          <w:i w:val="0"/>
        </w:rPr>
        <w:t>Basket.API and OrderProcessor support PublishAot=true, enabling NativeAOT compilation for smaller container images, faster cold-start times, and reduced memory footprint.</w:t>
      </w:r>
    </w:p>
    <w:p>
      <w:pPr>
        <w:pStyle w:val="Heading2"/>
      </w:pPr>
      <w:r>
        <w:t>11.4 Database Migrations</w:t>
      </w:r>
    </w:p>
    <w:p>
      <w:r>
        <w:rPr>
          <w:b w:val="0"/>
          <w:i w:val="0"/>
        </w:rPr>
        <w:t>EF Core migrations are applied automatically at service startup using the AddMigration&lt;TContext, TSeed&gt;() extension (from eShop.ServiceDefaults). This runs pending migrations and executes seed data before the service accepts traffic.</w:t>
      </w:r>
    </w:p>
    <w:p>
      <w:r>
        <w:br w:type="page"/>
      </w:r>
    </w:p>
    <w:p>
      <w:pPr>
        <w:pStyle w:val="Heading1"/>
      </w:pPr>
      <w:r>
        <w:t>12. Security Considerations</w:t>
      </w:r>
    </w:p>
    <w:p>
      <w:pPr>
        <w:pStyle w:val="Heading2"/>
      </w:pPr>
      <w:r>
        <w:t>12.1 Development vs Production</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2672C4"/>
          </w:tcPr>
          <w:p>
            <w:r>
              <w:rPr>
                <w:b/>
                <w:color w:val="FFFFFF"/>
              </w:rPr>
              <w:t>Area</w:t>
            </w:r>
          </w:p>
        </w:tc>
        <w:tc>
          <w:tcPr>
            <w:tcW w:type="dxa" w:w="3312"/>
            <w:shd w:val="clear" w:color="auto" w:fill="2672C4"/>
          </w:tcPr>
          <w:p>
            <w:r>
              <w:rPr>
                <w:b/>
                <w:color w:val="FFFFFF"/>
              </w:rPr>
              <w:t>Development Setting</w:t>
            </w:r>
          </w:p>
        </w:tc>
        <w:tc>
          <w:tcPr>
            <w:tcW w:type="dxa" w:w="4896"/>
            <w:shd w:val="clear" w:color="auto" w:fill="2672C4"/>
          </w:tcPr>
          <w:p>
            <w:r>
              <w:rPr>
                <w:b/>
                <w:color w:val="FFFFFF"/>
              </w:rPr>
              <w:t>Production Recommendation</w:t>
            </w:r>
          </w:p>
        </w:tc>
      </w:tr>
      <w:tr>
        <w:tc>
          <w:tcPr>
            <w:tcW w:type="dxa" w:w="2160"/>
          </w:tcPr>
          <w:p>
            <w:r>
              <w:rPr>
                <w:sz w:val="20"/>
              </w:rPr>
              <w:t>Signing Keys</w:t>
            </w:r>
          </w:p>
        </w:tc>
        <w:tc>
          <w:tcPr>
            <w:tcW w:type="dxa" w:w="3312"/>
          </w:tcPr>
          <w:p>
            <w:r>
              <w:rPr>
                <w:sz w:val="20"/>
              </w:rPr>
              <w:t>Developer ephemeral keys (in-memory)</w:t>
            </w:r>
          </w:p>
        </w:tc>
        <w:tc>
          <w:tcPr>
            <w:tcW w:type="dxa" w:w="4896"/>
          </w:tcPr>
          <w:p>
            <w:r>
              <w:rPr>
                <w:sz w:val="20"/>
              </w:rPr>
              <w:t>Azure Key Vault / HSM-backed certificates</w:t>
            </w:r>
          </w:p>
        </w:tc>
      </w:tr>
      <w:tr>
        <w:tc>
          <w:tcPr>
            <w:tcW w:type="dxa" w:w="2160"/>
          </w:tcPr>
          <w:p>
            <w:r>
              <w:rPr>
                <w:sz w:val="20"/>
              </w:rPr>
              <w:t>HTTPS</w:t>
            </w:r>
          </w:p>
        </w:tc>
        <w:tc>
          <w:tcPr>
            <w:tcW w:type="dxa" w:w="3312"/>
          </w:tcPr>
          <w:p>
            <w:r>
              <w:rPr>
                <w:sz w:val="20"/>
              </w:rPr>
              <w:t>HTTP allowed for local testing</w:t>
            </w:r>
          </w:p>
        </w:tc>
        <w:tc>
          <w:tcPr>
            <w:tcW w:type="dxa" w:w="4896"/>
          </w:tcPr>
          <w:p>
            <w:r>
              <w:rPr>
                <w:sz w:val="20"/>
              </w:rPr>
              <w:t>TLS everywhere; HSTS headers</w:t>
            </w:r>
          </w:p>
        </w:tc>
      </w:tr>
      <w:tr>
        <w:tc>
          <w:tcPr>
            <w:tcW w:type="dxa" w:w="2160"/>
          </w:tcPr>
          <w:p>
            <w:r>
              <w:rPr>
                <w:sz w:val="20"/>
              </w:rPr>
              <w:t>Key Management</w:t>
            </w:r>
          </w:p>
        </w:tc>
        <w:tc>
          <w:tcPr>
            <w:tcW w:type="dxa" w:w="3312"/>
          </w:tcPr>
          <w:p>
            <w:r>
              <w:rPr>
                <w:sz w:val="20"/>
              </w:rPr>
              <w:t>Disabled (IsDevelopment() check)</w:t>
            </w:r>
          </w:p>
        </w:tc>
        <w:tc>
          <w:tcPr>
            <w:tcW w:type="dxa" w:w="4896"/>
          </w:tcPr>
          <w:p>
            <w:r>
              <w:rPr>
                <w:sz w:val="20"/>
              </w:rPr>
              <w:t>Enable ASP.NET Core Data Protection with Azure Blob + Key Vault</w:t>
            </w:r>
          </w:p>
        </w:tc>
      </w:tr>
      <w:tr>
        <w:tc>
          <w:tcPr>
            <w:tcW w:type="dxa" w:w="2160"/>
          </w:tcPr>
          <w:p>
            <w:r>
              <w:rPr>
                <w:sz w:val="20"/>
              </w:rPr>
              <w:t>CORS</w:t>
            </w:r>
          </w:p>
        </w:tc>
        <w:tc>
          <w:tcPr>
            <w:tcW w:type="dxa" w:w="3312"/>
          </w:tcPr>
          <w:p>
            <w:r>
              <w:rPr>
                <w:sz w:val="20"/>
              </w:rPr>
              <w:t>Permissive for local dev</w:t>
            </w:r>
          </w:p>
        </w:tc>
        <w:tc>
          <w:tcPr>
            <w:tcW w:type="dxa" w:w="4896"/>
          </w:tcPr>
          <w:p>
            <w:r>
              <w:rPr>
                <w:sz w:val="20"/>
              </w:rPr>
              <w:t>Restrict to known origins</w:t>
            </w:r>
          </w:p>
        </w:tc>
      </w:tr>
      <w:tr>
        <w:tc>
          <w:tcPr>
            <w:tcW w:type="dxa" w:w="2160"/>
          </w:tcPr>
          <w:p>
            <w:r>
              <w:rPr>
                <w:sz w:val="20"/>
              </w:rPr>
              <w:t>Rate Limiting</w:t>
            </w:r>
          </w:p>
        </w:tc>
        <w:tc>
          <w:tcPr>
            <w:tcW w:type="dxa" w:w="3312"/>
          </w:tcPr>
          <w:p>
            <w:r>
              <w:rPr>
                <w:sz w:val="20"/>
              </w:rPr>
              <w:t>None</w:t>
            </w:r>
          </w:p>
        </w:tc>
        <w:tc>
          <w:tcPr>
            <w:tcW w:type="dxa" w:w="4896"/>
          </w:tcPr>
          <w:p>
            <w:r>
              <w:rPr>
                <w:sz w:val="20"/>
              </w:rPr>
              <w:t>ASP.NET Core rate limiting middleware</w:t>
            </w:r>
          </w:p>
        </w:tc>
      </w:tr>
      <w:tr>
        <w:tc>
          <w:tcPr>
            <w:tcW w:type="dxa" w:w="2160"/>
          </w:tcPr>
          <w:p>
            <w:r>
              <w:rPr>
                <w:sz w:val="20"/>
              </w:rPr>
              <w:t>Secret Storage</w:t>
            </w:r>
          </w:p>
        </w:tc>
        <w:tc>
          <w:tcPr>
            <w:tcW w:type="dxa" w:w="3312"/>
          </w:tcPr>
          <w:p>
            <w:r>
              <w:rPr>
                <w:sz w:val="20"/>
              </w:rPr>
              <w:t>User Secrets / env vars</w:t>
            </w:r>
          </w:p>
        </w:tc>
        <w:tc>
          <w:tcPr>
            <w:tcW w:type="dxa" w:w="4896"/>
          </w:tcPr>
          <w:p>
            <w:r>
              <w:rPr>
                <w:sz w:val="20"/>
              </w:rPr>
              <w:t>Azure Key Vault secrets injection</w:t>
            </w:r>
          </w:p>
        </w:tc>
      </w:tr>
      <w:tr>
        <w:tc>
          <w:tcPr>
            <w:tcW w:type="dxa" w:w="2160"/>
          </w:tcPr>
          <w:p>
            <w:r>
              <w:rPr>
                <w:sz w:val="20"/>
              </w:rPr>
              <w:t>Webhook Endpoints</w:t>
            </w:r>
          </w:p>
        </w:tc>
        <w:tc>
          <w:tcPr>
            <w:tcW w:type="dxa" w:w="3312"/>
          </w:tcPr>
          <w:p>
            <w:r>
              <w:rPr>
                <w:sz w:val="20"/>
              </w:rPr>
              <w:t>No request signing</w:t>
            </w:r>
          </w:p>
        </w:tc>
        <w:tc>
          <w:tcPr>
            <w:tcW w:type="dxa" w:w="4896"/>
          </w:tcPr>
          <w:p>
            <w:r>
              <w:rPr>
                <w:sz w:val="20"/>
              </w:rPr>
              <w:t>HMAC-SHA256 signature verification</w:t>
            </w:r>
          </w:p>
        </w:tc>
      </w:tr>
    </w:tbl>
    <w:p>
      <w:pPr>
        <w:pStyle w:val="Heading2"/>
      </w:pPr>
      <w:r>
        <w:t>12.2 Token Security</w:t>
      </w:r>
    </w:p>
    <w:p>
      <w:pPr>
        <w:pStyle w:val="ListBullet"/>
        <w:ind w:left="432"/>
      </w:pPr>
      <w:r>
        <w:t>JWT tokens are validated on every API request (iss, aud, exp, sig).</w:t>
      </w:r>
    </w:p>
    <w:p>
      <w:pPr>
        <w:pStyle w:val="ListBullet"/>
        <w:ind w:left="432"/>
      </w:pPr>
      <w:r>
        <w:t>Separate audience per service prevents token reuse across services.</w:t>
      </w:r>
    </w:p>
    <w:p>
      <w:pPr>
        <w:pStyle w:val="ListBullet"/>
        <w:ind w:left="432"/>
      </w:pPr>
      <w:r>
        <w:t>Tokens are short-lived; refresh tokens managed by IdentityServer.</w:t>
      </w:r>
    </w:p>
    <w:p>
      <w:pPr>
        <w:pStyle w:val="Heading2"/>
      </w:pPr>
      <w:r>
        <w:t>12.3 Data Protection</w:t>
      </w:r>
    </w:p>
    <w:p>
      <w:pPr>
        <w:pStyle w:val="ListBullet"/>
        <w:ind w:left="432"/>
      </w:pPr>
      <w:r>
        <w:t>Passwords hashed with ASP.NET Core Identity (PBKDF2).</w:t>
      </w:r>
    </w:p>
    <w:p>
      <w:pPr>
        <w:pStyle w:val="ListBullet"/>
        <w:ind w:left="432"/>
      </w:pPr>
      <w:r>
        <w:t>No plaintext credentials in source code; all secrets injected at runtime.</w:t>
      </w:r>
    </w:p>
    <w:p>
      <w:pPr>
        <w:pStyle w:val="ListBullet"/>
        <w:ind w:left="432"/>
      </w:pPr>
      <w:r>
        <w:t>pgvector embeddings stored alongside product data – no PII in embeddings.</w:t>
      </w:r>
    </w:p>
    <w:p>
      <w:r>
        <w:br w:type="page"/>
      </w:r>
    </w:p>
    <w:p>
      <w:pPr>
        <w:pStyle w:val="Heading1"/>
      </w:pPr>
      <w:r>
        <w:t>13. Scalability &amp; Performance</w:t>
      </w:r>
    </w:p>
    <w:p>
      <w:pPr>
        <w:pStyle w:val="Heading2"/>
      </w:pPr>
      <w:r>
        <w:t>13.1 Stateless API Services</w:t>
      </w:r>
    </w:p>
    <w:p>
      <w:r>
        <w:rPr>
          <w:b w:val="0"/>
          <w:i w:val="0"/>
        </w:rPr>
        <w:t>All API services (Catalog, Basket, Ordering, Webhooks) are stateless. User session data lives in Redis (baskets) or the database (orders). Services can be horizontally scaled behind a load balancer without sticky sessions.</w:t>
      </w:r>
    </w:p>
    <w:p>
      <w:pPr>
        <w:pStyle w:val="Heading2"/>
      </w:pPr>
      <w:r>
        <w:t>13.2 Performance Optimisations</w:t>
      </w:r>
    </w:p>
    <w:tbl>
      <w:tblPr>
        <w:tblStyle w:val="TableGrid"/>
        <w:tblW w:type="auto" w:w="0"/>
        <w:jc w:val="left"/>
        <w:tblLook w:firstColumn="1" w:firstRow="1" w:lastColumn="0" w:lastRow="0" w:noHBand="0" w:noVBand="1" w:val="04A0"/>
      </w:tblPr>
      <w:tblGrid>
        <w:gridCol w:w="3120"/>
        <w:gridCol w:w="3120"/>
        <w:gridCol w:w="3120"/>
      </w:tblGrid>
      <w:tr>
        <w:tc>
          <w:tcPr>
            <w:tcW w:type="dxa" w:w="3168"/>
            <w:shd w:val="clear" w:color="auto" w:fill="2672C4"/>
          </w:tcPr>
          <w:p>
            <w:r>
              <w:rPr>
                <w:b/>
                <w:color w:val="FFFFFF"/>
              </w:rPr>
              <w:t>Technique</w:t>
            </w:r>
          </w:p>
        </w:tc>
        <w:tc>
          <w:tcPr>
            <w:tcW w:type="dxa" w:w="2592"/>
            <w:shd w:val="clear" w:color="auto" w:fill="2672C4"/>
          </w:tcPr>
          <w:p>
            <w:r>
              <w:rPr>
                <w:b/>
                <w:color w:val="FFFFFF"/>
              </w:rPr>
              <w:t>Applied In</w:t>
            </w:r>
          </w:p>
        </w:tc>
        <w:tc>
          <w:tcPr>
            <w:tcW w:type="dxa" w:w="4608"/>
            <w:shd w:val="clear" w:color="auto" w:fill="2672C4"/>
          </w:tcPr>
          <w:p>
            <w:r>
              <w:rPr>
                <w:b/>
                <w:color w:val="FFFFFF"/>
              </w:rPr>
              <w:t>Benefit</w:t>
            </w:r>
          </w:p>
        </w:tc>
      </w:tr>
      <w:tr>
        <w:tc>
          <w:tcPr>
            <w:tcW w:type="dxa" w:w="3168"/>
          </w:tcPr>
          <w:p>
            <w:r>
              <w:rPr>
                <w:sz w:val="20"/>
              </w:rPr>
              <w:t>gRPC + Protocol Buffers</w:t>
            </w:r>
          </w:p>
        </w:tc>
        <w:tc>
          <w:tcPr>
            <w:tcW w:type="dxa" w:w="2592"/>
          </w:tcPr>
          <w:p>
            <w:r>
              <w:rPr>
                <w:sz w:val="20"/>
              </w:rPr>
              <w:t>Basket.API</w:t>
            </w:r>
          </w:p>
        </w:tc>
        <w:tc>
          <w:tcPr>
            <w:tcW w:type="dxa" w:w="4608"/>
          </w:tcPr>
          <w:p>
            <w:r>
              <w:rPr>
                <w:sz w:val="20"/>
              </w:rPr>
              <w:t>Binary protocol, ~5-10× smaller than JSON REST</w:t>
            </w:r>
          </w:p>
        </w:tc>
      </w:tr>
      <w:tr>
        <w:tc>
          <w:tcPr>
            <w:tcW w:type="dxa" w:w="3168"/>
          </w:tcPr>
          <w:p>
            <w:r>
              <w:rPr>
                <w:sz w:val="20"/>
              </w:rPr>
              <w:t>Redis caching</w:t>
            </w:r>
          </w:p>
        </w:tc>
        <w:tc>
          <w:tcPr>
            <w:tcW w:type="dxa" w:w="2592"/>
          </w:tcPr>
          <w:p>
            <w:r>
              <w:rPr>
                <w:sz w:val="20"/>
              </w:rPr>
              <w:t>Basket.API</w:t>
            </w:r>
          </w:p>
        </w:tc>
        <w:tc>
          <w:tcPr>
            <w:tcW w:type="dxa" w:w="4608"/>
          </w:tcPr>
          <w:p>
            <w:r>
              <w:rPr>
                <w:sz w:val="20"/>
              </w:rPr>
              <w:t>Sub-millisecond basket reads/writes</w:t>
            </w:r>
          </w:p>
        </w:tc>
      </w:tr>
      <w:tr>
        <w:tc>
          <w:tcPr>
            <w:tcW w:type="dxa" w:w="3168"/>
          </w:tcPr>
          <w:p>
            <w:r>
              <w:rPr>
                <w:sz w:val="20"/>
              </w:rPr>
              <w:t>pgvector indexing</w:t>
            </w:r>
          </w:p>
        </w:tc>
        <w:tc>
          <w:tcPr>
            <w:tcW w:type="dxa" w:w="2592"/>
          </w:tcPr>
          <w:p>
            <w:r>
              <w:rPr>
                <w:sz w:val="20"/>
              </w:rPr>
              <w:t>Catalog.API</w:t>
            </w:r>
          </w:p>
        </w:tc>
        <w:tc>
          <w:tcPr>
            <w:tcW w:type="dxa" w:w="4608"/>
          </w:tcPr>
          <w:p>
            <w:r>
              <w:rPr>
                <w:sz w:val="20"/>
              </w:rPr>
              <w:t>Fast cosine-similarity search on embeddings</w:t>
            </w:r>
          </w:p>
        </w:tc>
      </w:tr>
      <w:tr>
        <w:tc>
          <w:tcPr>
            <w:tcW w:type="dxa" w:w="3168"/>
          </w:tcPr>
          <w:p>
            <w:r>
              <w:rPr>
                <w:sz w:val="20"/>
              </w:rPr>
              <w:t>Connection pooling (Npgsql)</w:t>
            </w:r>
          </w:p>
        </w:tc>
        <w:tc>
          <w:tcPr>
            <w:tcW w:type="dxa" w:w="2592"/>
          </w:tcPr>
          <w:p>
            <w:r>
              <w:rPr>
                <w:sz w:val="20"/>
              </w:rPr>
              <w:t>All PG services</w:t>
            </w:r>
          </w:p>
        </w:tc>
        <w:tc>
          <w:tcPr>
            <w:tcW w:type="dxa" w:w="4608"/>
          </w:tcPr>
          <w:p>
            <w:r>
              <w:rPr>
                <w:sz w:val="20"/>
              </w:rPr>
              <w:t>Efficient database connection reuse</w:t>
            </w:r>
          </w:p>
        </w:tc>
      </w:tr>
      <w:tr>
        <w:tc>
          <w:tcPr>
            <w:tcW w:type="dxa" w:w="3168"/>
          </w:tcPr>
          <w:p>
            <w:r>
              <w:rPr>
                <w:sz w:val="20"/>
              </w:rPr>
              <w:t>AOT compilation</w:t>
            </w:r>
          </w:p>
        </w:tc>
        <w:tc>
          <w:tcPr>
            <w:tcW w:type="dxa" w:w="2592"/>
          </w:tcPr>
          <w:p>
            <w:r>
              <w:rPr>
                <w:sz w:val="20"/>
              </w:rPr>
              <w:t>Basket.API, OrderProcessor</w:t>
            </w:r>
          </w:p>
        </w:tc>
        <w:tc>
          <w:tcPr>
            <w:tcW w:type="dxa" w:w="4608"/>
          </w:tcPr>
          <w:p>
            <w:r>
              <w:rPr>
                <w:sz w:val="20"/>
              </w:rPr>
              <w:t>Faster startup, lower memory</w:t>
            </w:r>
          </w:p>
        </w:tc>
      </w:tr>
      <w:tr>
        <w:tc>
          <w:tcPr>
            <w:tcW w:type="dxa" w:w="3168"/>
          </w:tcPr>
          <w:p>
            <w:r>
              <w:rPr>
                <w:sz w:val="20"/>
              </w:rPr>
              <w:t>Async/await throughout</w:t>
            </w:r>
          </w:p>
        </w:tc>
        <w:tc>
          <w:tcPr>
            <w:tcW w:type="dxa" w:w="2592"/>
          </w:tcPr>
          <w:p>
            <w:r>
              <w:rPr>
                <w:sz w:val="20"/>
              </w:rPr>
              <w:t>All services</w:t>
            </w:r>
          </w:p>
        </w:tc>
        <w:tc>
          <w:tcPr>
            <w:tcW w:type="dxa" w:w="4608"/>
          </w:tcPr>
          <w:p>
            <w:r>
              <w:rPr>
                <w:sz w:val="20"/>
              </w:rPr>
              <w:t>Non-blocking I/O; higher throughput</w:t>
            </w:r>
          </w:p>
        </w:tc>
      </w:tr>
      <w:tr>
        <w:tc>
          <w:tcPr>
            <w:tcW w:type="dxa" w:w="3168"/>
          </w:tcPr>
          <w:p>
            <w:r>
              <w:rPr>
                <w:sz w:val="20"/>
              </w:rPr>
              <w:t>Event-driven decoupling</w:t>
            </w:r>
          </w:p>
        </w:tc>
        <w:tc>
          <w:tcPr>
            <w:tcW w:type="dxa" w:w="2592"/>
          </w:tcPr>
          <w:p>
            <w:r>
              <w:rPr>
                <w:sz w:val="20"/>
              </w:rPr>
              <w:t>Order processing</w:t>
            </w:r>
          </w:p>
        </w:tc>
        <w:tc>
          <w:tcPr>
            <w:tcW w:type="dxa" w:w="4608"/>
          </w:tcPr>
          <w:p>
            <w:r>
              <w:rPr>
                <w:sz w:val="20"/>
              </w:rPr>
              <w:t>Long-running operations don't block HTTP responses</w:t>
            </w:r>
          </w:p>
        </w:tc>
      </w:tr>
    </w:tbl>
    <w:p>
      <w:pPr>
        <w:pStyle w:val="Heading2"/>
      </w:pPr>
      <w:r>
        <w:t>13.3 Independent Scaling</w:t>
      </w:r>
    </w:p>
    <w:p>
      <w:r>
        <w:rPr>
          <w:b w:val="0"/>
          <w:i w:val="0"/>
        </w:rPr>
        <w:t>Each service can be scaled independently based on load profile. For example:</w:t>
      </w:r>
    </w:p>
    <w:p>
      <w:pPr>
        <w:pStyle w:val="ListBullet"/>
        <w:ind w:left="432"/>
      </w:pPr>
      <w:r>
        <w:t>Catalog.API (read-heavy) → scale out replicas for product browsing traffic</w:t>
      </w:r>
    </w:p>
    <w:p>
      <w:pPr>
        <w:pStyle w:val="ListBullet"/>
        <w:ind w:left="432"/>
      </w:pPr>
      <w:r>
        <w:t>OrderProcessor (CPU-light polling) → single instance sufficient</w:t>
      </w:r>
    </w:p>
    <w:p>
      <w:pPr>
        <w:pStyle w:val="ListBullet"/>
        <w:ind w:left="432"/>
      </w:pPr>
      <w:r>
        <w:t>Basket.API (high-frequency, low-latency) → scale with Redis cluster</w:t>
      </w:r>
    </w:p>
    <w:p>
      <w:pPr>
        <w:pStyle w:val="ListBullet"/>
        <w:ind w:left="432"/>
      </w:pPr>
      <w:r>
        <w:t>Identity.API (burst during login) → auto-scale with Azure Container Apps</w:t>
      </w:r>
    </w:p>
    <w:p>
      <w:r>
        <w:br w:type="page"/>
      </w:r>
    </w:p>
    <w:p>
      <w:pPr>
        <w:pStyle w:val="Heading1"/>
      </w:pPr>
      <w:r>
        <w:t>14. Key Architectural Decisions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2672C4"/>
          </w:tcPr>
          <w:p>
            <w:r>
              <w:rPr>
                <w:b/>
                <w:color w:val="FFFFFF"/>
              </w:rPr>
              <w:t>Decision</w:t>
            </w:r>
          </w:p>
        </w:tc>
        <w:tc>
          <w:tcPr>
            <w:tcW w:type="dxa" w:w="6768"/>
            <w:shd w:val="clear" w:color="auto" w:fill="2672C4"/>
          </w:tcPr>
          <w:p>
            <w:r>
              <w:rPr>
                <w:b/>
                <w:color w:val="FFFFFF"/>
              </w:rPr>
              <w:t>Rationale</w:t>
            </w:r>
          </w:p>
        </w:tc>
      </w:tr>
      <w:tr>
        <w:tc>
          <w:tcPr>
            <w:tcW w:type="dxa" w:w="3600"/>
          </w:tcPr>
          <w:p>
            <w:r>
              <w:rPr>
                <w:sz w:val="20"/>
              </w:rPr>
              <w:t>Microservices</w:t>
            </w:r>
          </w:p>
        </w:tc>
        <w:tc>
          <w:tcPr>
            <w:tcW w:type="dxa" w:w="6768"/>
          </w:tcPr>
          <w:p>
            <w:r>
              <w:rPr>
                <w:sz w:val="20"/>
              </w:rPr>
              <w:t>Independent deployment, technology flexibility, and fault isolation per domain.</w:t>
            </w:r>
          </w:p>
        </w:tc>
      </w:tr>
      <w:tr>
        <w:tc>
          <w:tcPr>
            <w:tcW w:type="dxa" w:w="3600"/>
          </w:tcPr>
          <w:p>
            <w:r>
              <w:rPr>
                <w:sz w:val="20"/>
              </w:rPr>
              <w:t>.NET Aspire orchestration</w:t>
            </w:r>
          </w:p>
        </w:tc>
        <w:tc>
          <w:tcPr>
            <w:tcW w:type="dxa" w:w="6768"/>
          </w:tcPr>
          <w:p>
            <w:r>
              <w:rPr>
                <w:sz w:val="20"/>
              </w:rPr>
              <w:t>Native .NET experience; removes Docker Compose boilerplate; built-in dashboard.</w:t>
            </w:r>
          </w:p>
        </w:tc>
      </w:tr>
      <w:tr>
        <w:tc>
          <w:tcPr>
            <w:tcW w:type="dxa" w:w="3600"/>
          </w:tcPr>
          <w:p>
            <w:r>
              <w:rPr>
                <w:sz w:val="20"/>
              </w:rPr>
              <w:t>RabbitMQ Event Bus</w:t>
            </w:r>
          </w:p>
        </w:tc>
        <w:tc>
          <w:tcPr>
            <w:tcW w:type="dxa" w:w="6768"/>
          </w:tcPr>
          <w:p>
            <w:r>
              <w:rPr>
                <w:sz w:val="20"/>
              </w:rPr>
              <w:t>Proven reliability, message persistence, and broad ecosystem support.</w:t>
            </w:r>
          </w:p>
        </w:tc>
      </w:tr>
      <w:tr>
        <w:tc>
          <w:tcPr>
            <w:tcW w:type="dxa" w:w="3600"/>
          </w:tcPr>
          <w:p>
            <w:r>
              <w:rPr>
                <w:sz w:val="20"/>
              </w:rPr>
              <w:t>Outbox / Integration Event Log</w:t>
            </w:r>
          </w:p>
        </w:tc>
        <w:tc>
          <w:tcPr>
            <w:tcW w:type="dxa" w:w="6768"/>
          </w:tcPr>
          <w:p>
            <w:r>
              <w:rPr>
                <w:sz w:val="20"/>
              </w:rPr>
              <w:t>Prevents message loss: domain change and event write share one DB transaction.</w:t>
            </w:r>
          </w:p>
        </w:tc>
      </w:tr>
      <w:tr>
        <w:tc>
          <w:tcPr>
            <w:tcW w:type="dxa" w:w="3600"/>
          </w:tcPr>
          <w:p>
            <w:r>
              <w:rPr>
                <w:sz w:val="20"/>
              </w:rPr>
              <w:t>PostgreSQL per bounded context</w:t>
            </w:r>
          </w:p>
        </w:tc>
        <w:tc>
          <w:tcPr>
            <w:tcW w:type="dxa" w:w="6768"/>
          </w:tcPr>
          <w:p>
            <w:r>
              <w:rPr>
                <w:sz w:val="20"/>
              </w:rPr>
              <w:t>Schema isolation; EF Core migrations per service; cost-effective shared host in dev/test.</w:t>
            </w:r>
          </w:p>
        </w:tc>
      </w:tr>
      <w:tr>
        <w:tc>
          <w:tcPr>
            <w:tcW w:type="dxa" w:w="3600"/>
          </w:tcPr>
          <w:p>
            <w:r>
              <w:rPr>
                <w:sz w:val="20"/>
              </w:rPr>
              <w:t>Redis for basket (no DB)</w:t>
            </w:r>
          </w:p>
        </w:tc>
        <w:tc>
          <w:tcPr>
            <w:tcW w:type="dxa" w:w="6768"/>
          </w:tcPr>
          <w:p>
            <w:r>
              <w:rPr>
                <w:sz w:val="20"/>
              </w:rPr>
              <w:t>Cart data is ephemeral; Redis provides microsecond-latency without schema overhead.</w:t>
            </w:r>
          </w:p>
        </w:tc>
      </w:tr>
      <w:tr>
        <w:tc>
          <w:tcPr>
            <w:tcW w:type="dxa" w:w="3600"/>
          </w:tcPr>
          <w:p>
            <w:r>
              <w:rPr>
                <w:sz w:val="20"/>
              </w:rPr>
              <w:t>Duende IdentityServer</w:t>
            </w:r>
          </w:p>
        </w:tc>
        <w:tc>
          <w:tcPr>
            <w:tcW w:type="dxa" w:w="6768"/>
          </w:tcPr>
          <w:p>
            <w:r>
              <w:rPr>
                <w:sz w:val="20"/>
              </w:rPr>
              <w:t>Standards-compliant OAuth 2.0 / OIDC; enterprise support; extensible flows.</w:t>
            </w:r>
          </w:p>
        </w:tc>
      </w:tr>
      <w:tr>
        <w:tc>
          <w:tcPr>
            <w:tcW w:type="dxa" w:w="3600"/>
          </w:tcPr>
          <w:p>
            <w:r>
              <w:rPr>
                <w:sz w:val="20"/>
              </w:rPr>
              <w:t>DDD + CQRS in Ordering</w:t>
            </w:r>
          </w:p>
        </w:tc>
        <w:tc>
          <w:tcPr>
            <w:tcW w:type="dxa" w:w="6768"/>
          </w:tcPr>
          <w:p>
            <w:r>
              <w:rPr>
                <w:sz w:val="20"/>
              </w:rPr>
              <w:t>Complex order lifecycle benefits from explicit domain model, aggregate roots, and commands.</w:t>
            </w:r>
          </w:p>
        </w:tc>
      </w:tr>
      <w:tr>
        <w:tc>
          <w:tcPr>
            <w:tcW w:type="dxa" w:w="3600"/>
          </w:tcPr>
          <w:p>
            <w:r>
              <w:rPr>
                <w:sz w:val="20"/>
              </w:rPr>
              <w:t>gRPC for Basket.API</w:t>
            </w:r>
          </w:p>
        </w:tc>
        <w:tc>
          <w:tcPr>
            <w:tcW w:type="dxa" w:w="6768"/>
          </w:tcPr>
          <w:p>
            <w:r>
              <w:rPr>
                <w:sz w:val="20"/>
              </w:rPr>
              <w:t>High call frequency from UI; binary protocol reduces latency and payload size.</w:t>
            </w:r>
          </w:p>
        </w:tc>
      </w:tr>
      <w:tr>
        <w:tc>
          <w:tcPr>
            <w:tcW w:type="dxa" w:w="3600"/>
          </w:tcPr>
          <w:p>
            <w:r>
              <w:rPr>
                <w:sz w:val="20"/>
              </w:rPr>
              <w:t>REST for Catalog / Orders</w:t>
            </w:r>
          </w:p>
        </w:tc>
        <w:tc>
          <w:tcPr>
            <w:tcW w:type="dxa" w:w="6768"/>
          </w:tcPr>
          <w:p>
            <w:r>
              <w:rPr>
                <w:sz w:val="20"/>
              </w:rPr>
              <w:t>Discoverability, broad tooling support, and cache-friendly GET semantics.</w:t>
            </w:r>
          </w:p>
        </w:tc>
      </w:tr>
      <w:tr>
        <w:tc>
          <w:tcPr>
            <w:tcW w:type="dxa" w:w="3600"/>
          </w:tcPr>
          <w:p>
            <w:r>
              <w:rPr>
                <w:sz w:val="20"/>
              </w:rPr>
              <w:t>Blazor Server for WebApp</w:t>
            </w:r>
          </w:p>
        </w:tc>
        <w:tc>
          <w:tcPr>
            <w:tcW w:type="dxa" w:w="6768"/>
          </w:tcPr>
          <w:p>
            <w:r>
              <w:rPr>
                <w:sz w:val="20"/>
              </w:rPr>
              <w:t>.NET full-stack; server-side rendering; real-time updates without JS framework complexity.</w:t>
            </w:r>
          </w:p>
        </w:tc>
      </w:tr>
      <w:tr>
        <w:tc>
          <w:tcPr>
            <w:tcW w:type="dxa" w:w="3600"/>
          </w:tcPr>
          <w:p>
            <w:r>
              <w:rPr>
                <w:sz w:val="20"/>
              </w:rPr>
              <w:t>.NET MAUI for mobile</w:t>
            </w:r>
          </w:p>
        </w:tc>
        <w:tc>
          <w:tcPr>
            <w:tcW w:type="dxa" w:w="6768"/>
          </w:tcPr>
          <w:p>
            <w:r>
              <w:rPr>
                <w:sz w:val="20"/>
              </w:rPr>
              <w:t>Single codebase for all platforms; native UI; shares C# domain logic with server.</w:t>
            </w:r>
          </w:p>
        </w:tc>
      </w:tr>
      <w:tr>
        <w:tc>
          <w:tcPr>
            <w:tcW w:type="dxa" w:w="3600"/>
          </w:tcPr>
          <w:p>
            <w:r>
              <w:rPr>
                <w:sz w:val="20"/>
              </w:rPr>
              <w:t>Blazor Hybrid (HybridApp)</w:t>
            </w:r>
          </w:p>
        </w:tc>
        <w:tc>
          <w:tcPr>
            <w:tcW w:type="dxa" w:w="6768"/>
          </w:tcPr>
          <w:p>
            <w:r>
              <w:rPr>
                <w:sz w:val="20"/>
              </w:rPr>
              <w:t>Maximises code reuse from WebAppComponents; single Blazor component set for web + mobile.</w:t>
            </w:r>
          </w:p>
        </w:tc>
      </w:tr>
      <w:tr>
        <w:tc>
          <w:tcPr>
            <w:tcW w:type="dxa" w:w="3600"/>
          </w:tcPr>
          <w:p>
            <w:r>
              <w:rPr>
                <w:sz w:val="20"/>
              </w:rPr>
              <w:t>OpenTelemetry</w:t>
            </w:r>
          </w:p>
        </w:tc>
        <w:tc>
          <w:tcPr>
            <w:tcW w:type="dxa" w:w="6768"/>
          </w:tcPr>
          <w:p>
            <w:r>
              <w:rPr>
                <w:sz w:val="20"/>
              </w:rPr>
              <w:t>Vendor-neutral; integrates with any backend (Aspire dashboard, Jaeger, Azure Monitor, etc.).</w:t>
            </w:r>
          </w:p>
        </w:tc>
      </w:tr>
    </w:tbl>
    <w:p>
      <w:r>
        <w:br w:type="page"/>
      </w:r>
    </w:p>
    <w:p>
      <w:pPr>
        <w:pStyle w:val="Heading1"/>
      </w:pPr>
      <w:r>
        <w:t>15. Service Dependency Matrix</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672C4"/>
          </w:tcPr>
          <w:p>
            <w:r>
              <w:rPr>
                <w:b/>
                <w:color w:val="FFFFFF"/>
              </w:rPr>
              <w:t>Service</w:t>
            </w:r>
          </w:p>
        </w:tc>
        <w:tc>
          <w:tcPr>
            <w:tcW w:type="dxa" w:w="7488"/>
            <w:shd w:val="clear" w:color="auto" w:fill="2672C4"/>
          </w:tcPr>
          <w:p>
            <w:r>
              <w:rPr>
                <w:b/>
                <w:color w:val="FFFFFF"/>
              </w:rPr>
              <w:t>Depends On</w:t>
            </w:r>
          </w:p>
        </w:tc>
      </w:tr>
      <w:tr>
        <w:tc>
          <w:tcPr>
            <w:tcW w:type="dxa" w:w="2880"/>
          </w:tcPr>
          <w:p>
            <w:r>
              <w:rPr>
                <w:sz w:val="20"/>
              </w:rPr>
              <w:t>WebApp</w:t>
            </w:r>
          </w:p>
        </w:tc>
        <w:tc>
          <w:tcPr>
            <w:tcW w:type="dxa" w:w="7488"/>
          </w:tcPr>
          <w:p>
            <w:r>
              <w:rPr>
                <w:sz w:val="20"/>
              </w:rPr>
              <w:t>Basket.API (gRPC), Catalog.API (HTTP), Ordering.API (HTTP), Identity.API (OIDC), RabbitMQ</w:t>
            </w:r>
          </w:p>
        </w:tc>
      </w:tr>
      <w:tr>
        <w:tc>
          <w:tcPr>
            <w:tcW w:type="dxa" w:w="2880"/>
          </w:tcPr>
          <w:p>
            <w:r>
              <w:rPr>
                <w:sz w:val="20"/>
              </w:rPr>
              <w:t>ClientApp</w:t>
            </w:r>
          </w:p>
        </w:tc>
        <w:tc>
          <w:tcPr>
            <w:tcW w:type="dxa" w:w="7488"/>
          </w:tcPr>
          <w:p>
            <w:r>
              <w:rPr>
                <w:sz w:val="20"/>
              </w:rPr>
              <w:t>Basket.API (gRPC), Identity.API (OIDC)</w:t>
            </w:r>
          </w:p>
        </w:tc>
      </w:tr>
      <w:tr>
        <w:tc>
          <w:tcPr>
            <w:tcW w:type="dxa" w:w="2880"/>
          </w:tcPr>
          <w:p>
            <w:r>
              <w:rPr>
                <w:sz w:val="20"/>
              </w:rPr>
              <w:t>HybridApp</w:t>
            </w:r>
          </w:p>
        </w:tc>
        <w:tc>
          <w:tcPr>
            <w:tcW w:type="dxa" w:w="7488"/>
          </w:tcPr>
          <w:p>
            <w:r>
              <w:rPr>
                <w:sz w:val="20"/>
              </w:rPr>
              <w:t>WebAppComponents, Basket.API (gRPC), Identity.API (OIDC)</w:t>
            </w:r>
          </w:p>
        </w:tc>
      </w:tr>
      <w:tr>
        <w:tc>
          <w:tcPr>
            <w:tcW w:type="dxa" w:w="2880"/>
          </w:tcPr>
          <w:p>
            <w:r>
              <w:rPr>
                <w:sz w:val="20"/>
              </w:rPr>
              <w:t>WebhookClient</w:t>
            </w:r>
          </w:p>
        </w:tc>
        <w:tc>
          <w:tcPr>
            <w:tcW w:type="dxa" w:w="7488"/>
          </w:tcPr>
          <w:p>
            <w:r>
              <w:rPr>
                <w:sz w:val="20"/>
              </w:rPr>
              <w:t>Webhooks.API (HTTP), Identity.API (OIDC)</w:t>
            </w:r>
          </w:p>
        </w:tc>
      </w:tr>
      <w:tr>
        <w:tc>
          <w:tcPr>
            <w:tcW w:type="dxa" w:w="2880"/>
          </w:tcPr>
          <w:p>
            <w:r>
              <w:rPr>
                <w:sz w:val="20"/>
              </w:rPr>
              <w:t>Catalog.API</w:t>
            </w:r>
          </w:p>
        </w:tc>
        <w:tc>
          <w:tcPr>
            <w:tcW w:type="dxa" w:w="7488"/>
          </w:tcPr>
          <w:p>
            <w:r>
              <w:rPr>
                <w:sz w:val="20"/>
              </w:rPr>
              <w:t>PostgreSQL (catalogdb), RabbitMQ, OpenAI/Ollama (optional), IntegrationEventLogEF</w:t>
            </w:r>
          </w:p>
        </w:tc>
      </w:tr>
      <w:tr>
        <w:tc>
          <w:tcPr>
            <w:tcW w:type="dxa" w:w="2880"/>
          </w:tcPr>
          <w:p>
            <w:r>
              <w:rPr>
                <w:sz w:val="20"/>
              </w:rPr>
              <w:t>Basket.API</w:t>
            </w:r>
          </w:p>
        </w:tc>
        <w:tc>
          <w:tcPr>
            <w:tcW w:type="dxa" w:w="7488"/>
          </w:tcPr>
          <w:p>
            <w:r>
              <w:rPr>
                <w:sz w:val="20"/>
              </w:rPr>
              <w:t>Redis, RabbitMQ, Identity.API (auth)</w:t>
            </w:r>
          </w:p>
        </w:tc>
      </w:tr>
      <w:tr>
        <w:tc>
          <w:tcPr>
            <w:tcW w:type="dxa" w:w="2880"/>
          </w:tcPr>
          <w:p>
            <w:r>
              <w:rPr>
                <w:sz w:val="20"/>
              </w:rPr>
              <w:t>Ordering.API</w:t>
            </w:r>
          </w:p>
        </w:tc>
        <w:tc>
          <w:tcPr>
            <w:tcW w:type="dxa" w:w="7488"/>
          </w:tcPr>
          <w:p>
            <w:r>
              <w:rPr>
                <w:sz w:val="20"/>
              </w:rPr>
              <w:t>PostgreSQL (orderingdb), RabbitMQ, Ordering.Domain, Ordering.Infrastructure, IntegrationEventLogEF</w:t>
            </w:r>
          </w:p>
        </w:tc>
      </w:tr>
      <w:tr>
        <w:tc>
          <w:tcPr>
            <w:tcW w:type="dxa" w:w="2880"/>
          </w:tcPr>
          <w:p>
            <w:r>
              <w:rPr>
                <w:sz w:val="20"/>
              </w:rPr>
              <w:t>Ordering.Domain</w:t>
            </w:r>
          </w:p>
        </w:tc>
        <w:tc>
          <w:tcPr>
            <w:tcW w:type="dxa" w:w="7488"/>
          </w:tcPr>
          <w:p>
            <w:r>
              <w:rPr>
                <w:sz w:val="20"/>
              </w:rPr>
              <w:t>(none – pure domain model)</w:t>
            </w:r>
          </w:p>
        </w:tc>
      </w:tr>
      <w:tr>
        <w:tc>
          <w:tcPr>
            <w:tcW w:type="dxa" w:w="2880"/>
          </w:tcPr>
          <w:p>
            <w:r>
              <w:rPr>
                <w:sz w:val="20"/>
              </w:rPr>
              <w:t>Ordering.Infrastructure</w:t>
            </w:r>
          </w:p>
        </w:tc>
        <w:tc>
          <w:tcPr>
            <w:tcW w:type="dxa" w:w="7488"/>
          </w:tcPr>
          <w:p>
            <w:r>
              <w:rPr>
                <w:sz w:val="20"/>
              </w:rPr>
              <w:t>Ordering.Domain, PostgreSQL (orderingdb)</w:t>
            </w:r>
          </w:p>
        </w:tc>
      </w:tr>
      <w:tr>
        <w:tc>
          <w:tcPr>
            <w:tcW w:type="dxa" w:w="2880"/>
          </w:tcPr>
          <w:p>
            <w:r>
              <w:rPr>
                <w:sz w:val="20"/>
              </w:rPr>
              <w:t>OrderProcessor</w:t>
            </w:r>
          </w:p>
        </w:tc>
        <w:tc>
          <w:tcPr>
            <w:tcW w:type="dxa" w:w="7488"/>
          </w:tcPr>
          <w:p>
            <w:r>
              <w:rPr>
                <w:sz w:val="20"/>
              </w:rPr>
              <w:t>PostgreSQL (orderingdb – direct Npgsql), RabbitMQ</w:t>
            </w:r>
          </w:p>
        </w:tc>
      </w:tr>
      <w:tr>
        <w:tc>
          <w:tcPr>
            <w:tcW w:type="dxa" w:w="2880"/>
          </w:tcPr>
          <w:p>
            <w:r>
              <w:rPr>
                <w:sz w:val="20"/>
              </w:rPr>
              <w:t>PaymentProcessor</w:t>
            </w:r>
          </w:p>
        </w:tc>
        <w:tc>
          <w:tcPr>
            <w:tcW w:type="dxa" w:w="7488"/>
          </w:tcPr>
          <w:p>
            <w:r>
              <w:rPr>
                <w:sz w:val="20"/>
              </w:rPr>
              <w:t>RabbitMQ</w:t>
            </w:r>
          </w:p>
        </w:tc>
      </w:tr>
      <w:tr>
        <w:tc>
          <w:tcPr>
            <w:tcW w:type="dxa" w:w="2880"/>
          </w:tcPr>
          <w:p>
            <w:r>
              <w:rPr>
                <w:sz w:val="20"/>
              </w:rPr>
              <w:t>Webhooks.API</w:t>
            </w:r>
          </w:p>
        </w:tc>
        <w:tc>
          <w:tcPr>
            <w:tcW w:type="dxa" w:w="7488"/>
          </w:tcPr>
          <w:p>
            <w:r>
              <w:rPr>
                <w:sz w:val="20"/>
              </w:rPr>
              <w:t>PostgreSQL (webhooksdb), RabbitMQ, Identity.API (auth)</w:t>
            </w:r>
          </w:p>
        </w:tc>
      </w:tr>
      <w:tr>
        <w:tc>
          <w:tcPr>
            <w:tcW w:type="dxa" w:w="2880"/>
          </w:tcPr>
          <w:p>
            <w:r>
              <w:rPr>
                <w:sz w:val="20"/>
              </w:rPr>
              <w:t>Identity.API</w:t>
            </w:r>
          </w:p>
        </w:tc>
        <w:tc>
          <w:tcPr>
            <w:tcW w:type="dxa" w:w="7488"/>
          </w:tcPr>
          <w:p>
            <w:r>
              <w:rPr>
                <w:sz w:val="20"/>
              </w:rPr>
              <w:t>PostgreSQL (identitydb)</w:t>
            </w:r>
          </w:p>
        </w:tc>
      </w:tr>
      <w:tr>
        <w:tc>
          <w:tcPr>
            <w:tcW w:type="dxa" w:w="2880"/>
          </w:tcPr>
          <w:p>
            <w:r>
              <w:rPr>
                <w:sz w:val="20"/>
              </w:rPr>
              <w:t>eShop.AppHost</w:t>
            </w:r>
          </w:p>
        </w:tc>
        <w:tc>
          <w:tcPr>
            <w:tcW w:type="dxa" w:w="7488"/>
          </w:tcPr>
          <w:p>
            <w:r>
              <w:rPr>
                <w:sz w:val="20"/>
              </w:rPr>
              <w:t>All services (orchestrates)</w:t>
            </w:r>
          </w:p>
        </w:tc>
      </w:tr>
      <w:tr>
        <w:tc>
          <w:tcPr>
            <w:tcW w:type="dxa" w:w="2880"/>
          </w:tcPr>
          <w:p>
            <w:r>
              <w:rPr>
                <w:sz w:val="20"/>
              </w:rPr>
              <w:t>eShop.ServiceDefaults</w:t>
            </w:r>
          </w:p>
        </w:tc>
        <w:tc>
          <w:tcPr>
            <w:tcW w:type="dxa" w:w="7488"/>
          </w:tcPr>
          <w:p>
            <w:r>
              <w:rPr>
                <w:sz w:val="20"/>
              </w:rPr>
              <w:t>(applied to all services – no runtime deps)</w:t>
            </w:r>
          </w:p>
        </w:tc>
      </w:tr>
      <w:tr>
        <w:tc>
          <w:tcPr>
            <w:tcW w:type="dxa" w:w="2880"/>
          </w:tcPr>
          <w:p>
            <w:r>
              <w:rPr>
                <w:sz w:val="20"/>
              </w:rPr>
              <w:t>EventBus</w:t>
            </w:r>
          </w:p>
        </w:tc>
        <w:tc>
          <w:tcPr>
            <w:tcW w:type="dxa" w:w="7488"/>
          </w:tcPr>
          <w:p>
            <w:r>
              <w:rPr>
                <w:sz w:val="20"/>
              </w:rPr>
              <w:t>(abstraction library – no runtime deps)</w:t>
            </w:r>
          </w:p>
        </w:tc>
      </w:tr>
      <w:tr>
        <w:tc>
          <w:tcPr>
            <w:tcW w:type="dxa" w:w="2880"/>
          </w:tcPr>
          <w:p>
            <w:r>
              <w:rPr>
                <w:sz w:val="20"/>
              </w:rPr>
              <w:t>EventBusRabbitMQ</w:t>
            </w:r>
          </w:p>
        </w:tc>
        <w:tc>
          <w:tcPr>
            <w:tcW w:type="dxa" w:w="7488"/>
          </w:tcPr>
          <w:p>
            <w:r>
              <w:rPr>
                <w:sz w:val="20"/>
              </w:rPr>
              <w:t>EventBus, RabbitMQ.Client</w:t>
            </w:r>
          </w:p>
        </w:tc>
      </w:tr>
      <w:tr>
        <w:tc>
          <w:tcPr>
            <w:tcW w:type="dxa" w:w="2880"/>
          </w:tcPr>
          <w:p>
            <w:r>
              <w:rPr>
                <w:sz w:val="20"/>
              </w:rPr>
              <w:t>IntegrationEventLogEF</w:t>
            </w:r>
          </w:p>
        </w:tc>
        <w:tc>
          <w:tcPr>
            <w:tcW w:type="dxa" w:w="7488"/>
          </w:tcPr>
          <w:p>
            <w:r>
              <w:rPr>
                <w:sz w:val="20"/>
              </w:rPr>
              <w:t>EF Core</w:t>
            </w:r>
          </w:p>
        </w:tc>
      </w:tr>
    </w:tbl>
    <w:p>
      <w:r>
        <w:br w:type="page"/>
      </w:r>
    </w:p>
    <w:p>
      <w:pPr>
        <w:pStyle w:val="Heading1"/>
      </w:pPr>
      <w:r>
        <w:t>16. Technology Stack Summary</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2672C4"/>
          </w:tcPr>
          <w:p>
            <w:r>
              <w:rPr>
                <w:b/>
                <w:color w:val="FFFFFF"/>
              </w:rPr>
              <w:t>Category</w:t>
            </w:r>
          </w:p>
        </w:tc>
        <w:tc>
          <w:tcPr>
            <w:tcW w:type="dxa" w:w="3168"/>
            <w:shd w:val="clear" w:color="auto" w:fill="2672C4"/>
          </w:tcPr>
          <w:p>
            <w:r>
              <w:rPr>
                <w:b/>
                <w:color w:val="FFFFFF"/>
              </w:rPr>
              <w:t>Technology / Library</w:t>
            </w:r>
          </w:p>
        </w:tc>
        <w:tc>
          <w:tcPr>
            <w:tcW w:type="dxa" w:w="4608"/>
            <w:shd w:val="clear" w:color="auto" w:fill="2672C4"/>
          </w:tcPr>
          <w:p>
            <w:r>
              <w:rPr>
                <w:b/>
                <w:color w:val="FFFFFF"/>
              </w:rPr>
              <w:t>Version / Notes</w:t>
            </w:r>
          </w:p>
        </w:tc>
      </w:tr>
      <w:tr>
        <w:tc>
          <w:tcPr>
            <w:tcW w:type="dxa" w:w="2592"/>
          </w:tcPr>
          <w:p>
            <w:r>
              <w:rPr>
                <w:sz w:val="20"/>
              </w:rPr>
              <w:t>Runtime</w:t>
            </w:r>
          </w:p>
        </w:tc>
        <w:tc>
          <w:tcPr>
            <w:tcW w:type="dxa" w:w="3168"/>
          </w:tcPr>
          <w:p>
            <w:r>
              <w:rPr>
                <w:sz w:val="20"/>
              </w:rPr>
              <w:t>.NET</w:t>
            </w:r>
          </w:p>
        </w:tc>
        <w:tc>
          <w:tcPr>
            <w:tcW w:type="dxa" w:w="4608"/>
          </w:tcPr>
          <w:p>
            <w:r>
              <w:rPr>
                <w:sz w:val="20"/>
              </w:rPr>
              <w:t>9 / 10 (multi-targeting)</w:t>
            </w:r>
          </w:p>
        </w:tc>
      </w:tr>
      <w:tr>
        <w:tc>
          <w:tcPr>
            <w:tcW w:type="dxa" w:w="2592"/>
          </w:tcPr>
          <w:p>
            <w:r>
              <w:rPr>
                <w:sz w:val="20"/>
              </w:rPr>
              <w:t>Web Framework</w:t>
            </w:r>
          </w:p>
        </w:tc>
        <w:tc>
          <w:tcPr>
            <w:tcW w:type="dxa" w:w="3168"/>
          </w:tcPr>
          <w:p>
            <w:r>
              <w:rPr>
                <w:sz w:val="20"/>
              </w:rPr>
              <w:t>ASP.NET Core</w:t>
            </w:r>
          </w:p>
        </w:tc>
        <w:tc>
          <w:tcPr>
            <w:tcW w:type="dxa" w:w="4608"/>
          </w:tcPr>
          <w:p>
            <w:r>
              <w:rPr>
                <w:sz w:val="20"/>
              </w:rPr>
              <w:t>9 / 10</w:t>
            </w:r>
          </w:p>
        </w:tc>
      </w:tr>
      <w:tr>
        <w:tc>
          <w:tcPr>
            <w:tcW w:type="dxa" w:w="2592"/>
          </w:tcPr>
          <w:p>
            <w:r>
              <w:rPr>
                <w:sz w:val="20"/>
              </w:rPr>
              <w:t>Web UI</w:t>
            </w:r>
          </w:p>
        </w:tc>
        <w:tc>
          <w:tcPr>
            <w:tcW w:type="dxa" w:w="3168"/>
          </w:tcPr>
          <w:p>
            <w:r>
              <w:rPr>
                <w:sz w:val="20"/>
              </w:rPr>
              <w:t>Blazor Server</w:t>
            </w:r>
          </w:p>
        </w:tc>
        <w:tc>
          <w:tcPr>
            <w:tcW w:type="dxa" w:w="4608"/>
          </w:tcPr>
          <w:p>
            <w:r>
              <w:rPr>
                <w:sz w:val="20"/>
              </w:rPr>
              <w:t>Interactive server rendering</w:t>
            </w:r>
          </w:p>
        </w:tc>
      </w:tr>
      <w:tr>
        <w:tc>
          <w:tcPr>
            <w:tcW w:type="dxa" w:w="2592"/>
          </w:tcPr>
          <w:p>
            <w:r>
              <w:rPr>
                <w:sz w:val="20"/>
              </w:rPr>
              <w:t>Mobile / Desktop UI</w:t>
            </w:r>
          </w:p>
        </w:tc>
        <w:tc>
          <w:tcPr>
            <w:tcW w:type="dxa" w:w="3168"/>
          </w:tcPr>
          <w:p>
            <w:r>
              <w:rPr>
                <w:sz w:val="20"/>
              </w:rPr>
              <w:t>.NET MAUI</w:t>
            </w:r>
          </w:p>
        </w:tc>
        <w:tc>
          <w:tcPr>
            <w:tcW w:type="dxa" w:w="4608"/>
          </w:tcPr>
          <w:p>
            <w:r>
              <w:rPr>
                <w:sz w:val="20"/>
              </w:rPr>
              <w:t>10, Blazor Hybrid variant</w:t>
            </w:r>
          </w:p>
        </w:tc>
      </w:tr>
      <w:tr>
        <w:tc>
          <w:tcPr>
            <w:tcW w:type="dxa" w:w="2592"/>
          </w:tcPr>
          <w:p>
            <w:r>
              <w:rPr>
                <w:sz w:val="20"/>
              </w:rPr>
              <w:t>API Protocols</w:t>
            </w:r>
          </w:p>
        </w:tc>
        <w:tc>
          <w:tcPr>
            <w:tcW w:type="dxa" w:w="3168"/>
          </w:tcPr>
          <w:p>
            <w:r>
              <w:rPr>
                <w:sz w:val="20"/>
              </w:rPr>
              <w:t>REST (HTTP/HTTPS)</w:t>
            </w:r>
          </w:p>
        </w:tc>
        <w:tc>
          <w:tcPr>
            <w:tcW w:type="dxa" w:w="4608"/>
          </w:tcPr>
          <w:p>
            <w:r>
              <w:rPr>
                <w:sz w:val="20"/>
              </w:rPr>
              <w:t>Asp.Versioning, OpenAPI</w:t>
            </w:r>
          </w:p>
        </w:tc>
      </w:tr>
      <w:tr>
        <w:tc>
          <w:tcPr>
            <w:tcW w:type="dxa" w:w="2592"/>
          </w:tcPr>
          <w:p>
            <w:r>
              <w:rPr>
                <w:sz w:val="20"/>
              </w:rPr>
              <w:t>API Protocols</w:t>
            </w:r>
          </w:p>
        </w:tc>
        <w:tc>
          <w:tcPr>
            <w:tcW w:type="dxa" w:w="3168"/>
          </w:tcPr>
          <w:p>
            <w:r>
              <w:rPr>
                <w:sz w:val="20"/>
              </w:rPr>
              <w:t>gRPC</w:t>
            </w:r>
          </w:p>
        </w:tc>
        <w:tc>
          <w:tcPr>
            <w:tcW w:type="dxa" w:w="4608"/>
          </w:tcPr>
          <w:p>
            <w:r>
              <w:rPr>
                <w:sz w:val="20"/>
              </w:rPr>
              <w:t>Protocol Buffers (.proto)</w:t>
            </w:r>
          </w:p>
        </w:tc>
      </w:tr>
      <w:tr>
        <w:tc>
          <w:tcPr>
            <w:tcW w:type="dxa" w:w="2592"/>
          </w:tcPr>
          <w:p>
            <w:r>
              <w:rPr>
                <w:sz w:val="20"/>
              </w:rPr>
              <w:t>Auth Protocol</w:t>
            </w:r>
          </w:p>
        </w:tc>
        <w:tc>
          <w:tcPr>
            <w:tcW w:type="dxa" w:w="3168"/>
          </w:tcPr>
          <w:p>
            <w:r>
              <w:rPr>
                <w:sz w:val="20"/>
              </w:rPr>
              <w:t>OAuth 2.0 / OIDC</w:t>
            </w:r>
          </w:p>
        </w:tc>
        <w:tc>
          <w:tcPr>
            <w:tcW w:type="dxa" w:w="4608"/>
          </w:tcPr>
          <w:p>
            <w:r>
              <w:rPr>
                <w:sz w:val="20"/>
              </w:rPr>
              <w:t>Authorisation code + PKCE</w:t>
            </w:r>
          </w:p>
        </w:tc>
      </w:tr>
      <w:tr>
        <w:tc>
          <w:tcPr>
            <w:tcW w:type="dxa" w:w="2592"/>
          </w:tcPr>
          <w:p>
            <w:r>
              <w:rPr>
                <w:sz w:val="20"/>
              </w:rPr>
              <w:t>Auth Server</w:t>
            </w:r>
          </w:p>
        </w:tc>
        <w:tc>
          <w:tcPr>
            <w:tcW w:type="dxa" w:w="3168"/>
          </w:tcPr>
          <w:p>
            <w:r>
              <w:rPr>
                <w:sz w:val="20"/>
              </w:rPr>
              <w:t>Duende IdentityServer</w:t>
            </w:r>
          </w:p>
        </w:tc>
        <w:tc>
          <w:tcPr>
            <w:tcW w:type="dxa" w:w="4608"/>
          </w:tcPr>
          <w:p>
            <w:r>
              <w:rPr>
                <w:sz w:val="20"/>
              </w:rPr>
              <w:t>8.x</w:t>
            </w:r>
          </w:p>
        </w:tc>
      </w:tr>
      <w:tr>
        <w:tc>
          <w:tcPr>
            <w:tcW w:type="dxa" w:w="2592"/>
          </w:tcPr>
          <w:p>
            <w:r>
              <w:rPr>
                <w:sz w:val="20"/>
              </w:rPr>
              <w:t>Auth Client</w:t>
            </w:r>
          </w:p>
        </w:tc>
        <w:tc>
          <w:tcPr>
            <w:tcW w:type="dxa" w:w="3168"/>
          </w:tcPr>
          <w:p>
            <w:r>
              <w:rPr>
                <w:sz w:val="20"/>
              </w:rPr>
              <w:t>IdentityModel.OidcClient</w:t>
            </w:r>
          </w:p>
        </w:tc>
        <w:tc>
          <w:tcPr>
            <w:tcW w:type="dxa" w:w="4608"/>
          </w:tcPr>
          <w:p>
            <w:r>
              <w:rPr>
                <w:sz w:val="20"/>
              </w:rPr>
              <w:t>MAUI native auth flows</w:t>
            </w:r>
          </w:p>
        </w:tc>
      </w:tr>
      <w:tr>
        <w:tc>
          <w:tcPr>
            <w:tcW w:type="dxa" w:w="2592"/>
          </w:tcPr>
          <w:p>
            <w:r>
              <w:rPr>
                <w:sz w:val="20"/>
              </w:rPr>
              <w:t>Orchestration</w:t>
            </w:r>
          </w:p>
        </w:tc>
        <w:tc>
          <w:tcPr>
            <w:tcW w:type="dxa" w:w="3168"/>
          </w:tcPr>
          <w:p>
            <w:r>
              <w:rPr>
                <w:sz w:val="20"/>
              </w:rPr>
              <w:t>.NET Aspire</w:t>
            </w:r>
          </w:p>
        </w:tc>
        <w:tc>
          <w:tcPr>
            <w:tcW w:type="dxa" w:w="4608"/>
          </w:tcPr>
          <w:p>
            <w:r>
              <w:rPr>
                <w:sz w:val="20"/>
              </w:rPr>
              <w:t>13.x (AppHost, Hosting)</w:t>
            </w:r>
          </w:p>
        </w:tc>
      </w:tr>
      <w:tr>
        <w:tc>
          <w:tcPr>
            <w:tcW w:type="dxa" w:w="2592"/>
          </w:tcPr>
          <w:p>
            <w:r>
              <w:rPr>
                <w:sz w:val="20"/>
              </w:rPr>
              <w:t>Event Bus</w:t>
            </w:r>
          </w:p>
        </w:tc>
        <w:tc>
          <w:tcPr>
            <w:tcW w:type="dxa" w:w="3168"/>
          </w:tcPr>
          <w:p>
            <w:r>
              <w:rPr>
                <w:sz w:val="20"/>
              </w:rPr>
              <w:t>RabbitMQ</w:t>
            </w:r>
          </w:p>
        </w:tc>
        <w:tc>
          <w:tcPr>
            <w:tcW w:type="dxa" w:w="4608"/>
          </w:tcPr>
          <w:p>
            <w:r>
              <w:rPr>
                <w:sz w:val="20"/>
              </w:rPr>
              <w:t>Direct exchange, Polly retry</w:t>
            </w:r>
          </w:p>
        </w:tc>
      </w:tr>
      <w:tr>
        <w:tc>
          <w:tcPr>
            <w:tcW w:type="dxa" w:w="2592"/>
          </w:tcPr>
          <w:p>
            <w:r>
              <w:rPr>
                <w:sz w:val="20"/>
              </w:rPr>
              <w:t>Database</w:t>
            </w:r>
          </w:p>
        </w:tc>
        <w:tc>
          <w:tcPr>
            <w:tcW w:type="dxa" w:w="3168"/>
          </w:tcPr>
          <w:p>
            <w:r>
              <w:rPr>
                <w:sz w:val="20"/>
              </w:rPr>
              <w:t>PostgreSQL</w:t>
            </w:r>
          </w:p>
        </w:tc>
        <w:tc>
          <w:tcPr>
            <w:tcW w:type="dxa" w:w="4608"/>
          </w:tcPr>
          <w:p>
            <w:r>
              <w:rPr>
                <w:sz w:val="20"/>
              </w:rPr>
              <w:t>15+, pgvector extension</w:t>
            </w:r>
          </w:p>
        </w:tc>
      </w:tr>
      <w:tr>
        <w:tc>
          <w:tcPr>
            <w:tcW w:type="dxa" w:w="2592"/>
          </w:tcPr>
          <w:p>
            <w:r>
              <w:rPr>
                <w:sz w:val="20"/>
              </w:rPr>
              <w:t>Cache</w:t>
            </w:r>
          </w:p>
        </w:tc>
        <w:tc>
          <w:tcPr>
            <w:tcW w:type="dxa" w:w="3168"/>
          </w:tcPr>
          <w:p>
            <w:r>
              <w:rPr>
                <w:sz w:val="20"/>
              </w:rPr>
              <w:t>Redis</w:t>
            </w:r>
          </w:p>
        </w:tc>
        <w:tc>
          <w:tcPr>
            <w:tcW w:type="dxa" w:w="4608"/>
          </w:tcPr>
          <w:p>
            <w:r>
              <w:rPr>
                <w:sz w:val="20"/>
              </w:rPr>
              <w:t>StackExchange.Redis</w:t>
            </w:r>
          </w:p>
        </w:tc>
      </w:tr>
      <w:tr>
        <w:tc>
          <w:tcPr>
            <w:tcW w:type="dxa" w:w="2592"/>
          </w:tcPr>
          <w:p>
            <w:r>
              <w:rPr>
                <w:sz w:val="20"/>
              </w:rPr>
              <w:t>ORM</w:t>
            </w:r>
          </w:p>
        </w:tc>
        <w:tc>
          <w:tcPr>
            <w:tcW w:type="dxa" w:w="3168"/>
          </w:tcPr>
          <w:p>
            <w:r>
              <w:rPr>
                <w:sz w:val="20"/>
              </w:rPr>
              <w:t>Entity Framework Core</w:t>
            </w:r>
          </w:p>
        </w:tc>
        <w:tc>
          <w:tcPr>
            <w:tcW w:type="dxa" w:w="4608"/>
          </w:tcPr>
          <w:p>
            <w:r>
              <w:rPr>
                <w:sz w:val="20"/>
              </w:rPr>
              <w:t>Npgsql provider</w:t>
            </w:r>
          </w:p>
        </w:tc>
      </w:tr>
      <w:tr>
        <w:tc>
          <w:tcPr>
            <w:tcW w:type="dxa" w:w="2592"/>
          </w:tcPr>
          <w:p>
            <w:r>
              <w:rPr>
                <w:sz w:val="20"/>
              </w:rPr>
              <w:t>CQRS Mediator</w:t>
            </w:r>
          </w:p>
        </w:tc>
        <w:tc>
          <w:tcPr>
            <w:tcW w:type="dxa" w:w="3168"/>
          </w:tcPr>
          <w:p>
            <w:r>
              <w:rPr>
                <w:sz w:val="20"/>
              </w:rPr>
              <w:t>MediatR</w:t>
            </w:r>
          </w:p>
        </w:tc>
        <w:tc>
          <w:tcPr>
            <w:tcW w:type="dxa" w:w="4608"/>
          </w:tcPr>
          <w:p>
            <w:r>
              <w:rPr>
                <w:sz w:val="20"/>
              </w:rPr>
              <w:t>Command / Query handlers</w:t>
            </w:r>
          </w:p>
        </w:tc>
      </w:tr>
      <w:tr>
        <w:tc>
          <w:tcPr>
            <w:tcW w:type="dxa" w:w="2592"/>
          </w:tcPr>
          <w:p>
            <w:r>
              <w:rPr>
                <w:sz w:val="20"/>
              </w:rPr>
              <w:t>Validation</w:t>
            </w:r>
          </w:p>
        </w:tc>
        <w:tc>
          <w:tcPr>
            <w:tcW w:type="dxa" w:w="3168"/>
          </w:tcPr>
          <w:p>
            <w:r>
              <w:rPr>
                <w:sz w:val="20"/>
              </w:rPr>
              <w:t>FluentValidation</w:t>
            </w:r>
          </w:p>
        </w:tc>
        <w:tc>
          <w:tcPr>
            <w:tcW w:type="dxa" w:w="4608"/>
          </w:tcPr>
          <w:p>
            <w:r>
              <w:rPr>
                <w:sz w:val="20"/>
              </w:rPr>
              <w:t>Pipeline behavior</w:t>
            </w:r>
          </w:p>
        </w:tc>
      </w:tr>
      <w:tr>
        <w:tc>
          <w:tcPr>
            <w:tcW w:type="dxa" w:w="2592"/>
          </w:tcPr>
          <w:p>
            <w:r>
              <w:rPr>
                <w:sz w:val="20"/>
              </w:rPr>
              <w:t>AI / Embeddings</w:t>
            </w:r>
          </w:p>
        </w:tc>
        <w:tc>
          <w:tcPr>
            <w:tcW w:type="dxa" w:w="3168"/>
          </w:tcPr>
          <w:p>
            <w:r>
              <w:rPr>
                <w:sz w:val="20"/>
              </w:rPr>
              <w:t>Azure OpenAI / Ollama</w:t>
            </w:r>
          </w:p>
        </w:tc>
        <w:tc>
          <w:tcPr>
            <w:tcW w:type="dxa" w:w="4608"/>
          </w:tcPr>
          <w:p>
            <w:r>
              <w:rPr>
                <w:sz w:val="20"/>
              </w:rPr>
              <w:t>Text embeddings, semantic search</w:t>
            </w:r>
          </w:p>
        </w:tc>
      </w:tr>
      <w:tr>
        <w:tc>
          <w:tcPr>
            <w:tcW w:type="dxa" w:w="2592"/>
          </w:tcPr>
          <w:p>
            <w:r>
              <w:rPr>
                <w:sz w:val="20"/>
              </w:rPr>
              <w:t>Reverse Proxy</w:t>
            </w:r>
          </w:p>
        </w:tc>
        <w:tc>
          <w:tcPr>
            <w:tcW w:type="dxa" w:w="3168"/>
          </w:tcPr>
          <w:p>
            <w:r>
              <w:rPr>
                <w:sz w:val="20"/>
              </w:rPr>
              <w:t>YARP</w:t>
            </w:r>
          </w:p>
        </w:tc>
        <w:tc>
          <w:tcPr>
            <w:tcW w:type="dxa" w:w="4608"/>
          </w:tcPr>
          <w:p>
            <w:r>
              <w:rPr>
                <w:sz w:val="20"/>
              </w:rPr>
              <w:t>Mobile BFF routing</w:t>
            </w:r>
          </w:p>
        </w:tc>
      </w:tr>
      <w:tr>
        <w:tc>
          <w:tcPr>
            <w:tcW w:type="dxa" w:w="2592"/>
          </w:tcPr>
          <w:p>
            <w:r>
              <w:rPr>
                <w:sz w:val="20"/>
              </w:rPr>
              <w:t>Observability</w:t>
            </w:r>
          </w:p>
        </w:tc>
        <w:tc>
          <w:tcPr>
            <w:tcW w:type="dxa" w:w="3168"/>
          </w:tcPr>
          <w:p>
            <w:r>
              <w:rPr>
                <w:sz w:val="20"/>
              </w:rPr>
              <w:t>OpenTelemetry</w:t>
            </w:r>
          </w:p>
        </w:tc>
        <w:tc>
          <w:tcPr>
            <w:tcW w:type="dxa" w:w="4608"/>
          </w:tcPr>
          <w:p>
            <w:r>
              <w:rPr>
                <w:sz w:val="20"/>
              </w:rPr>
              <w:t>Logs, Traces, Metrics (OTLP)</w:t>
            </w:r>
          </w:p>
        </w:tc>
      </w:tr>
      <w:tr>
        <w:tc>
          <w:tcPr>
            <w:tcW w:type="dxa" w:w="2592"/>
          </w:tcPr>
          <w:p>
            <w:r>
              <w:rPr>
                <w:sz w:val="20"/>
              </w:rPr>
              <w:t>Container Runtime</w:t>
            </w:r>
          </w:p>
        </w:tc>
        <w:tc>
          <w:tcPr>
            <w:tcW w:type="dxa" w:w="3168"/>
          </w:tcPr>
          <w:p>
            <w:r>
              <w:rPr>
                <w:sz w:val="20"/>
              </w:rPr>
              <w:t>Docker</w:t>
            </w:r>
          </w:p>
        </w:tc>
        <w:tc>
          <w:tcPr>
            <w:tcW w:type="dxa" w:w="4608"/>
          </w:tcPr>
          <w:p>
            <w:r>
              <w:rPr>
                <w:sz w:val="20"/>
              </w:rPr>
              <w:t>Docker Desktop (local)</w:t>
            </w:r>
          </w:p>
        </w:tc>
      </w:tr>
      <w:tr>
        <w:tc>
          <w:tcPr>
            <w:tcW w:type="dxa" w:w="2592"/>
          </w:tcPr>
          <w:p>
            <w:r>
              <w:rPr>
                <w:sz w:val="20"/>
              </w:rPr>
              <w:t>Cloud Platform</w:t>
            </w:r>
          </w:p>
        </w:tc>
        <w:tc>
          <w:tcPr>
            <w:tcW w:type="dxa" w:w="3168"/>
          </w:tcPr>
          <w:p>
            <w:r>
              <w:rPr>
                <w:sz w:val="20"/>
              </w:rPr>
              <w:t>Azure</w:t>
            </w:r>
          </w:p>
        </w:tc>
        <w:tc>
          <w:tcPr>
            <w:tcW w:type="dxa" w:w="4608"/>
          </w:tcPr>
          <w:p>
            <w:r>
              <w:rPr>
                <w:sz w:val="20"/>
              </w:rPr>
              <w:t>azd, Container Apps, PG, Redis</w:t>
            </w:r>
          </w:p>
        </w:tc>
      </w:tr>
      <w:tr>
        <w:tc>
          <w:tcPr>
            <w:tcW w:type="dxa" w:w="2592"/>
          </w:tcPr>
          <w:p>
            <w:r>
              <w:rPr>
                <w:sz w:val="20"/>
              </w:rPr>
              <w:t>Testing</w:t>
            </w:r>
          </w:p>
        </w:tc>
        <w:tc>
          <w:tcPr>
            <w:tcW w:type="dxa" w:w="3168"/>
          </w:tcPr>
          <w:p>
            <w:r>
              <w:rPr>
                <w:sz w:val="20"/>
              </w:rPr>
              <w:t>xUnit / Playwright</w:t>
            </w:r>
          </w:p>
        </w:tc>
        <w:tc>
          <w:tcPr>
            <w:tcW w:type="dxa" w:w="4608"/>
          </w:tcPr>
          <w:p>
            <w:r>
              <w:rPr>
                <w:sz w:val="20"/>
              </w:rPr>
              <w:t>Functional + E2E tests</w:t>
            </w:r>
          </w:p>
        </w:tc>
      </w:tr>
    </w:tbl>
    <w:p>
      <w:r>
        <w:br w:type="page"/>
      </w:r>
    </w:p>
    <w:p>
      <w:pPr>
        <w:pStyle w:val="Heading1"/>
      </w:pPr>
      <w:r>
        <w:t>Appendix A – Glossary</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2672C4"/>
          </w:tcPr>
          <w:p>
            <w:r>
              <w:rPr>
                <w:b/>
                <w:color w:val="FFFFFF"/>
              </w:rPr>
              <w:t>Term</w:t>
            </w:r>
          </w:p>
        </w:tc>
        <w:tc>
          <w:tcPr>
            <w:tcW w:type="dxa" w:w="7776"/>
            <w:shd w:val="clear" w:color="auto" w:fill="2672C4"/>
          </w:tcPr>
          <w:p>
            <w:r>
              <w:rPr>
                <w:b/>
                <w:color w:val="FFFFFF"/>
              </w:rPr>
              <w:t>Definition</w:t>
            </w:r>
          </w:p>
        </w:tc>
      </w:tr>
      <w:tr>
        <w:tc>
          <w:tcPr>
            <w:tcW w:type="dxa" w:w="2592"/>
          </w:tcPr>
          <w:p>
            <w:r>
              <w:rPr>
                <w:sz w:val="20"/>
              </w:rPr>
              <w:t>Aggregate Root</w:t>
            </w:r>
          </w:p>
        </w:tc>
        <w:tc>
          <w:tcPr>
            <w:tcW w:type="dxa" w:w="7776"/>
          </w:tcPr>
          <w:p>
            <w:r>
              <w:rPr>
                <w:sz w:val="20"/>
              </w:rPr>
              <w:t>DDD concept: the entry point to a cluster of related objects. Changes to the cluster only go through the root.</w:t>
            </w:r>
          </w:p>
        </w:tc>
      </w:tr>
      <w:tr>
        <w:tc>
          <w:tcPr>
            <w:tcW w:type="dxa" w:w="2592"/>
          </w:tcPr>
          <w:p>
            <w:r>
              <w:rPr>
                <w:sz w:val="20"/>
              </w:rPr>
              <w:t>AOT</w:t>
            </w:r>
          </w:p>
        </w:tc>
        <w:tc>
          <w:tcPr>
            <w:tcW w:type="dxa" w:w="7776"/>
          </w:tcPr>
          <w:p>
            <w:r>
              <w:rPr>
                <w:sz w:val="20"/>
              </w:rPr>
              <w:t>Ahead-of-Time compilation: compiles IL to native machine code at build time, not at runtime.</w:t>
            </w:r>
          </w:p>
        </w:tc>
      </w:tr>
      <w:tr>
        <w:tc>
          <w:tcPr>
            <w:tcW w:type="dxa" w:w="2592"/>
          </w:tcPr>
          <w:p>
            <w:r>
              <w:rPr>
                <w:sz w:val="20"/>
              </w:rPr>
              <w:t>Bounded Context</w:t>
            </w:r>
          </w:p>
        </w:tc>
        <w:tc>
          <w:tcPr>
            <w:tcW w:type="dxa" w:w="7776"/>
          </w:tcPr>
          <w:p>
            <w:r>
              <w:rPr>
                <w:sz w:val="20"/>
              </w:rPr>
              <w:t>DDD concept: an explicit boundary within which a particular domain model applies.</w:t>
            </w:r>
          </w:p>
        </w:tc>
      </w:tr>
      <w:tr>
        <w:tc>
          <w:tcPr>
            <w:tcW w:type="dxa" w:w="2592"/>
          </w:tcPr>
          <w:p>
            <w:r>
              <w:rPr>
                <w:sz w:val="20"/>
              </w:rPr>
              <w:t>CQRS</w:t>
            </w:r>
          </w:p>
        </w:tc>
        <w:tc>
          <w:tcPr>
            <w:tcW w:type="dxa" w:w="7776"/>
          </w:tcPr>
          <w:p>
            <w:r>
              <w:rPr>
                <w:sz w:val="20"/>
              </w:rPr>
              <w:t>Command Query Responsibility Segregation: separate models for writes (Commands) and reads (Queries).</w:t>
            </w:r>
          </w:p>
        </w:tc>
      </w:tr>
      <w:tr>
        <w:tc>
          <w:tcPr>
            <w:tcW w:type="dxa" w:w="2592"/>
          </w:tcPr>
          <w:p>
            <w:r>
              <w:rPr>
                <w:sz w:val="20"/>
              </w:rPr>
              <w:t>DDD</w:t>
            </w:r>
          </w:p>
        </w:tc>
        <w:tc>
          <w:tcPr>
            <w:tcW w:type="dxa" w:w="7776"/>
          </w:tcPr>
          <w:p>
            <w:r>
              <w:rPr>
                <w:sz w:val="20"/>
              </w:rPr>
              <w:t>Domain-Driven Design: a software approach where the domain model drives design decisions.</w:t>
            </w:r>
          </w:p>
        </w:tc>
      </w:tr>
      <w:tr>
        <w:tc>
          <w:tcPr>
            <w:tcW w:type="dxa" w:w="2592"/>
          </w:tcPr>
          <w:p>
            <w:r>
              <w:rPr>
                <w:sz w:val="20"/>
              </w:rPr>
              <w:t>gRPC</w:t>
            </w:r>
          </w:p>
        </w:tc>
        <w:tc>
          <w:tcPr>
            <w:tcW w:type="dxa" w:w="7776"/>
          </w:tcPr>
          <w:p>
            <w:r>
              <w:rPr>
                <w:sz w:val="20"/>
              </w:rPr>
              <w:t>Google Remote Procedure Call: high-performance, binary RPC framework using Protocol Buffers.</w:t>
            </w:r>
          </w:p>
        </w:tc>
      </w:tr>
      <w:tr>
        <w:tc>
          <w:tcPr>
            <w:tcW w:type="dxa" w:w="2592"/>
          </w:tcPr>
          <w:p>
            <w:r>
              <w:rPr>
                <w:sz w:val="20"/>
              </w:rPr>
              <w:t>Integration Event</w:t>
            </w:r>
          </w:p>
        </w:tc>
        <w:tc>
          <w:tcPr>
            <w:tcW w:type="dxa" w:w="7776"/>
          </w:tcPr>
          <w:p>
            <w:r>
              <w:rPr>
                <w:sz w:val="20"/>
              </w:rPr>
              <w:t>An event published to the message bus to communicate state changes between microservices.</w:t>
            </w:r>
          </w:p>
        </w:tc>
      </w:tr>
      <w:tr>
        <w:tc>
          <w:tcPr>
            <w:tcW w:type="dxa" w:w="2592"/>
          </w:tcPr>
          <w:p>
            <w:r>
              <w:rPr>
                <w:sz w:val="20"/>
              </w:rPr>
              <w:t>Outbox Pattern</w:t>
            </w:r>
          </w:p>
        </w:tc>
        <w:tc>
          <w:tcPr>
            <w:tcW w:type="dxa" w:w="7776"/>
          </w:tcPr>
          <w:p>
            <w:r>
              <w:rPr>
                <w:sz w:val="20"/>
              </w:rPr>
              <w:t>Technique to guarantee event publishing by writing events to a DB table in the same transaction as domain changes.</w:t>
            </w:r>
          </w:p>
        </w:tc>
      </w:tr>
      <w:tr>
        <w:tc>
          <w:tcPr>
            <w:tcW w:type="dxa" w:w="2592"/>
          </w:tcPr>
          <w:p>
            <w:r>
              <w:rPr>
                <w:sz w:val="20"/>
              </w:rPr>
              <w:t>OIDC</w:t>
            </w:r>
          </w:p>
        </w:tc>
        <w:tc>
          <w:tcPr>
            <w:tcW w:type="dxa" w:w="7776"/>
          </w:tcPr>
          <w:p>
            <w:r>
              <w:rPr>
                <w:sz w:val="20"/>
              </w:rPr>
              <w:t>OpenID Connect: authentication layer on top of OAuth 2.0 for identity federation.</w:t>
            </w:r>
          </w:p>
        </w:tc>
      </w:tr>
      <w:tr>
        <w:tc>
          <w:tcPr>
            <w:tcW w:type="dxa" w:w="2592"/>
          </w:tcPr>
          <w:p>
            <w:r>
              <w:rPr>
                <w:sz w:val="20"/>
              </w:rPr>
              <w:t>OTLP</w:t>
            </w:r>
          </w:p>
        </w:tc>
        <w:tc>
          <w:tcPr>
            <w:tcW w:type="dxa" w:w="7776"/>
          </w:tcPr>
          <w:p>
            <w:r>
              <w:rPr>
                <w:sz w:val="20"/>
              </w:rPr>
              <w:t>OpenTelemetry Protocol: vendor-neutral wire format for exporting telemetry data.</w:t>
            </w:r>
          </w:p>
        </w:tc>
      </w:tr>
      <w:tr>
        <w:tc>
          <w:tcPr>
            <w:tcW w:type="dxa" w:w="2592"/>
          </w:tcPr>
          <w:p>
            <w:r>
              <w:rPr>
                <w:sz w:val="20"/>
              </w:rPr>
              <w:t>pgvector</w:t>
            </w:r>
          </w:p>
        </w:tc>
        <w:tc>
          <w:tcPr>
            <w:tcW w:type="dxa" w:w="7776"/>
          </w:tcPr>
          <w:p>
            <w:r>
              <w:rPr>
                <w:sz w:val="20"/>
              </w:rPr>
              <w:t>PostgreSQL extension for vector similarity search, used here for AI-powered catalogue search.</w:t>
            </w:r>
          </w:p>
        </w:tc>
      </w:tr>
      <w:tr>
        <w:tc>
          <w:tcPr>
            <w:tcW w:type="dxa" w:w="2592"/>
          </w:tcPr>
          <w:p>
            <w:r>
              <w:rPr>
                <w:sz w:val="20"/>
              </w:rPr>
              <w:t>PKCE</w:t>
            </w:r>
          </w:p>
        </w:tc>
        <w:tc>
          <w:tcPr>
            <w:tcW w:type="dxa" w:w="7776"/>
          </w:tcPr>
          <w:p>
            <w:r>
              <w:rPr>
                <w:sz w:val="20"/>
              </w:rPr>
              <w:t>Proof Key for Code Exchange: OAuth 2.0 security extension for public clients (mobile, SPA).</w:t>
            </w:r>
          </w:p>
        </w:tc>
      </w:tr>
      <w:tr>
        <w:tc>
          <w:tcPr>
            <w:tcW w:type="dxa" w:w="2592"/>
          </w:tcPr>
          <w:p>
            <w:r>
              <w:rPr>
                <w:sz w:val="20"/>
              </w:rPr>
              <w:t>Saga</w:t>
            </w:r>
          </w:p>
        </w:tc>
        <w:tc>
          <w:tcPr>
            <w:tcW w:type="dxa" w:w="7776"/>
          </w:tcPr>
          <w:p>
            <w:r>
              <w:rPr>
                <w:sz w:val="20"/>
              </w:rPr>
              <w:t>A sequence of local transactions coordinated via events, used here for the order processing flow.</w:t>
            </w:r>
          </w:p>
        </w:tc>
      </w:tr>
      <w:tr>
        <w:tc>
          <w:tcPr>
            <w:tcW w:type="dxa" w:w="2592"/>
          </w:tcPr>
          <w:p>
            <w:r>
              <w:rPr>
                <w:sz w:val="20"/>
              </w:rPr>
              <w:t>Value Object</w:t>
            </w:r>
          </w:p>
        </w:tc>
        <w:tc>
          <w:tcPr>
            <w:tcW w:type="dxa" w:w="7776"/>
          </w:tcPr>
          <w:p>
            <w:r>
              <w:rPr>
                <w:sz w:val="20"/>
              </w:rPr>
              <w:t>DDD concept: an immutable object defined by its attributes (e.g., Address) rather than an identity.</w:t>
            </w:r>
          </w:p>
        </w:tc>
      </w:tr>
      <w:tr>
        <w:tc>
          <w:tcPr>
            <w:tcW w:type="dxa" w:w="2592"/>
          </w:tcPr>
          <w:p>
            <w:r>
              <w:rPr>
                <w:sz w:val="20"/>
              </w:rPr>
              <w:t>YARP</w:t>
            </w:r>
          </w:p>
        </w:tc>
        <w:tc>
          <w:tcPr>
            <w:tcW w:type="dxa" w:w="7776"/>
          </w:tcPr>
          <w:p>
            <w:r>
              <w:rPr>
                <w:sz w:val="20"/>
              </w:rPr>
              <w:t>Yet Another Reverse Proxy: Microsoft's high-performance, configurable .NET reverse proxy library.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672C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60606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432"/>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