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2ddf5008c7f3304079a7b9ac88c489847bdcfe"/>
    <w:p>
      <w:pPr>
        <w:pStyle w:val="Heading1"/>
      </w:pPr>
      <w:r>
        <w:t xml:space="preserve">Better torn than wrong: auditing three generative AI image services against the Peking opera dress code</w:t>
      </w:r>
    </w:p>
    <w:p>
      <w:pPr>
        <w:pStyle w:val="FirstParagraph"/>
      </w:pPr>
      <w:r>
        <w:t xml:space="preserve">Zhengxian Yan, Department of Performing Arts and Culture, The Catholic University of Korea, 43 Jibong-ro, Bucheon-si, Gyeonggi-do 14662, Republic of Korea. E-mail: yanzx2025@gmail.com. ORCID: https://orcid.org/0009-0004-2140-5821</w:t>
      </w:r>
    </w:p>
    <w:bookmarkStart w:id="20" w:name="abstract"/>
    <w:p>
      <w:pPr>
        <w:pStyle w:val="Heading2"/>
      </w:pPr>
      <w:r>
        <w:t xml:space="preserve">Abstract</w:t>
      </w:r>
    </w:p>
    <w:p>
      <w:pPr>
        <w:pStyle w:val="FirstParagraph"/>
      </w:pPr>
      <w:r>
        <w:t xml:space="preserve">Peking opera costume follows a written dress code that assigns garment, colour, pattern, headwear and props to each role, yet generated images of it have not been audited against that code. I generated 144 full-body images of eight canonical roles in three commercial channels (Doubao, Meta AI, Hunyuan Image Alpha) under two prompts: a minimal one naming role and play, and a structured one adding the codified attributes. Coding six dimensions per image gave 791 judgements (inter-coder κ = 0.70). Only 38.9% of images were fully compliant, with errors concentrated in headwear and small emblematic items. Under the structured prompt the odds of violation were 6.6% of those under the minimal prompt (OR 0.066, 95% CI 0.038–0.116), an effect confounded with the prompt’s greater length, with no channel-by-strategy interaction. The three channels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Short-video platforms now offer</w:t>
      </w:r>
      <w:r>
        <w:t xml:space="preserve"> </w:t>
      </w:r>
      <w:r>
        <w:t xml:space="preserve">“</w:t>
      </w:r>
      <w:r>
        <w:t xml:space="preserve">AI opera costume change</w:t>
      </w:r>
      <w:r>
        <w:t xml:space="preserve">”</w:t>
      </w:r>
      <w:r>
        <w:t xml:space="preserve"> </w:t>
      </w:r>
      <w:r>
        <w:t xml:space="preserve">features that dress a user’s photograph in opera costume (Gong, 2026),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Such errors may pass unnoticed by a layperson. Since these tools are now used by the general public (Gong, 2026),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violations are fewer when the code is stated, equally across channels (RQ3). The study offers a six-dimension codebook that others can reuse, a description of where the errors fall, and an estimate of how far violations fall when the code is written into the prompt, and of what remains.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so that costume, headwear and props are issued together (Liu, Y., 2002). The practice goes back to the</w:t>
      </w:r>
      <w:r>
        <w:t xml:space="preserve"> </w:t>
      </w:r>
      <w:r>
        <w:rPr>
          <w:iCs/>
          <w:i/>
        </w:rPr>
        <w:t xml:space="preserve">chuanguan</w:t>
      </w:r>
      <w:r>
        <w:t xml:space="preserve"> </w:t>
      </w:r>
      <w:r>
        <w:t xml:space="preserve">(穿关), the costume notes attached to each character in Ming court performances (Liu, C. &amp; Xu, 2021), and what came out of it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(Hu &amp; Wang, 2026; Liu, K. et al., 2022; Su, 2025). Ren et al. (2026) reconstructed 30 Qing court opera costumes and evaluated them by perceived reproduction of costume features, usability and immersion.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Closer to heritage, Çelik (2026) scored generated vernacular houses against a morphological matrix weighted by expert judgement, and Galindo-Durán et al. (2026) proposed a protocol in which experts rate the historical rigour of generated heritage images on a twelve-item scale. A codified dress system allows a stricter test, because the correct answer is written down before any image is generated and each item can be judged right or wrong rather than 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perceived reproduction and immersion (Ren et al., 2026), or expert ratings (Çelik, 2026; Galindo-Durán et al., 2026), which treat cultural fidelity as a matter of degree.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The channels are a purposive sample of tools that a designer in my position could readily use, not a representative sample of image generators: Doubao, the AI-native app with the most monthly active users in China in 2026 (QuestMobile, 2026); Meta AI, from one of the leading international developers; and Tencent WorkBuddy, a work platform I used regularly, which gave access to Tencent’s Hunyuan image model.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English was used because all three channels accept it and it matches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who trained in fashion design at associate-degree level and is a master’s student in the art and design track of the Department of Performing Arts and Culture at the Catholic University of Korea.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 The channels differed in how many errors they made more than in where they made them: headwear was among the two most frequently violated dimensions and cross-cultural substitution the least frequent in all three channels (Supplementary material S2).</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Under P2 the odds of a violation were 6.6% of their P1 level (OR = 0.066, 95% CI 0.038–0.116, p &lt; .001). Because P2 added both dress-code content and about 30 words of length, this estimates the effect of the prompt strategy as a whole, not of its content alone. Against Hunyuan Image Alpha, the OR was 0.128 for Doubao (0.082–0.201) and 0.040 for Meta AI (0.021–0.077). The channel × strategy interaction was not significant (p = .18 and .26), so the difference between strategies was of similar proportion in all three channels.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website,</w:t>
      </w:r>
      <w:r>
        <w:t xml:space="preserve"> </w:t>
      </w:r>
      <w:r>
        <w:rPr>
          <w:rStyle w:val="VerbatimChar"/>
        </w:rPr>
        <w:t xml:space="preserve">www.yanqin.net</w:t>
      </w:r>
      <w:r>
        <w:t xml:space="preserve"> </w:t>
      </w:r>
      <w:r>
        <w:t xml:space="preserve">(S34-2). Three Meta AI images of Bao Zheng painted his face on the back of his head (S10-1, S10-3, S36-3).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One possible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outputs are consistent with models that have learned what Peking opera costume looks like but not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71368cd2c7d2a00c5c3f20c8eaab1459f16861f"/>
    <w:p>
      <w:pPr>
        <w:pStyle w:val="Heading3"/>
      </w:pPr>
      <w:r>
        <w:t xml:space="preserve">4.2 Stating the dress code helps only those who already know it</w:t>
      </w:r>
    </w:p>
    <w:p>
      <w:pPr>
        <w:pStyle w:val="FirstParagraph"/>
      </w:pPr>
      <w:r>
        <w:t xml:space="preserve">With garment, colour, motif, headwear, accessories and face written into the prompt, the odds of a violation were more than an order of magnitude lower in every channel. The information in P2 came from published sources, stage practice and the designer’s own training; the model contributed none of it. Because P2 is built from the same rules as the codebook, it measures how far the channels carry out written instructions, not whether they know the dress code.</w:t>
      </w:r>
    </w:p>
    <w:p>
      <w:pPr>
        <w:pStyle w:val="BodyText"/>
      </w:pPr>
      <w:r>
        <w:t xml:space="preserve">Generative tools make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the P2 strategy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mainly to match overall appearance, which may explain why these channels were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 The audit procedure itself, a written standard fixed before generation and checked item by item, can be applied to other dress systems with written rules, such as uniforms or liturgical vestments. Peking opera’s dress code is unusually well documented, however, and the procedure reaches only as far as a system’s rules are written down.</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Labels concealed the prompt strategy, but because P2 images tend to show the specified items, the strategy could often be inferred from the image itself. P2 also differed from P1 in length (61–77 against 32–37 words), so the effect of its content cannot be separated from that of its length; a follow-up with a length-matched prompt that contains no dress-code content is planned (Supplementary material S1). I generated all the images myself, so memory may have weakened blinding further. The second coder was a language model, and coder A consulted an AI assistant for references and terminology while coding. The codebook covers only rules written down in the sources; conventions that live in stage practice, such as layering and role-type habits, were not coded, so the violation rates are a lower bound. Hunyuan Image Alpha is identified from the platform’s own request log, which I could not verify independently. Sources differ on whether Guan Yu’s helmet may carry plumes; treating those three images as compliant does not change the conclusions (Supplementary material S2). The eight roles cover part of the repertoire, with three images per condition, and fine detail was not assessed. The three channels were a purposive sample, so the differences between them should not be read as a ranking of products, and whether other generators, including open-source models, show the same pattern needs separate testing.</w:t>
      </w:r>
    </w:p>
    <w:bookmarkEnd w:id="44"/>
    <w:bookmarkEnd w:id="45"/>
    <w:bookmarkStart w:id="46" w:name="conclusion"/>
    <w:p>
      <w:pPr>
        <w:pStyle w:val="Heading2"/>
      </w:pPr>
      <w:r>
        <w:t xml:space="preserve">5 Conclusion</w:t>
      </w:r>
    </w:p>
    <w:p>
      <w:pPr>
        <w:pStyle w:val="FirstParagraph"/>
      </w:pPr>
      <w:r>
        <w:t xml:space="preserve">Asked for a named Peking opera role, the three channels tested on 21 October 2026 broke the dress code more often than they kept it. Errors concentrated in headwear and the small markers that identify a character, the items with the least area and the most meaning. With the code written into the prompt, most of these errors disappeared but not all, and only a user who already knows the code can write it. The rates will change as the services are updated. What transfers is the codebook and the procedure, with which newer generators can be tested for the same pattern. The three channels reproduce the look of the costume without the knowledge of who may wear what: they can draw a costume for a designer, but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Çelik, T. (2026). AI and the syntax of tradition: Quantifying morphological fidelity in generative representations of vernacular housing.</w:t>
      </w:r>
      <w:r>
        <w:t xml:space="preserve"> </w:t>
      </w:r>
      <w:r>
        <w:rPr>
          <w:iCs/>
          <w:i/>
        </w:rPr>
        <w:t xml:space="preserve">Architectural Science Review</w:t>
      </w:r>
      <w:r>
        <w:t xml:space="preserve">. Advance online publication. https://doi.org/10.1080/00038628.2026.2649592</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Galindo-Durán, A., Prego de Oliver-López, C., &amp; Bernal-Bravo, C. (2026). A methodological protocol for the generation and evaluation of AI-generated cultural heritage content.</w:t>
      </w:r>
      <w:r>
        <w:t xml:space="preserve"> </w:t>
      </w:r>
      <w:r>
        <w:rPr>
          <w:iCs/>
          <w:i/>
        </w:rPr>
        <w:t xml:space="preserve">Journal of Cultural Heritage, 81</w:t>
      </w:r>
      <w:r>
        <w:t xml:space="preserve">, 370–381. https://doi.org/10.1016/j.culher.2026.08.010</w:t>
      </w:r>
    </w:p>
    <w:p>
      <w:pPr>
        <w:pStyle w:val="BodyText"/>
      </w:pPr>
      <w:r>
        <w:t xml:space="preserve">Gong, Y. (2026, June 18). In the age of AI, is Chinese opera being revived or reduced?</w:t>
      </w:r>
      <w:r>
        <w:t xml:space="preserve"> </w:t>
      </w:r>
      <w:r>
        <w:rPr>
          <w:iCs/>
          <w:i/>
        </w:rPr>
        <w:t xml:space="preserve">Sixth Tone</w:t>
      </w:r>
      <w:r>
        <w:t xml:space="preserve">. https://www.sixthtone.com/news/1018674</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Hu, B., &amp; Wang, S. (2026). Digital restoration of traditional Huizhou clothing based on 3D modeling and virtual fitting technology.</w:t>
      </w:r>
      <w:r>
        <w:t xml:space="preserve"> </w:t>
      </w:r>
      <w:r>
        <w:rPr>
          <w:iCs/>
          <w:i/>
        </w:rPr>
        <w:t xml:space="preserve">The Journal of The Textile Institute, 117</w:t>
      </w:r>
      <w:r>
        <w:t xml:space="preserve">(4), 808–822. https://doi.org/10.1080/00405000.2025.2520431</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QuestMobile. (2026).</w:t>
      </w:r>
      <w:r>
        <w:t xml:space="preserve"> </w:t>
      </w:r>
      <w:r>
        <w:rPr>
          <w:iCs/>
          <w:i/>
        </w:rPr>
        <w:t xml:space="preserve">2026 nian AI yingyong shichang fazhan bannianbao</w:t>
      </w:r>
      <w:r>
        <w:t xml:space="preserve"> </w:t>
      </w:r>
      <w:r>
        <w:t xml:space="preserve">[2026 half-year report on the development of the AI application market]. https://www.questmobile.com.cn/research/report/2076954943839809537/</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2026-10-22T12:28:26Z</dcterms:created>
  <dcterms:modified xsi:type="dcterms:W3CDTF">2026-10-22T12:28:26Z</dcterms:modified>
</cp:coreProperties>
</file>

<file path=docProps/custom.xml><?xml version="1.0" encoding="utf-8"?>
<Properties xmlns="http://schemas.openxmlformats.org/officeDocument/2006/custom-properties" xmlns:vt="http://schemas.openxmlformats.org/officeDocument/2006/docPropsVTypes"/>
</file>