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C464086" w14:textId="345F13EE" w:rsidR="006B0314" w:rsidRPr="00F2566D" w:rsidRDefault="00F2566D" w:rsidP="003A6288">
      <w:pPr>
        <w:pStyle w:val="Title"/>
        <w:jc w:val="center"/>
        <w:rPr>
          <w:sz w:val="52"/>
        </w:rPr>
      </w:pPr>
      <w:r w:rsidRPr="00F2566D">
        <w:rPr>
          <w:sz w:val="52"/>
        </w:rPr>
        <w:t>From General Logic to</w:t>
      </w:r>
      <w:r w:rsidR="00253B7F" w:rsidRPr="00F2566D">
        <w:rPr>
          <w:sz w:val="52"/>
        </w:rPr>
        <w:t xml:space="preserve"> </w:t>
      </w:r>
      <w:r w:rsidR="003A6288" w:rsidRPr="00F2566D">
        <w:rPr>
          <w:sz w:val="52"/>
        </w:rPr>
        <w:t>Transcendental Logic</w:t>
      </w:r>
    </w:p>
    <w:p w14:paraId="06A0D233" w14:textId="77777777" w:rsidR="00F2566D" w:rsidRDefault="00F2566D" w:rsidP="00F2566D">
      <w:pPr>
        <w:jc w:val="center"/>
      </w:pPr>
    </w:p>
    <w:p w14:paraId="6E6DC600" w14:textId="18300E49" w:rsidR="00F2566D" w:rsidRPr="00F2566D" w:rsidRDefault="00F2566D" w:rsidP="00F2566D">
      <w:pPr>
        <w:jc w:val="center"/>
      </w:pPr>
      <w:r>
        <w:t>Yao Fan</w:t>
      </w:r>
    </w:p>
    <w:p w14:paraId="6A0EBA76" w14:textId="77777777" w:rsidR="003A6288" w:rsidRDefault="003A6288"/>
    <w:p w14:paraId="4E6B083D" w14:textId="284264CA" w:rsidR="00884DA8" w:rsidRDefault="00FF24C0" w:rsidP="00B92AD5">
      <w:pPr>
        <w:spacing w:line="480" w:lineRule="auto"/>
        <w:jc w:val="both"/>
      </w:pPr>
      <w:r>
        <w:t xml:space="preserve">Tolley (2012) proposes </w:t>
      </w:r>
      <w:r w:rsidR="007F4141">
        <w:t>an account for the difference between</w:t>
      </w:r>
      <w:r>
        <w:t xml:space="preserve"> Kant’s transcendental logic</w:t>
      </w:r>
      <w:r w:rsidR="007F4141">
        <w:t xml:space="preserve"> and traditional general logic</w:t>
      </w:r>
      <w:r>
        <w:t xml:space="preserve">, arguing that the transcendental </w:t>
      </w:r>
      <w:r w:rsidR="00884DA8">
        <w:t xml:space="preserve">logic </w:t>
      </w:r>
      <w:r>
        <w:t xml:space="preserve">concerns a different aspect of understanding, namely, the </w:t>
      </w:r>
      <w:r w:rsidRPr="00884DA8">
        <w:rPr>
          <w:i/>
        </w:rPr>
        <w:t>content</w:t>
      </w:r>
      <w:r>
        <w:t xml:space="preserve"> of thinking and judging,</w:t>
      </w:r>
      <w:r w:rsidR="00884DA8">
        <w:t xml:space="preserve"> albeit</w:t>
      </w:r>
      <w:r>
        <w:t xml:space="preserve"> in a very abstract manner. Tolley</w:t>
      </w:r>
      <w:r w:rsidR="007F4141">
        <w:t xml:space="preserve"> claims that his view </w:t>
      </w:r>
      <w:r w:rsidR="00070A9A">
        <w:t>refutes the orthodox view that tr</w:t>
      </w:r>
      <w:r w:rsidR="00884DA8">
        <w:t xml:space="preserve">anscendental logic is different from general logic by having a different domain of application. </w:t>
      </w:r>
    </w:p>
    <w:p w14:paraId="0FA4B428" w14:textId="3300AA71" w:rsidR="00C96101" w:rsidRDefault="00884DA8" w:rsidP="00001222">
      <w:pPr>
        <w:spacing w:line="480" w:lineRule="auto"/>
        <w:jc w:val="both"/>
      </w:pPr>
      <w:r>
        <w:t xml:space="preserve">This essay contrasts Tolley’s view with </w:t>
      </w:r>
      <w:r w:rsidR="00001222">
        <w:t xml:space="preserve">what I will call “the objective account”, which </w:t>
      </w:r>
      <w:r>
        <w:t>a particular</w:t>
      </w:r>
      <w:r w:rsidR="00EB7E25">
        <w:t xml:space="preserve"> </w:t>
      </w:r>
      <w:r w:rsidR="00CC516F">
        <w:t xml:space="preserve">version of </w:t>
      </w:r>
      <w:r w:rsidR="001F0816">
        <w:t xml:space="preserve">what </w:t>
      </w:r>
      <w:r>
        <w:t>Tolley calls</w:t>
      </w:r>
      <w:r w:rsidR="00C703D9">
        <w:t xml:space="preserve"> the</w:t>
      </w:r>
      <w:r>
        <w:t xml:space="preserve"> “domain-subordinative” </w:t>
      </w:r>
      <w:r w:rsidR="001F0816">
        <w:t>account</w:t>
      </w:r>
      <w:r>
        <w:t xml:space="preserve"> of transcendental logic</w:t>
      </w:r>
      <w:r w:rsidR="00001222">
        <w:t xml:space="preserve">. The objective account, roughly speaking, </w:t>
      </w:r>
      <w:r w:rsidR="00C45171">
        <w:t xml:space="preserve">contends that </w:t>
      </w:r>
      <w:r w:rsidR="009A6BDA">
        <w:t xml:space="preserve">transcendental logic concerns </w:t>
      </w:r>
      <w:r w:rsidR="003B3EE0">
        <w:t xml:space="preserve">all thoughts/judgments of objects, </w:t>
      </w:r>
      <w:r w:rsidR="00F8022C">
        <w:t>in contrast to</w:t>
      </w:r>
      <w:r w:rsidR="003B3EE0">
        <w:t xml:space="preserve"> general logic</w:t>
      </w:r>
      <w:r w:rsidR="00F8022C">
        <w:t>, which</w:t>
      </w:r>
      <w:r w:rsidR="003B3EE0">
        <w:t xml:space="preserve"> concerns all thoughts/judgments </w:t>
      </w:r>
      <w:r w:rsidR="003B3EE0" w:rsidRPr="00F8022C">
        <w:rPr>
          <w:i/>
        </w:rPr>
        <w:t>simpliciter</w:t>
      </w:r>
      <w:r w:rsidR="003B3EE0">
        <w:t>.</w:t>
      </w:r>
      <w:r w:rsidR="00C703D9">
        <w:t xml:space="preserve"> </w:t>
      </w:r>
      <w:r w:rsidR="00C96101">
        <w:t xml:space="preserve">After a brief introduction </w:t>
      </w:r>
      <w:r w:rsidR="00CC57F1">
        <w:t>to</w:t>
      </w:r>
      <w:r w:rsidR="00C96101">
        <w:t xml:space="preserve"> the background of the discussion, I will </w:t>
      </w:r>
      <w:r w:rsidR="00001222">
        <w:t xml:space="preserve">introduce the object account </w:t>
      </w:r>
      <w:proofErr w:type="gramStart"/>
      <w:r w:rsidR="00C96101">
        <w:t>in light of</w:t>
      </w:r>
      <w:proofErr w:type="gramEnd"/>
      <w:r w:rsidR="00C96101">
        <w:t xml:space="preserve"> some of Tolley’s minor objections</w:t>
      </w:r>
      <w:r w:rsidR="00C703D9">
        <w:t xml:space="preserve"> (</w:t>
      </w:r>
      <w:r w:rsidR="00C703D9" w:rsidRPr="00C96101">
        <w:t>§</w:t>
      </w:r>
      <w:r w:rsidR="00C703D9">
        <w:t xml:space="preserve">1). Then, I will </w:t>
      </w:r>
      <w:r w:rsidR="00001222">
        <w:t>discuss</w:t>
      </w:r>
      <w:r w:rsidR="00C703D9">
        <w:t xml:space="preserve"> Tolley’s proposal, which we may call the change-of-aspect </w:t>
      </w:r>
      <w:r w:rsidR="00001222">
        <w:t>account and give my own argument in support of the necessity of this change of aspect in the transition from transcendental logic to general logic</w:t>
      </w:r>
      <w:r w:rsidR="00C96101">
        <w:t xml:space="preserve"> (</w:t>
      </w:r>
      <w:r w:rsidR="00C96101" w:rsidRPr="00C96101">
        <w:t>§</w:t>
      </w:r>
      <w:r w:rsidR="00C96101">
        <w:t>2).</w:t>
      </w:r>
      <w:r w:rsidR="00C703D9">
        <w:t xml:space="preserve"> </w:t>
      </w:r>
      <w:r w:rsidR="00001222">
        <w:t>Having all the considerations in view, I will contrast</w:t>
      </w:r>
      <w:r w:rsidR="00C96101">
        <w:t xml:space="preserve"> </w:t>
      </w:r>
      <w:r w:rsidR="00D66A72">
        <w:t xml:space="preserve">Tolley’s </w:t>
      </w:r>
      <w:r w:rsidR="00001222">
        <w:t xml:space="preserve">position with the objective account, arguing that the dispute eventually leads us to topics Kant didn’t discuss extensively in his writing and both views must somehow fill in the blank left by Kant. I shall argue, only briefly, that the objective account seems to do a better job at filling the blank than Tolley’s position, as the later forces some peculiar positions over the nature of statements in general logic. </w:t>
      </w:r>
    </w:p>
    <w:p w14:paraId="167073C7" w14:textId="73164712" w:rsidR="00F2566D" w:rsidRDefault="00F2566D" w:rsidP="00001222">
      <w:pPr>
        <w:spacing w:line="480" w:lineRule="auto"/>
        <w:jc w:val="both"/>
      </w:pPr>
    </w:p>
    <w:p w14:paraId="38B17D11" w14:textId="77777777" w:rsidR="00F2566D" w:rsidRDefault="00F2566D" w:rsidP="00001222">
      <w:pPr>
        <w:spacing w:line="480" w:lineRule="auto"/>
        <w:jc w:val="both"/>
      </w:pPr>
    </w:p>
    <w:p w14:paraId="0BDB3E55" w14:textId="658976DB" w:rsidR="00C96101" w:rsidRDefault="00D766AB" w:rsidP="009B1570">
      <w:pPr>
        <w:pStyle w:val="Heading1"/>
        <w:numPr>
          <w:ilvl w:val="0"/>
          <w:numId w:val="5"/>
        </w:numPr>
      </w:pPr>
      <w:r>
        <w:lastRenderedPageBreak/>
        <w:t>Introduction</w:t>
      </w:r>
    </w:p>
    <w:p w14:paraId="65A1A6EB" w14:textId="12780AEE" w:rsidR="00383894" w:rsidRPr="00383894" w:rsidRDefault="00383894" w:rsidP="00383894"/>
    <w:p w14:paraId="580CC89A" w14:textId="780212B0" w:rsidR="009B1570" w:rsidRDefault="00074BF2" w:rsidP="00B92AD5">
      <w:pPr>
        <w:spacing w:line="480" w:lineRule="auto"/>
        <w:jc w:val="both"/>
      </w:pPr>
      <w:r>
        <w:t>It can never be overemphasized how important transcendental logic is to Kant’s critical philosophy.</w:t>
      </w:r>
      <w:r w:rsidR="006D3726">
        <w:t xml:space="preserve"> Kant</w:t>
      </w:r>
      <w:r>
        <w:t xml:space="preserve"> </w:t>
      </w:r>
      <w:r w:rsidR="006D3726">
        <w:t>n</w:t>
      </w:r>
      <w:r>
        <w:t>ot only use</w:t>
      </w:r>
      <w:r w:rsidR="006D3726">
        <w:t>d</w:t>
      </w:r>
      <w:r>
        <w:t xml:space="preserve"> it as the title for the most part of</w:t>
      </w:r>
      <w:r w:rsidR="006D3726">
        <w:t xml:space="preserve"> the</w:t>
      </w:r>
      <w:r>
        <w:t xml:space="preserve"> first </w:t>
      </w:r>
      <w:r w:rsidRPr="006D3726">
        <w:rPr>
          <w:i/>
        </w:rPr>
        <w:t>Critique</w:t>
      </w:r>
      <w:r>
        <w:t xml:space="preserve"> </w:t>
      </w:r>
      <w:r w:rsidR="006D3726">
        <w:t xml:space="preserve">(B74-B732 under the title ‘Transcendental Logic’), but also appealed, again and again, to the core elements of transcendental logic, known as pure concepts of understanding, or categories, both in his theoretical philosophy and in his practical philosophy. </w:t>
      </w:r>
    </w:p>
    <w:p w14:paraId="4ECA1E52" w14:textId="3E8067DD" w:rsidR="0067740C" w:rsidRPr="00FF6B02" w:rsidRDefault="0067740C" w:rsidP="00B92AD5">
      <w:pPr>
        <w:spacing w:line="480" w:lineRule="auto"/>
        <w:jc w:val="both"/>
      </w:pPr>
      <w:r>
        <w:t>At various places, Kant emphasized there</w:t>
      </w:r>
      <w:r w:rsidR="007B588E">
        <w:t xml:space="preserve"> being</w:t>
      </w:r>
      <w:r>
        <w:t xml:space="preserve"> </w:t>
      </w:r>
      <w:r w:rsidR="004834F6">
        <w:t xml:space="preserve">both </w:t>
      </w:r>
      <w:r>
        <w:t>significant differences</w:t>
      </w:r>
      <w:r w:rsidR="004834F6">
        <w:t xml:space="preserve"> and close connections</w:t>
      </w:r>
      <w:r>
        <w:t xml:space="preserve"> between the traditional general logic and his novel transcendental logic. </w:t>
      </w:r>
      <w:r w:rsidR="007B588E">
        <w:t>For example, it’s obvious, from how much he values and relies on the exact alignment between the table of judgments and the table of categories, that there must be a tight connection</w:t>
      </w:r>
      <w:r w:rsidR="004834F6">
        <w:t xml:space="preserve"> between general logic and transcendental logic.</w:t>
      </w:r>
      <w:r w:rsidR="00FF6B02">
        <w:t xml:space="preserve"> H</w:t>
      </w:r>
      <w:r w:rsidR="00FF6B02">
        <w:rPr>
          <w:rFonts w:hint="eastAsia"/>
        </w:rPr>
        <w:t>owev</w:t>
      </w:r>
      <w:r w:rsidR="00FF6B02">
        <w:t>er, it’s not straightforward to see</w:t>
      </w:r>
      <w:r w:rsidR="00B60021">
        <w:t>, from Kant’s writing,</w:t>
      </w:r>
      <w:r w:rsidR="00FF6B02">
        <w:t xml:space="preserve"> what this connection precise</w:t>
      </w:r>
      <w:r w:rsidR="00CC57F1">
        <w:t>ly</w:t>
      </w:r>
      <w:r w:rsidR="00FF6B02">
        <w:t xml:space="preserve"> is. </w:t>
      </w:r>
      <w:r w:rsidR="004834F6">
        <w:t>More generally, the exact relation between general logic and transcendental logic</w:t>
      </w:r>
      <w:r w:rsidR="00FF6B02">
        <w:t xml:space="preserve"> has been a topic of discussion, since the publication of the first </w:t>
      </w:r>
      <w:r w:rsidR="00FF6B02">
        <w:rPr>
          <w:i/>
        </w:rPr>
        <w:t>Critique</w:t>
      </w:r>
      <w:r w:rsidR="00FF6B02">
        <w:t xml:space="preserve"> in 1781, until today, without forming a definite consensus. </w:t>
      </w:r>
    </w:p>
    <w:p w14:paraId="31ECDBDD" w14:textId="4F63E1A5" w:rsidR="001A396A" w:rsidRDefault="001A396A" w:rsidP="00B92AD5">
      <w:pPr>
        <w:spacing w:line="480" w:lineRule="auto"/>
        <w:jc w:val="both"/>
      </w:pPr>
      <w:r>
        <w:t xml:space="preserve">Kant takes the validity of traditional general logic as granted. He apparently doesn’t intend transcendental logic to replace traditional general logic. Indeed, he relies on the fact that transcendental logic can somehow be derived from </w:t>
      </w:r>
      <w:r w:rsidRPr="003608C0">
        <w:t>general logic as the evidence that transcendental logic is</w:t>
      </w:r>
      <w:r w:rsidR="003608C0" w:rsidRPr="003608C0">
        <w:t xml:space="preserve">, in our contemporary terminology, </w:t>
      </w:r>
      <w:r w:rsidRPr="003608C0">
        <w:t xml:space="preserve">both </w:t>
      </w:r>
      <w:r w:rsidR="003608C0" w:rsidRPr="003608C0">
        <w:t>sound</w:t>
      </w:r>
      <w:r w:rsidRPr="003608C0">
        <w:t xml:space="preserve"> and complete </w:t>
      </w:r>
      <w:r w:rsidR="003608C0" w:rsidRPr="003608C0">
        <w:t>to</w:t>
      </w:r>
      <w:r w:rsidRPr="003608C0">
        <w:t xml:space="preserve"> our understanding, which assumes the </w:t>
      </w:r>
      <w:r w:rsidR="003608C0" w:rsidRPr="003608C0">
        <w:t>soundness and completeness</w:t>
      </w:r>
      <w:r w:rsidRPr="003608C0">
        <w:t xml:space="preserve"> of traditional general logic. The dominant view on the difference</w:t>
      </w:r>
      <w:r w:rsidR="000B00D1">
        <w:t xml:space="preserve"> between transcendental logic and general logic</w:t>
      </w:r>
      <w:r w:rsidR="008C2FAD">
        <w:t>, which Tolley calls the domain-sensitive account,</w:t>
      </w:r>
      <w:r w:rsidRPr="003608C0">
        <w:t xml:space="preserve"> has been that transcendental logic has a different domain of application </w:t>
      </w:r>
      <w:r w:rsidR="00122825">
        <w:rPr>
          <w:rFonts w:hint="eastAsia"/>
        </w:rPr>
        <w:t>com</w:t>
      </w:r>
      <w:r w:rsidR="00122825">
        <w:t xml:space="preserve">pared to </w:t>
      </w:r>
      <w:r w:rsidRPr="003608C0">
        <w:t xml:space="preserve">general logic. It can be surprising to contemporary readers that two different logics can both be valid in virtue of having different domains of application, given that contemporary philosophers tend to take </w:t>
      </w:r>
      <w:r w:rsidR="003608C0" w:rsidRPr="003608C0">
        <w:t>universal applicability</w:t>
      </w:r>
      <w:r w:rsidRPr="003608C0">
        <w:t xml:space="preserve"> as one of the </w:t>
      </w:r>
      <w:r w:rsidR="003608C0" w:rsidRPr="003608C0">
        <w:t>defining</w:t>
      </w:r>
      <w:r w:rsidRPr="003608C0">
        <w:t xml:space="preserve"> features</w:t>
      </w:r>
      <w:r>
        <w:t xml:space="preserve"> of logic. To make sense of this view, we </w:t>
      </w:r>
      <w:proofErr w:type="gramStart"/>
      <w:r w:rsidR="00066E63">
        <w:t>have to</w:t>
      </w:r>
      <w:proofErr w:type="gramEnd"/>
      <w:r>
        <w:t xml:space="preserve"> </w:t>
      </w:r>
      <w:r w:rsidR="00122825">
        <w:t>learn</w:t>
      </w:r>
      <w:r w:rsidR="003608C0">
        <w:t xml:space="preserve"> what Kant means by ‘logic’ and in particular, the distinction between general logic and special logic. </w:t>
      </w:r>
    </w:p>
    <w:p w14:paraId="1BA879FD" w14:textId="0536D27D" w:rsidR="002B7E86" w:rsidRDefault="000405A8" w:rsidP="00B92AD5">
      <w:pPr>
        <w:spacing w:line="480" w:lineRule="auto"/>
        <w:jc w:val="both"/>
      </w:pPr>
      <w:r>
        <w:lastRenderedPageBreak/>
        <w:t xml:space="preserve">Kant adopts the distinction </w:t>
      </w:r>
      <w:r w:rsidR="00CC57F1">
        <w:t xml:space="preserve">between general logic and special logic. General logic, as the name suggests, is the most general logic, </w:t>
      </w:r>
      <w:r w:rsidR="00EA123D">
        <w:t>containing</w:t>
      </w:r>
      <w:r w:rsidR="00CC57F1">
        <w:t xml:space="preserve"> </w:t>
      </w:r>
      <w:r w:rsidR="00EA123D">
        <w:t xml:space="preserve">“the absolutely necessary rules of thought without which there can be no employment whatsoever of the understanding”. A special logic, on the other hand, “contains the rules of correct thinking as regards a certain kind of objects” </w:t>
      </w:r>
      <w:r w:rsidR="00122825">
        <w:t xml:space="preserve">(Kemp Smith, B76). </w:t>
      </w:r>
      <w:r w:rsidR="003608C0">
        <w:t xml:space="preserve">For example, if one attended law school and learnt a </w:t>
      </w:r>
      <w:proofErr w:type="gramStart"/>
      <w:r w:rsidR="003608C0">
        <w:t>particular way</w:t>
      </w:r>
      <w:proofErr w:type="gramEnd"/>
      <w:r w:rsidR="003608C0">
        <w:t xml:space="preserve"> of reasoning about legal matters, that way of reasoning would be qualified as a special logic, concerning correct thinking regarding legal matters. Nowadays,</w:t>
      </w:r>
      <w:r w:rsidR="00122825">
        <w:t xml:space="preserve"> such “</w:t>
      </w:r>
      <w:r w:rsidR="003608C0">
        <w:t>special logics”</w:t>
      </w:r>
      <w:r w:rsidR="00122825">
        <w:t xml:space="preserve"> are typically called</w:t>
      </w:r>
      <w:r w:rsidR="003608C0">
        <w:t xml:space="preserve"> methodologies of </w:t>
      </w:r>
      <w:r w:rsidR="00122825">
        <w:t>some</w:t>
      </w:r>
      <w:r w:rsidR="003608C0">
        <w:t xml:space="preserve"> </w:t>
      </w:r>
      <w:proofErr w:type="gramStart"/>
      <w:r w:rsidR="003608C0">
        <w:t>particular subject</w:t>
      </w:r>
      <w:proofErr w:type="gramEnd"/>
      <w:r w:rsidR="003608C0">
        <w:t xml:space="preserve">. </w:t>
      </w:r>
      <w:r w:rsidR="00CD1538">
        <w:t>The special logic of legal matters, i</w:t>
      </w:r>
      <w:r w:rsidR="00122825">
        <w:t xml:space="preserve">n virtue of having a restricted domain of application, </w:t>
      </w:r>
      <w:r w:rsidR="00CD1538">
        <w:t xml:space="preserve">can be quite different from general logic. </w:t>
      </w:r>
      <w:r w:rsidR="002B7E86">
        <w:t xml:space="preserve">If we take logic as, roughly, the study of the patterns of judgments and thoughts. </w:t>
      </w:r>
      <w:r w:rsidR="00CD1538">
        <w:t xml:space="preserve">The totality of judgments and thoughts about legal matters would have a more definite pattern than the totality of judgments and thoughts </w:t>
      </w:r>
      <w:r w:rsidR="00CD1538" w:rsidRPr="00F8022C">
        <w:rPr>
          <w:i/>
        </w:rPr>
        <w:t>simpliciter</w:t>
      </w:r>
      <w:r w:rsidR="00CD1538">
        <w:t xml:space="preserve">. </w:t>
      </w:r>
      <w:r w:rsidR="008C2FAD">
        <w:t xml:space="preserve">Hence, general logic and special logic of legal matters can both be sound and complete to the understanding as employed in their domains of application, namely judgments and thoughts </w:t>
      </w:r>
      <w:r w:rsidR="008C2FAD" w:rsidRPr="00F8022C">
        <w:rPr>
          <w:i/>
        </w:rPr>
        <w:t>simpliciter</w:t>
      </w:r>
      <w:r w:rsidR="008C2FAD">
        <w:t xml:space="preserve"> and judgments and thoughts of legal matters. This justifies how transcendental logic can be different from general logic without failing to sound and complete to the understanding (as employed in its domain of application) by having a different domain of application than general logic.</w:t>
      </w:r>
    </w:p>
    <w:p w14:paraId="34CD3B25" w14:textId="73D03023" w:rsidR="008C2FAD" w:rsidRDefault="008C2FAD" w:rsidP="00B92AD5">
      <w:pPr>
        <w:spacing w:line="480" w:lineRule="auto"/>
        <w:jc w:val="both"/>
      </w:pPr>
      <w:r>
        <w:t xml:space="preserve">But </w:t>
      </w:r>
      <w:r w:rsidR="00C703D9">
        <w:t>which</w:t>
      </w:r>
      <w:r>
        <w:t xml:space="preserve"> domain?</w:t>
      </w:r>
    </w:p>
    <w:p w14:paraId="78438378" w14:textId="22FF5EA9" w:rsidR="008C2FAD" w:rsidRDefault="00D74349" w:rsidP="00B92AD5">
      <w:pPr>
        <w:spacing w:line="480" w:lineRule="auto"/>
        <w:jc w:val="both"/>
      </w:pPr>
      <w:r>
        <w:t xml:space="preserve">According to </w:t>
      </w:r>
      <w:r w:rsidR="008C2FAD">
        <w:t xml:space="preserve">Tolley, there are two major </w:t>
      </w:r>
      <w:r w:rsidR="007A7E6E">
        <w:t>species</w:t>
      </w:r>
      <w:r w:rsidR="008C2FAD">
        <w:t xml:space="preserve"> of the domain-sensitive account, namely the domain-exclusive account and the domain-subordinative account. The domain-exclusive account takes </w:t>
      </w:r>
      <w:r w:rsidR="00C46BCE">
        <w:rPr>
          <w:rFonts w:hint="eastAsia"/>
        </w:rPr>
        <w:t>tra</w:t>
      </w:r>
      <w:r w:rsidR="00C46BCE">
        <w:t>nscendental logic as applicable to a domain where general logic doesn’t apply</w:t>
      </w:r>
      <w:r w:rsidR="001807B7">
        <w:t xml:space="preserve">. One the other hand, the domain-subordinative account takes transcendental logic as applicable to a subdomain of the domain of general logic, which makes transcendental logic a special logic, in the way the logic of legal matter is. This essay focuses on the </w:t>
      </w:r>
      <w:r w:rsidR="00C703D9">
        <w:t>domain-</w:t>
      </w:r>
      <w:r w:rsidR="00F96550">
        <w:t>subordinative</w:t>
      </w:r>
      <w:r w:rsidR="00C703D9">
        <w:t xml:space="preserve"> account</w:t>
      </w:r>
      <w:r w:rsidR="001807B7">
        <w:t>, which has been gradually taken over since 20</w:t>
      </w:r>
      <w:r w:rsidR="001807B7" w:rsidRPr="001807B7">
        <w:rPr>
          <w:vertAlign w:val="superscript"/>
        </w:rPr>
        <w:t>th</w:t>
      </w:r>
      <w:r w:rsidR="001807B7">
        <w:t xml:space="preserve"> century. </w:t>
      </w:r>
      <w:r w:rsidR="007A7E6E">
        <w:t>I should briefly note here that, agreeing with Tolley</w:t>
      </w:r>
      <w:r w:rsidR="00024B6B">
        <w:t xml:space="preserve"> among others</w:t>
      </w:r>
      <w:r w:rsidR="007A7E6E">
        <w:t xml:space="preserve">, I </w:t>
      </w:r>
      <w:r w:rsidR="00767644">
        <w:t xml:space="preserve">think that the domain-exclusive account underrates the </w:t>
      </w:r>
      <w:r w:rsidR="007A7E6E">
        <w:t xml:space="preserve">absolute generality of general logic, which Kant emphasizes at various </w:t>
      </w:r>
      <w:r w:rsidR="007A7E6E">
        <w:lastRenderedPageBreak/>
        <w:t xml:space="preserve">places and in particular, in the above quoted passage that general logic contains “the absolutely necessary rules of thought without which there can be no employment whatsoever of the understanding” (Kemp Smith, B76). </w:t>
      </w:r>
    </w:p>
    <w:p w14:paraId="4B920C00" w14:textId="146FF429" w:rsidR="00C703D9" w:rsidRDefault="00C703D9" w:rsidP="00B92AD5">
      <w:pPr>
        <w:spacing w:line="480" w:lineRule="auto"/>
        <w:jc w:val="both"/>
      </w:pPr>
      <w:r>
        <w:t>Then, which subdomain?</w:t>
      </w:r>
    </w:p>
    <w:p w14:paraId="7F9D1778" w14:textId="11BCC514" w:rsidR="00EB39A1" w:rsidRDefault="00EB39A1" w:rsidP="00B92AD5">
      <w:pPr>
        <w:spacing w:line="480" w:lineRule="auto"/>
        <w:jc w:val="both"/>
      </w:pPr>
      <w:r>
        <w:t>In (Tolley, 2012), two candidate views about transcendental logic’s domain of application are discussed. One view, held by Paton, Tonelli and Wolff, claims that transcendental logic is devoted exclusive to the synthetic a priori judgments and thoughts.</w:t>
      </w:r>
      <w:r w:rsidR="00024B6B">
        <w:t xml:space="preserve"> </w:t>
      </w:r>
      <w:r>
        <w:t xml:space="preserve"> In contrast to the domain-exclusive account, which also takes transcendental logic as devoted to the synthetic a priori judgments and thoughts, this view takes the synthetic a priori judgments and thoughts as inside the domain of application of general logic. The other view, endorsed by MacFarlane among others, takes transcendental logic as restricted to “objects capable of being given in human sensibility”. </w:t>
      </w:r>
    </w:p>
    <w:p w14:paraId="3BF3EA93" w14:textId="51B1E4DD" w:rsidR="00BE57B5" w:rsidRDefault="00BE57B5" w:rsidP="00B92AD5">
      <w:pPr>
        <w:spacing w:line="480" w:lineRule="auto"/>
        <w:jc w:val="both"/>
      </w:pPr>
      <w:r>
        <w:t xml:space="preserve">Tolley’s core objection to </w:t>
      </w:r>
      <w:proofErr w:type="gramStart"/>
      <w:r>
        <w:t xml:space="preserve">both </w:t>
      </w:r>
      <w:r w:rsidR="00BC4068">
        <w:t>of the</w:t>
      </w:r>
      <w:r w:rsidR="00445556">
        <w:rPr>
          <w:rFonts w:hint="eastAsia"/>
        </w:rPr>
        <w:t>se</w:t>
      </w:r>
      <w:proofErr w:type="gramEnd"/>
      <w:r w:rsidR="00BC4068">
        <w:t xml:space="preserve"> two views is that they render </w:t>
      </w:r>
      <w:r w:rsidR="00355A0B">
        <w:t>transcendental logic not general enough.</w:t>
      </w:r>
      <w:r w:rsidR="004D55B7">
        <w:rPr>
          <w:rStyle w:val="FootnoteReference"/>
        </w:rPr>
        <w:footnoteReference w:id="2"/>
      </w:r>
      <w:r w:rsidR="00445556">
        <w:t xml:space="preserve"> Tolley provides the following arguments in support of the generality of transcendental logic. </w:t>
      </w:r>
    </w:p>
    <w:p w14:paraId="06920FC3" w14:textId="77777777" w:rsidR="00445556" w:rsidRDefault="00445556" w:rsidP="00B92AD5">
      <w:pPr>
        <w:spacing w:line="480" w:lineRule="auto"/>
        <w:jc w:val="both"/>
      </w:pPr>
      <w:r>
        <w:t>(1) Either of these two views will make categories restricted in some way by our faculty of sensibility, which contradicts Kant’s remarks that the categories “relate to objects generally without any conditions of sensibility” (B120) and that “the categories extend themselves farther than sensible intuition, because they think objects in general [</w:t>
      </w:r>
      <w:proofErr w:type="spellStart"/>
      <w:r>
        <w:t>überhaupt</w:t>
      </w:r>
      <w:proofErr w:type="spellEnd"/>
      <w:r>
        <w:t xml:space="preserve">], without seeing to the particular manner [Art] (of sensibility) in which they might be given” (B309). </w:t>
      </w:r>
    </w:p>
    <w:p w14:paraId="1B2DE205" w14:textId="77777777" w:rsidR="00445556" w:rsidRDefault="00445556" w:rsidP="00B92AD5">
      <w:pPr>
        <w:spacing w:line="480" w:lineRule="auto"/>
        <w:jc w:val="both"/>
      </w:pPr>
      <w:r>
        <w:lastRenderedPageBreak/>
        <w:t>(2) Transcendental logic is not only applied to metaphysics, but</w:t>
      </w:r>
      <w:proofErr w:type="gramStart"/>
      <w:r>
        <w:t>, in particular, to</w:t>
      </w:r>
      <w:proofErr w:type="gramEnd"/>
      <w:r>
        <w:t xml:space="preserve"> ontology. Ontology, for Kant, is a general or universal science, whose domain is simply that of things in general, without qualification. </w:t>
      </w:r>
    </w:p>
    <w:p w14:paraId="440F9ADB" w14:textId="5070BA69" w:rsidR="00445556" w:rsidRDefault="00445556" w:rsidP="00B92AD5">
      <w:pPr>
        <w:spacing w:line="480" w:lineRule="auto"/>
        <w:jc w:val="both"/>
      </w:pPr>
      <w:r>
        <w:t>(</w:t>
      </w:r>
      <w:r w:rsidR="00D11598">
        <w:t>3</w:t>
      </w:r>
      <w:r>
        <w:t xml:space="preserve">) Reviewing the history of the usage of the term ‘transcendental’, which is available to Kant, one realizes that this term has a strong connotation with ‘absolute necessity’ or ‘absolute universality’. It’s unlikely for Kant to discard this connotation in using this term. </w:t>
      </w:r>
    </w:p>
    <w:p w14:paraId="548A5B95" w14:textId="5CBD06BD" w:rsidR="00445556" w:rsidRDefault="00445556" w:rsidP="00B92AD5">
      <w:pPr>
        <w:spacing w:line="480" w:lineRule="auto"/>
        <w:jc w:val="both"/>
      </w:pPr>
      <w:r>
        <w:t>(</w:t>
      </w:r>
      <w:r w:rsidR="00D11598">
        <w:t>4</w:t>
      </w:r>
      <w:r>
        <w:t xml:space="preserve">) Kant, at various place (B87, B106, B165), describes the categories as “the elements of the pure cognition of the understanding and the principles without which no object can be thought at all” (B87). This attribution to the categories, along with the fact that they are called “categories”, a term used by Aristotle for the most basic kinds of entities, clearly indicates the intended generality of transcendental logic. </w:t>
      </w:r>
    </w:p>
    <w:p w14:paraId="13D2EE6A" w14:textId="556DF926" w:rsidR="00C927A1" w:rsidRDefault="00E266AD" w:rsidP="00B92AD5">
      <w:pPr>
        <w:spacing w:line="480" w:lineRule="auto"/>
        <w:jc w:val="both"/>
      </w:pPr>
      <w:r>
        <w:t xml:space="preserve">I agree with Tolley </w:t>
      </w:r>
      <w:r w:rsidR="00D11598">
        <w:t xml:space="preserve">on the generality of transcendental logic. I want to provide a further evidence, which Tolley mentioned briefly in writing, to point (3). In </w:t>
      </w:r>
      <w:r w:rsidR="00D11598" w:rsidRPr="00C96101">
        <w:t>§</w:t>
      </w:r>
      <w:r w:rsidR="00D11598">
        <w:t xml:space="preserve">12 of the first </w:t>
      </w:r>
      <w:r w:rsidR="00D11598">
        <w:rPr>
          <w:i/>
        </w:rPr>
        <w:t>Critique</w:t>
      </w:r>
      <w:r w:rsidR="00D11598">
        <w:t xml:space="preserve">, </w:t>
      </w:r>
      <w:r w:rsidR="00EF7D21">
        <w:t xml:space="preserve">Kant discussed whether scholastic’s transcendental predicates reveal any incompleteness of </w:t>
      </w:r>
      <w:r w:rsidR="00D11598">
        <w:t>his</w:t>
      </w:r>
      <w:r w:rsidR="00EF7D21">
        <w:t xml:space="preserve"> categories. The scholastics propose that ‘unity’, ‘truth’ and ‘perfection’, are three transcendental predicates applying to all objects. </w:t>
      </w:r>
      <w:r w:rsidR="00D11598">
        <w:t xml:space="preserve">In that section, </w:t>
      </w:r>
      <w:r w:rsidR="00EF7D21">
        <w:t xml:space="preserve">Kant </w:t>
      </w:r>
      <w:r w:rsidR="00D11598">
        <w:t xml:space="preserve">argues that </w:t>
      </w:r>
      <w:r w:rsidR="00EF7D21">
        <w:t>these three concepts are “nothing other than logical requisites and criteria of all cognition of things in general”, yet taken as material, “when in fact they should have been used in a merely formal sense”</w:t>
      </w:r>
      <w:r w:rsidR="00D11598">
        <w:t>. However,</w:t>
      </w:r>
      <w:r w:rsidR="00EF7D21">
        <w:t xml:space="preserve"> he </w:t>
      </w:r>
      <w:r w:rsidR="00D11598">
        <w:t>did</w:t>
      </w:r>
      <w:r w:rsidR="00EF7D21">
        <w:t xml:space="preserve">n’t dispute the meaning of the term ‘transcendental’, as used </w:t>
      </w:r>
      <w:r w:rsidR="00D11598">
        <w:t>in ‘scholastic transcendental predicate’</w:t>
      </w:r>
      <w:r w:rsidR="00EF7D21">
        <w:t>. That is, he thinks scholastics are using the term ‘transcendental’ in roughly the same sense as he does, while scholastics were simply wrong in taking ‘unity’, ‘truth’ and ‘perfection’ as transcendental predicates. Thus, as suggested by the phrase “</w:t>
      </w:r>
      <w:r w:rsidR="00EF7D21" w:rsidRPr="003E39F4">
        <w:rPr>
          <w:rFonts w:ascii="Fd2106076-Identity-H" w:hAnsi="Fd2106076-Identity-H" w:cs="Fd2106076-Identity-H"/>
          <w:i/>
          <w:sz w:val="21"/>
          <w:szCs w:val="21"/>
        </w:rPr>
        <w:t xml:space="preserve">quodlibet </w:t>
      </w:r>
      <w:proofErr w:type="spellStart"/>
      <w:r w:rsidR="00EF7D21" w:rsidRPr="003E39F4">
        <w:rPr>
          <w:rFonts w:ascii="Fd2106076-Identity-H" w:hAnsi="Fd2106076-Identity-H" w:cs="Fd2106076-Identity-H"/>
          <w:i/>
          <w:sz w:val="21"/>
          <w:szCs w:val="21"/>
        </w:rPr>
        <w:t>ens</w:t>
      </w:r>
      <w:proofErr w:type="spellEnd"/>
      <w:r w:rsidR="00EF7D21" w:rsidRPr="003E39F4">
        <w:rPr>
          <w:rFonts w:ascii="Fd2106076-Identity-H" w:hAnsi="Fd2106076-Identity-H" w:cs="Fd2106076-Identity-H"/>
          <w:i/>
          <w:sz w:val="21"/>
          <w:szCs w:val="21"/>
        </w:rPr>
        <w:t xml:space="preserve"> </w:t>
      </w:r>
      <w:proofErr w:type="spellStart"/>
      <w:r w:rsidR="00EF7D21" w:rsidRPr="003E39F4">
        <w:rPr>
          <w:rFonts w:ascii="Fd2106076-Identity-H" w:hAnsi="Fd2106076-Identity-H" w:cs="Fd2106076-Identity-H"/>
          <w:i/>
          <w:sz w:val="21"/>
          <w:szCs w:val="21"/>
        </w:rPr>
        <w:t>est</w:t>
      </w:r>
      <w:proofErr w:type="spellEnd"/>
      <w:r w:rsidR="00EF7D21" w:rsidRPr="003E39F4">
        <w:rPr>
          <w:rFonts w:ascii="Fd2106076-Identity-H" w:hAnsi="Fd2106076-Identity-H" w:cs="Fd2106076-Identity-H"/>
          <w:i/>
          <w:sz w:val="21"/>
          <w:szCs w:val="21"/>
        </w:rPr>
        <w:t xml:space="preserve"> </w:t>
      </w:r>
      <w:proofErr w:type="spellStart"/>
      <w:r w:rsidR="00EF7D21" w:rsidRPr="003E39F4">
        <w:rPr>
          <w:rFonts w:ascii="Fd2106076-Identity-H" w:hAnsi="Fd2106076-Identity-H" w:cs="Fd2106076-Identity-H"/>
          <w:i/>
          <w:sz w:val="21"/>
          <w:szCs w:val="21"/>
        </w:rPr>
        <w:t>unum</w:t>
      </w:r>
      <w:proofErr w:type="spellEnd"/>
      <w:r w:rsidR="00EF7D21" w:rsidRPr="003E39F4">
        <w:rPr>
          <w:rFonts w:ascii="Fd2106076-Identity-H" w:hAnsi="Fd2106076-Identity-H" w:cs="Fd2106076-Identity-H"/>
          <w:i/>
          <w:sz w:val="21"/>
          <w:szCs w:val="21"/>
        </w:rPr>
        <w:t xml:space="preserve">, </w:t>
      </w:r>
      <w:proofErr w:type="spellStart"/>
      <w:r w:rsidR="00EF7D21" w:rsidRPr="003E39F4">
        <w:rPr>
          <w:rFonts w:ascii="Fd2106076-Identity-H" w:hAnsi="Fd2106076-Identity-H" w:cs="Fd2106076-Identity-H"/>
          <w:i/>
          <w:sz w:val="21"/>
          <w:szCs w:val="21"/>
        </w:rPr>
        <w:t>verum</w:t>
      </w:r>
      <w:proofErr w:type="spellEnd"/>
      <w:r w:rsidR="00EF7D21" w:rsidRPr="003E39F4">
        <w:rPr>
          <w:rFonts w:ascii="Fd2106076-Identity-H" w:hAnsi="Fd2106076-Identity-H" w:cs="Fd2106076-Identity-H"/>
          <w:i/>
          <w:sz w:val="21"/>
          <w:szCs w:val="21"/>
        </w:rPr>
        <w:t xml:space="preserve">, </w:t>
      </w:r>
      <w:proofErr w:type="spellStart"/>
      <w:r w:rsidR="00EF7D21" w:rsidRPr="003E39F4">
        <w:rPr>
          <w:rFonts w:ascii="Fd2106076-Identity-H" w:hAnsi="Fd2106076-Identity-H" w:cs="Fd2106076-Identity-H"/>
          <w:i/>
          <w:sz w:val="21"/>
          <w:szCs w:val="21"/>
        </w:rPr>
        <w:t>bonum</w:t>
      </w:r>
      <w:proofErr w:type="spellEnd"/>
      <w:r w:rsidR="00EF7D21">
        <w:t>” (Every being is one, true and good.), Kant’s usage of the term ‘transcendental’ must have a strong connotation with unrestricted universality.</w:t>
      </w:r>
    </w:p>
    <w:p w14:paraId="1A96B3C2" w14:textId="6074F4D7" w:rsidR="00D7585E" w:rsidRDefault="00C927A1" w:rsidP="00B92AD5">
      <w:pPr>
        <w:spacing w:line="480" w:lineRule="auto"/>
        <w:jc w:val="both"/>
      </w:pPr>
      <w:r>
        <w:lastRenderedPageBreak/>
        <w:t>However, these considerations do not refute all versions of the domain-subordinative account. Having in view the intended generality of the categories, one may hold that transcendental logic, albeit very general, still only concerns a proper subset of all the judgments (and thoughts)</w:t>
      </w:r>
      <w:r w:rsidR="00D7585E">
        <w:t xml:space="preserve">, which is the domain of application of </w:t>
      </w:r>
      <w:r>
        <w:t>general logic</w:t>
      </w:r>
      <w:r w:rsidR="00D7585E">
        <w:t xml:space="preserve">. Namely, </w:t>
      </w:r>
      <w:r>
        <w:t>transcendental logic concerns all judgments (and though</w:t>
      </w:r>
      <w:r>
        <w:rPr>
          <w:rFonts w:hint="eastAsia"/>
        </w:rPr>
        <w:t>ts</w:t>
      </w:r>
      <w:r>
        <w:t>) of objects</w:t>
      </w:r>
      <w:r w:rsidR="00D7585E">
        <w:t xml:space="preserve">, while general logic concerns all judgments (and thoughts) </w:t>
      </w:r>
      <w:r w:rsidR="00D7585E" w:rsidRPr="00C927A1">
        <w:rPr>
          <w:i/>
        </w:rPr>
        <w:t>simpliciter</w:t>
      </w:r>
      <w:r w:rsidR="00D7585E">
        <w:t>. This difference apparently only makes a difference when not all judgments (and thoughts) are objective, i.e. of objects. This question</w:t>
      </w:r>
      <w:r w:rsidR="002E4BE1">
        <w:t xml:space="preserve"> </w:t>
      </w:r>
      <w:r w:rsidR="00D7585E">
        <w:t>is</w:t>
      </w:r>
      <w:r w:rsidR="002E4BE1">
        <w:t>, indeed,</w:t>
      </w:r>
      <w:r w:rsidR="00D7585E">
        <w:t xml:space="preserve"> very </w:t>
      </w:r>
      <w:r w:rsidR="002E4BE1">
        <w:t xml:space="preserve">crucial </w:t>
      </w:r>
      <w:r w:rsidR="00D7585E">
        <w:t xml:space="preserve">for the comparison </w:t>
      </w:r>
      <w:r w:rsidR="00F50E5C">
        <w:t>between</w:t>
      </w:r>
      <w:r w:rsidR="00D7585E">
        <w:t xml:space="preserve"> this view, which I propose to call the objective account</w:t>
      </w:r>
      <w:r w:rsidR="00F50E5C">
        <w:t>, and Tolley’s change-of-view account.</w:t>
      </w:r>
      <w:r w:rsidR="002E4BE1">
        <w:t xml:space="preserve"> As we will see later, Tolley would likely accept that transcendental logic concerns judgments of objects but deny that those judgments form a proper subset of all judgments.</w:t>
      </w:r>
      <w:r w:rsidR="00F50E5C">
        <w:t xml:space="preserve"> </w:t>
      </w:r>
      <w:r w:rsidR="002E4BE1">
        <w:t xml:space="preserve">At this position, I only intend to present the objective account as an alternative domain-subordinative account that accommodates all the textual and conceptual considerations presented above regarding the generality of transcendental logic. </w:t>
      </w:r>
    </w:p>
    <w:p w14:paraId="5261CBF6" w14:textId="1E256889" w:rsidR="002E4BE1" w:rsidRDefault="002E4BE1" w:rsidP="00F61E69">
      <w:pPr>
        <w:pStyle w:val="Heading1"/>
        <w:numPr>
          <w:ilvl w:val="0"/>
          <w:numId w:val="5"/>
        </w:numPr>
      </w:pPr>
      <w:r>
        <w:t>A Change of Aspect</w:t>
      </w:r>
    </w:p>
    <w:p w14:paraId="1C2817EE" w14:textId="77777777" w:rsidR="0082529D" w:rsidRPr="0082529D" w:rsidRDefault="0082529D" w:rsidP="0082529D"/>
    <w:p w14:paraId="4A613D97" w14:textId="161CA334" w:rsidR="004E3019" w:rsidRDefault="002E4BE1" w:rsidP="00B92AD5">
      <w:pPr>
        <w:spacing w:line="480" w:lineRule="auto"/>
        <w:jc w:val="both"/>
      </w:pPr>
      <w:r>
        <w:t>Against the domain-sensitive account</w:t>
      </w:r>
      <w:r w:rsidR="0082529D">
        <w:t xml:space="preserve">s, Tolley proposes that the difference between general logic and transcendental logic is not a difference of domain, but </w:t>
      </w:r>
      <w:r w:rsidR="004E3019">
        <w:t xml:space="preserve">rather </w:t>
      </w:r>
      <w:r w:rsidR="0082529D">
        <w:t xml:space="preserve">a difference of aspect. </w:t>
      </w:r>
      <w:r w:rsidR="004E3019">
        <w:t>General logic concerns the form of all judgments (and thoughts), while transcendental logic concerns the content of all judgments (and thoughts), albeit in a very general manner. Tolley provide</w:t>
      </w:r>
      <w:r w:rsidR="00DA451E">
        <w:t>d</w:t>
      </w:r>
      <w:r w:rsidR="004E3019">
        <w:t xml:space="preserve"> </w:t>
      </w:r>
      <w:r w:rsidR="00486EED">
        <w:t>various</w:t>
      </w:r>
      <w:r w:rsidR="004E3019">
        <w:t xml:space="preserve"> textual evidences, along with conceptual considerations, in support of </w:t>
      </w:r>
      <w:r w:rsidR="00DA451E">
        <w:t>his</w:t>
      </w:r>
      <w:r w:rsidR="004E3019">
        <w:t xml:space="preserve"> view.</w:t>
      </w:r>
      <w:r w:rsidR="00486EED">
        <w:t xml:space="preserve"> For the purpose of this essay, I wouldn’t go through all of them.</w:t>
      </w:r>
      <w:r w:rsidR="00486EED">
        <w:rPr>
          <w:rStyle w:val="FootnoteReference"/>
        </w:rPr>
        <w:footnoteReference w:id="3"/>
      </w:r>
      <w:r w:rsidR="00486EED">
        <w:t xml:space="preserve"> Rather, I</w:t>
      </w:r>
      <w:r w:rsidR="00C8342C">
        <w:t xml:space="preserve"> propose to start with </w:t>
      </w:r>
      <w:r w:rsidR="004E3019">
        <w:t xml:space="preserve">what I take to be the most crucial piece of evidence for Tolley’s proposal. It’s the following passage from (B105): </w:t>
      </w:r>
    </w:p>
    <w:p w14:paraId="63B05180" w14:textId="77777777" w:rsidR="004E3019" w:rsidRDefault="004E3019" w:rsidP="00B92AD5">
      <w:pPr>
        <w:spacing w:line="480" w:lineRule="auto"/>
        <w:ind w:left="720"/>
        <w:jc w:val="both"/>
      </w:pPr>
      <w:r>
        <w:lastRenderedPageBreak/>
        <w:t>The same understanding, through the same operations by which in concepts, by means of analytical unity, it produced the logical form of a judgment, also introduces a transcendental content into its representations, by means of the synthetic unity of the manifold in intui</w:t>
      </w:r>
      <w:r w:rsidRPr="0082529D">
        <w:t>tion in general.</w:t>
      </w:r>
      <w:r>
        <w:tab/>
      </w:r>
      <w:r>
        <w:tab/>
      </w:r>
      <w:r>
        <w:tab/>
      </w:r>
      <w:r>
        <w:tab/>
      </w:r>
      <w:r>
        <w:tab/>
      </w:r>
      <w:r>
        <w:tab/>
      </w:r>
      <w:r>
        <w:tab/>
      </w:r>
      <w:r>
        <w:tab/>
        <w:t xml:space="preserve">(Kemp Smith, B105) </w:t>
      </w:r>
    </w:p>
    <w:p w14:paraId="641CD6A9" w14:textId="40A16E08" w:rsidR="004C107F" w:rsidRDefault="004C107F" w:rsidP="00B92AD5">
      <w:pPr>
        <w:spacing w:line="480" w:lineRule="auto"/>
      </w:pPr>
      <w:r>
        <w:t xml:space="preserve">This sentence comes from a section titled “the Clue to the Discovery of all Pure Concepts of the Understanding”, which Kant later calls “the metaphysical deduction of categories”. In this section, Kant, at least so claimed by him, deduces transcendental logic from general logic. The above quoted sentence comes from the most crucial paragraph, where </w:t>
      </w:r>
      <w:r w:rsidR="00327119">
        <w:t xml:space="preserve">the transaction is supposed to happen. </w:t>
      </w:r>
    </w:p>
    <w:p w14:paraId="69CA8D60" w14:textId="44892C2E" w:rsidR="00401DEA" w:rsidRDefault="00327119" w:rsidP="00B92AD5">
      <w:pPr>
        <w:spacing w:line="480" w:lineRule="auto"/>
      </w:pPr>
      <w:r>
        <w:t>In this sentence, Kant asserts that “the same understanding, through the same operations” is doing two different jobs. It should be clear from the context that the first job (“by means of analytical unity, it produced the logical form of a judgment”) is what the achievement of general logic, given Kant has been talking about general logic until this paragraph, while the second job (“introduces a transcendental content into its representations, by means of the synthetic unity of the manifold in tuition in general”) is the proposed achievement of transcendental logic. The fact that these two different jobs are done by “the same understanding, through the same operations”</w:t>
      </w:r>
      <w:r w:rsidR="00401DEA">
        <w:t xml:space="preserve"> is </w:t>
      </w:r>
      <w:r w:rsidR="00B428BB">
        <w:t>what</w:t>
      </w:r>
      <w:r w:rsidR="00401DEA">
        <w:t xml:space="preserve"> entitles Kant to deduce transcendental logic from general logic and why one should expect the two tables (the table of judgments for general logic and the table of categories for transcendental logic) to align exactly. </w:t>
      </w:r>
    </w:p>
    <w:p w14:paraId="61986C2C" w14:textId="2AE44B96" w:rsidR="00B428BB" w:rsidRDefault="00B428BB" w:rsidP="00B92AD5">
      <w:pPr>
        <w:spacing w:line="480" w:lineRule="auto"/>
        <w:jc w:val="both"/>
      </w:pPr>
      <w:r>
        <w:t>The main lesson Tolley wants to draw out of this passage is made clear in the following quotation (p. 429):</w:t>
      </w:r>
    </w:p>
    <w:p w14:paraId="6299D9BB" w14:textId="77777777" w:rsidR="00B428BB" w:rsidRDefault="00B428BB" w:rsidP="00B92AD5">
      <w:pPr>
        <w:spacing w:line="480" w:lineRule="auto"/>
        <w:ind w:left="720"/>
        <w:jc w:val="both"/>
      </w:pPr>
      <w:r>
        <w:t xml:space="preserve">Kant thinks that logicians have systematically neglected the fact that “in one and the same act,” our understanding itself introduces a “content,” a “relation to an object” (see B83), into our representations. It does this by taking a </w:t>
      </w:r>
      <w:proofErr w:type="gramStart"/>
      <w:r>
        <w:t>particular way</w:t>
      </w:r>
      <w:proofErr w:type="gramEnd"/>
      <w:r>
        <w:t xml:space="preserve"> of combining representations to be </w:t>
      </w:r>
      <w:r>
        <w:lastRenderedPageBreak/>
        <w:t>necessary because of the way things stand with what is thereby being represented, i.e. with an object that could be given in some intuition. For example, by combining representations S and P according to the categorical form of subject and predicate in “S is P,” we are at the same time representing S itself as a substance that bears the property or accident P. Kant’s key thought here is that both the form of our representing in judgment and part of the content of our judgment itself (part of the distinct relation that our representing bears to its object) have one and the same ground.</w:t>
      </w:r>
    </w:p>
    <w:p w14:paraId="346DFC23" w14:textId="4687D487" w:rsidR="00F23CF0" w:rsidRDefault="00F23CF0" w:rsidP="00B92AD5">
      <w:pPr>
        <w:spacing w:line="480" w:lineRule="auto"/>
        <w:jc w:val="both"/>
      </w:pPr>
      <w:r>
        <w:t>Tolley correctly points out the “transcendental content” should not be confused with the content potentially available to us from sensibility, as Kant explicitly notes “[</w:t>
      </w:r>
      <w:proofErr w:type="spellStart"/>
      <w:r>
        <w:t>i</w:t>
      </w:r>
      <w:proofErr w:type="spellEnd"/>
      <w:r>
        <w:t xml:space="preserve">]n a transcendental logic we isolate the understanding --- as above, in the Transcendental Aesthetic, the sensibility --- separating out from our knowledge that part of thought which has its origin </w:t>
      </w:r>
      <w:r w:rsidRPr="00C8342C">
        <w:rPr>
          <w:i/>
        </w:rPr>
        <w:t>solely in the understanding</w:t>
      </w:r>
      <w:r w:rsidRPr="00C8342C">
        <w:t>”</w:t>
      </w:r>
      <w:r>
        <w:t xml:space="preserve"> </w:t>
      </w:r>
      <w:r w:rsidRPr="00C8342C">
        <w:t>(</w:t>
      </w:r>
      <w:r>
        <w:t xml:space="preserve">Kemp Smith, </w:t>
      </w:r>
      <w:r w:rsidRPr="00C8342C">
        <w:t>B87; my emphasis)</w:t>
      </w:r>
      <w:r>
        <w:t>. Instead, the transcendental content provided by transcendental logic should understood in the following way (pp. 431-432):</w:t>
      </w:r>
    </w:p>
    <w:p w14:paraId="7E2EDD94" w14:textId="781CE374" w:rsidR="00F23CF0" w:rsidRDefault="00F23CF0" w:rsidP="00B92AD5">
      <w:pPr>
        <w:spacing w:line="480" w:lineRule="auto"/>
        <w:ind w:left="720"/>
        <w:jc w:val="both"/>
      </w:pPr>
      <w:r>
        <w:t>Kant’s main thesis here, then, is that when we take up the transcendental-logical point of view and view the traditional-logical forms as basic ways of unifying whatever manifold is ultimately given, we are already able to identify, in anticipation as it were, a part of the relation to an object—and hence, the content—that such combination will represent, no matter what the species of sensibility will be. This feature of the content, in turn, is attributable of our understanding alone. Hence, despite our mind’s dependence on our sensibility to relate us immediately to objects, and so, in this more demanding sense, “have” content, our understanding is capable of relating us (representationally, intentionally) to objects “mediately” all by itself. It is this ability that lies behind Kant’s description of our understanding as a “</w:t>
      </w:r>
      <w:r w:rsidRPr="00F23CF0">
        <w:rPr>
          <w:i/>
        </w:rPr>
        <w:t>spontaneity</w:t>
      </w:r>
      <w:r>
        <w:t xml:space="preserve"> of concepts” (B74; my emphasis): understanding is “the capacity to bring forth representations </w:t>
      </w:r>
      <w:r w:rsidRPr="00F23CF0">
        <w:rPr>
          <w:i/>
        </w:rPr>
        <w:t>itself</w:t>
      </w:r>
      <w:r>
        <w:t xml:space="preserve"> [</w:t>
      </w:r>
      <w:proofErr w:type="spellStart"/>
      <w:r w:rsidRPr="00F23CF0">
        <w:rPr>
          <w:i/>
        </w:rPr>
        <w:t>Vorstellungen</w:t>
      </w:r>
      <w:proofErr w:type="spellEnd"/>
      <w:r w:rsidRPr="00F23CF0">
        <w:rPr>
          <w:i/>
        </w:rPr>
        <w:t xml:space="preserve"> </w:t>
      </w:r>
      <w:proofErr w:type="spellStart"/>
      <w:r w:rsidRPr="00F23CF0">
        <w:rPr>
          <w:i/>
        </w:rPr>
        <w:t>selbst</w:t>
      </w:r>
      <w:proofErr w:type="spellEnd"/>
      <w:r w:rsidRPr="00F23CF0">
        <w:rPr>
          <w:i/>
        </w:rPr>
        <w:t xml:space="preserve"> </w:t>
      </w:r>
      <w:proofErr w:type="spellStart"/>
      <w:r w:rsidRPr="00F23CF0">
        <w:rPr>
          <w:i/>
        </w:rPr>
        <w:t>hervorzubringen</w:t>
      </w:r>
      <w:proofErr w:type="spellEnd"/>
      <w:r>
        <w:t xml:space="preserve">]” (B75; my emphasis). It is also this capacity that makes </w:t>
      </w:r>
      <w:r>
        <w:lastRenderedPageBreak/>
        <w:t>transcendental logic itself the “science of pure understanding . . . by means of which we think objects completely a priori,” a science at the center of which are “concepts that may be related [</w:t>
      </w:r>
      <w:proofErr w:type="spellStart"/>
      <w:r w:rsidRPr="00F23CF0">
        <w:rPr>
          <w:i/>
        </w:rPr>
        <w:t>sich</w:t>
      </w:r>
      <w:proofErr w:type="spellEnd"/>
      <w:r w:rsidRPr="00F23CF0">
        <w:rPr>
          <w:i/>
        </w:rPr>
        <w:t xml:space="preserve"> </w:t>
      </w:r>
      <w:proofErr w:type="spellStart"/>
      <w:r w:rsidRPr="00F23CF0">
        <w:rPr>
          <w:i/>
        </w:rPr>
        <w:t>beziehen</w:t>
      </w:r>
      <w:proofErr w:type="spellEnd"/>
      <w:r>
        <w:t>] to objects a priori . . . as acts of pure thinking,” concepts “of neither empirical nor aesthetic origin [</w:t>
      </w:r>
      <w:proofErr w:type="spellStart"/>
      <w:r w:rsidRPr="00F23CF0">
        <w:rPr>
          <w:i/>
        </w:rPr>
        <w:t>Ursprung</w:t>
      </w:r>
      <w:proofErr w:type="spellEnd"/>
      <w:r>
        <w:t>]” (B81). The “origin” of these concepts is purely intellectual, as is their content.</w:t>
      </w:r>
    </w:p>
    <w:p w14:paraId="53EB82EA" w14:textId="2AA791EA" w:rsidR="002F1637" w:rsidRDefault="00F23CF0" w:rsidP="00B92AD5">
      <w:pPr>
        <w:spacing w:line="480" w:lineRule="auto"/>
        <w:jc w:val="both"/>
      </w:pPr>
      <w:r>
        <w:t xml:space="preserve">Overall, I find Tolley’s argument quite compelling. He has, at least, successfully shown that there is, indeed, a change of aspect </w:t>
      </w:r>
      <w:r w:rsidR="002F1637">
        <w:t xml:space="preserve">in the transition from general logic to transcendental logic. I provide a further argument, which takes a closer look at transcendental logic, in support of this change of aspect. This requires us to look at the two tables, the table of judgments and the table of categories. </w:t>
      </w:r>
    </w:p>
    <w:p w14:paraId="2D237E1B" w14:textId="6C9216F4" w:rsidR="002F1637" w:rsidRDefault="002F1637" w:rsidP="00B92AD5">
      <w:pPr>
        <w:spacing w:line="480" w:lineRule="auto"/>
        <w:jc w:val="both"/>
      </w:pPr>
      <w:r>
        <w:t xml:space="preserve">The table of judgment, as given below, is supposed to articulate different modes a judgment can take. It contains four titles and each title contains three modes of judgment. </w:t>
      </w:r>
    </w:p>
    <w:p w14:paraId="7C84A433" w14:textId="77777777" w:rsidR="002F1637" w:rsidRDefault="002F1637" w:rsidP="00B92AD5">
      <w:pPr>
        <w:spacing w:line="480" w:lineRule="auto"/>
        <w:ind w:left="720"/>
        <w:jc w:val="both"/>
      </w:pPr>
      <w:r>
        <w:t>Table of Judgments (A70/B95)</w:t>
      </w:r>
    </w:p>
    <w:p w14:paraId="079C3AFB" w14:textId="0A48F1F5" w:rsidR="002F1637" w:rsidRDefault="002F1637" w:rsidP="00B92AD5">
      <w:pPr>
        <w:pStyle w:val="ListParagraph"/>
        <w:numPr>
          <w:ilvl w:val="0"/>
          <w:numId w:val="1"/>
        </w:numPr>
        <w:spacing w:line="480" w:lineRule="auto"/>
        <w:ind w:left="1800"/>
        <w:jc w:val="both"/>
      </w:pPr>
      <w:r>
        <w:t>Quantity of Judgments: Universal</w:t>
      </w:r>
      <w:proofErr w:type="gramStart"/>
      <w:r>
        <w:t>, Particular, Singular</w:t>
      </w:r>
      <w:proofErr w:type="gramEnd"/>
    </w:p>
    <w:p w14:paraId="0F8F6BCE" w14:textId="77777777" w:rsidR="002F1637" w:rsidRDefault="002F1637" w:rsidP="00B92AD5">
      <w:pPr>
        <w:pStyle w:val="ListParagraph"/>
        <w:numPr>
          <w:ilvl w:val="0"/>
          <w:numId w:val="1"/>
        </w:numPr>
        <w:spacing w:line="480" w:lineRule="auto"/>
        <w:ind w:left="1800"/>
        <w:jc w:val="both"/>
      </w:pPr>
      <w:r>
        <w:t>Quality: Affirmative, Negative, Infinite</w:t>
      </w:r>
    </w:p>
    <w:p w14:paraId="0C276F4B" w14:textId="77777777" w:rsidR="002F1637" w:rsidRDefault="002F1637" w:rsidP="00B92AD5">
      <w:pPr>
        <w:pStyle w:val="ListParagraph"/>
        <w:numPr>
          <w:ilvl w:val="0"/>
          <w:numId w:val="1"/>
        </w:numPr>
        <w:spacing w:line="480" w:lineRule="auto"/>
        <w:ind w:left="1800"/>
        <w:jc w:val="both"/>
      </w:pPr>
      <w:r>
        <w:t>Relation: Categorical, Hypothetical, Disjunctive</w:t>
      </w:r>
    </w:p>
    <w:p w14:paraId="5FE53F39" w14:textId="230ECFDC" w:rsidR="002F1637" w:rsidRDefault="002F1637" w:rsidP="00B92AD5">
      <w:pPr>
        <w:pStyle w:val="ListParagraph"/>
        <w:numPr>
          <w:ilvl w:val="0"/>
          <w:numId w:val="1"/>
        </w:numPr>
        <w:spacing w:line="480" w:lineRule="auto"/>
        <w:ind w:left="1800"/>
        <w:jc w:val="both"/>
      </w:pPr>
      <w:r>
        <w:t xml:space="preserve">Modality: Problematic, </w:t>
      </w:r>
      <w:proofErr w:type="spellStart"/>
      <w:r>
        <w:t>Assertoric</w:t>
      </w:r>
      <w:proofErr w:type="spellEnd"/>
      <w:r>
        <w:t>, Apodictic</w:t>
      </w:r>
    </w:p>
    <w:p w14:paraId="14233BE1" w14:textId="0CFC8AC1" w:rsidR="0010571D" w:rsidRDefault="002F1637" w:rsidP="00B92AD5">
      <w:pPr>
        <w:spacing w:line="480" w:lineRule="auto"/>
        <w:jc w:val="both"/>
      </w:pPr>
      <w:r>
        <w:t>Each judgment can take one mode out of each title. For example, ‘</w:t>
      </w:r>
      <w:r w:rsidR="009713DF">
        <w:t xml:space="preserve">necessarily, </w:t>
      </w:r>
      <w:r>
        <w:t xml:space="preserve">all humans are mortal’ is a universal affirmative categorical </w:t>
      </w:r>
      <w:r w:rsidR="009713DF">
        <w:t>apodictic</w:t>
      </w:r>
      <w:r>
        <w:t xml:space="preserve"> judgment, while “</w:t>
      </w:r>
      <w:r w:rsidR="009713DF">
        <w:t xml:space="preserve">possibly, Socrates is </w:t>
      </w:r>
      <w:r w:rsidR="00B90601">
        <w:rPr>
          <w:rFonts w:hint="eastAsia"/>
        </w:rPr>
        <w:t>non</w:t>
      </w:r>
      <w:r w:rsidR="00B90601">
        <w:t>-</w:t>
      </w:r>
      <w:r w:rsidR="009713DF">
        <w:t>mortal</w:t>
      </w:r>
      <w:r>
        <w:t>”</w:t>
      </w:r>
      <w:r w:rsidR="009713DF">
        <w:t xml:space="preserve"> </w:t>
      </w:r>
      <w:r w:rsidR="009713DF">
        <w:rPr>
          <w:rFonts w:hint="eastAsia"/>
        </w:rPr>
        <w:t>is</w:t>
      </w:r>
      <w:r w:rsidR="009713DF">
        <w:t xml:space="preserve"> a singular infinite, categorical, problematic judgment. </w:t>
      </w:r>
      <w:r w:rsidR="009D0382">
        <w:t xml:space="preserve">Among these nine modes, </w:t>
      </w:r>
      <w:r w:rsidR="0010571D">
        <w:t xml:space="preserve">Singular and Infinite are different from the other seven for they cannot really be individuated in general logic, which concerns merely the form of judgments. This is particularly true of Infinite, while Singular may embark further complications, as universal judgments, like ‘all men are mortal’ are recognized as different from singular judgments, like ‘Socrates is mortal’. For our purpose, it suffices to focus on Infinite alone. </w:t>
      </w:r>
    </w:p>
    <w:p w14:paraId="5D25FCD4" w14:textId="536BD963" w:rsidR="00B90601" w:rsidRDefault="00450D68" w:rsidP="00B92AD5">
      <w:pPr>
        <w:spacing w:line="480" w:lineRule="auto"/>
        <w:jc w:val="both"/>
        <w:rPr>
          <w:lang w:eastAsia="ja-JP" w:bidi="he-IL"/>
        </w:rPr>
      </w:pPr>
      <w:r>
        <w:lastRenderedPageBreak/>
        <w:t>Anyone who’s familiar with traditional general logic would find t</w:t>
      </w:r>
      <w:r w:rsidR="00B90601">
        <w:t xml:space="preserve">he three modes under the title Quality </w:t>
      </w:r>
      <w:r>
        <w:t>straightforward</w:t>
      </w:r>
      <w:r w:rsidR="00B90601">
        <w:t xml:space="preserve">. However, one who has only been exposed to contemporary treatment of logic can find it deeply confusing. Roughly speaking, </w:t>
      </w:r>
      <w:r>
        <w:t>since</w:t>
      </w:r>
      <w:r w:rsidR="00B90601">
        <w:t xml:space="preserve"> Aristotle, people distinguish two different modes of judgments, the affirmative one and the negative one. For example, ‘Socrates is mortal’ and ‘Socrates is not mortal’ would be affirmative and negative respectively. Contemporary logic tends to treat th</w:t>
      </w:r>
      <w:r w:rsidR="007D3361">
        <w:t>e</w:t>
      </w:r>
      <w:r w:rsidR="00B90601">
        <w:t>s</w:t>
      </w:r>
      <w:r w:rsidR="007D3361">
        <w:t>e</w:t>
      </w:r>
      <w:r w:rsidR="00B90601">
        <w:t xml:space="preserve"> two judgments as two judgments with different predicates, which can be represented in contemporary notations as</w:t>
      </w:r>
      <m:oMath>
        <m:r>
          <m:rPr>
            <m:sty m:val="p"/>
          </m:rPr>
          <w:rPr>
            <w:rFonts w:ascii="Times New Roman" w:hAnsi="Times New Roman" w:cs="Times New Roman"/>
            <w:lang w:eastAsia="ja-JP" w:bidi="he-IL"/>
          </w:rPr>
          <m:t>╞</m:t>
        </m:r>
        <m:r>
          <m:rPr>
            <m:sty m:val="p"/>
          </m:rPr>
          <w:rPr>
            <w:rFonts w:ascii="Cambria Math" w:hAnsi="Cambria Math"/>
            <w:lang w:eastAsia="ja-JP" w:bidi="he-IL"/>
          </w:rPr>
          <m:t xml:space="preserve"> </m:t>
        </m:r>
        <m:r>
          <w:rPr>
            <w:rFonts w:ascii="Cambria Math" w:hAnsi="Cambria Math"/>
            <w:lang w:eastAsia="ja-JP" w:bidi="he-IL"/>
          </w:rPr>
          <m:t>Ms</m:t>
        </m:r>
      </m:oMath>
      <w:r w:rsidR="007D3361">
        <w:t xml:space="preserve"> and </w:t>
      </w:r>
      <m:oMath>
        <m:r>
          <m:rPr>
            <m:sty m:val="p"/>
          </m:rPr>
          <w:rPr>
            <w:rFonts w:ascii="Times New Roman" w:hAnsi="Times New Roman" w:cs="Times New Roman"/>
            <w:lang w:eastAsia="ja-JP" w:bidi="he-IL"/>
          </w:rPr>
          <m:t>╞</m:t>
        </m:r>
        <m:r>
          <m:rPr>
            <m:sty m:val="p"/>
          </m:rPr>
          <w:rPr>
            <w:rFonts w:ascii="Cambria Math" w:hAnsi="Cambria Math"/>
            <w:lang w:eastAsia="ja-JP" w:bidi="he-IL"/>
          </w:rPr>
          <m:t xml:space="preserve"> ¬</m:t>
        </m:r>
        <m:r>
          <w:rPr>
            <w:rFonts w:ascii="Cambria Math" w:hAnsi="Cambria Math"/>
            <w:lang w:eastAsia="ja-JP" w:bidi="he-IL"/>
          </w:rPr>
          <m:t>Ms</m:t>
        </m:r>
      </m:oMath>
      <w:r w:rsidR="007D3361">
        <w:rPr>
          <w:lang w:eastAsia="ja-JP" w:bidi="he-IL"/>
        </w:rPr>
        <w:t xml:space="preserve">, where </w:t>
      </w:r>
      <w:r w:rsidR="007D3361" w:rsidRPr="007D3361">
        <w:rPr>
          <w:i/>
          <w:lang w:eastAsia="ja-JP" w:bidi="he-IL"/>
        </w:rPr>
        <w:t>M</w:t>
      </w:r>
      <w:r w:rsidR="007D3361">
        <w:rPr>
          <w:lang w:eastAsia="ja-JP" w:bidi="he-IL"/>
        </w:rPr>
        <w:t xml:space="preserve"> stands for ‘mortal’ and </w:t>
      </w:r>
      <w:r w:rsidR="007D3361">
        <w:rPr>
          <w:i/>
          <w:lang w:eastAsia="ja-JP" w:bidi="he-IL"/>
        </w:rPr>
        <w:t>s</w:t>
      </w:r>
      <w:r w:rsidR="007D3361">
        <w:rPr>
          <w:lang w:eastAsia="ja-JP" w:bidi="he-IL"/>
        </w:rPr>
        <w:t xml:space="preserve"> stands for ‘Socrates’. However, since Aristotle to Kant, people don’t take the difference between these two judgments as a difference in predicates. Rather, they take them as two different modes of usage of the same group of concepts, namely the affirmative use and the negative use. When you utter the expression ‘Socrates is mortal’, you are making an assertion which is affirmative. On the other hand, when you utter the expression ‘Socrates is mortal’, instead of making an assertion, you are typically refuting others’ assertion by denial. Hence, these two judgments are better represented by contemporary notations as </w:t>
      </w:r>
      <m:oMath>
        <m:sSub>
          <m:sSubPr>
            <m:ctrlPr>
              <w:rPr>
                <w:rFonts w:ascii="Cambria Math" w:hAnsi="Times New Roman" w:cs="Times New Roman"/>
                <w:lang w:eastAsia="ja-JP" w:bidi="he-IL"/>
              </w:rPr>
            </m:ctrlPr>
          </m:sSubPr>
          <m:e>
            <m:r>
              <m:rPr>
                <m:sty m:val="p"/>
              </m:rPr>
              <w:rPr>
                <w:rFonts w:ascii="Times New Roman" w:hAnsi="Times New Roman" w:cs="Times New Roman"/>
                <w:lang w:eastAsia="ja-JP" w:bidi="he-IL"/>
              </w:rPr>
              <m:t>╞</m:t>
            </m:r>
            <m:ctrlPr>
              <w:rPr>
                <w:rFonts w:ascii="Cambria Math" w:hAnsi="Cambria Math" w:cs="Times New Roman"/>
                <w:lang w:eastAsia="ja-JP" w:bidi="he-IL"/>
              </w:rPr>
            </m:ctrlPr>
          </m:e>
          <m:sub>
            <m:r>
              <m:rPr>
                <m:sty m:val="p"/>
              </m:rPr>
              <w:rPr>
                <w:rFonts w:ascii="Cambria Math" w:hAnsi="Times New Roman" w:cs="Times New Roman"/>
                <w:lang w:eastAsia="ja-JP" w:bidi="he-IL"/>
              </w:rPr>
              <m:t>affirmative</m:t>
            </m:r>
          </m:sub>
        </m:sSub>
        <m:r>
          <m:rPr>
            <m:sty m:val="p"/>
          </m:rPr>
          <w:rPr>
            <w:rFonts w:ascii="Cambria Math" w:hAnsi="Cambria Math"/>
            <w:lang w:eastAsia="ja-JP" w:bidi="he-IL"/>
          </w:rPr>
          <m:t xml:space="preserve"> </m:t>
        </m:r>
        <m:r>
          <w:rPr>
            <w:rFonts w:ascii="Cambria Math" w:hAnsi="Cambria Math"/>
            <w:lang w:eastAsia="ja-JP" w:bidi="he-IL"/>
          </w:rPr>
          <m:t>Ms</m:t>
        </m:r>
      </m:oMath>
      <w:r w:rsidR="007D3361">
        <w:rPr>
          <w:lang w:eastAsia="ja-JP" w:bidi="he-IL"/>
        </w:rPr>
        <w:t xml:space="preserve"> and </w:t>
      </w:r>
      <m:oMath>
        <m:sSub>
          <m:sSubPr>
            <m:ctrlPr>
              <w:rPr>
                <w:rFonts w:ascii="Cambria Math" w:hAnsi="Times New Roman" w:cs="Times New Roman"/>
                <w:lang w:eastAsia="ja-JP" w:bidi="he-IL"/>
              </w:rPr>
            </m:ctrlPr>
          </m:sSubPr>
          <m:e>
            <m:r>
              <m:rPr>
                <m:sty m:val="p"/>
              </m:rPr>
              <w:rPr>
                <w:rFonts w:ascii="Times New Roman" w:hAnsi="Times New Roman" w:cs="Times New Roman"/>
                <w:lang w:eastAsia="ja-JP" w:bidi="he-IL"/>
              </w:rPr>
              <m:t>╞</m:t>
            </m:r>
            <m:ctrlPr>
              <w:rPr>
                <w:rFonts w:ascii="Cambria Math" w:hAnsi="Cambria Math" w:cs="Times New Roman"/>
                <w:lang w:eastAsia="ja-JP" w:bidi="he-IL"/>
              </w:rPr>
            </m:ctrlPr>
          </m:e>
          <m:sub>
            <m:r>
              <m:rPr>
                <m:sty m:val="p"/>
              </m:rPr>
              <w:rPr>
                <w:rFonts w:ascii="Cambria Math" w:hAnsi="Times New Roman" w:cs="Times New Roman"/>
                <w:lang w:eastAsia="ja-JP" w:bidi="he-IL"/>
              </w:rPr>
              <m:t>negative</m:t>
            </m:r>
          </m:sub>
        </m:sSub>
        <m:r>
          <m:rPr>
            <m:sty m:val="p"/>
          </m:rPr>
          <w:rPr>
            <w:rFonts w:ascii="Cambria Math" w:hAnsi="Cambria Math"/>
            <w:lang w:eastAsia="ja-JP" w:bidi="he-IL"/>
          </w:rPr>
          <m:t xml:space="preserve"> </m:t>
        </m:r>
        <m:r>
          <w:rPr>
            <w:rFonts w:ascii="Cambria Math" w:hAnsi="Cambria Math"/>
            <w:lang w:eastAsia="ja-JP" w:bidi="he-IL"/>
          </w:rPr>
          <m:t>Ms</m:t>
        </m:r>
      </m:oMath>
      <w:r w:rsidR="007D3361">
        <w:rPr>
          <w:lang w:eastAsia="ja-JP" w:bidi="he-IL"/>
        </w:rPr>
        <w:t xml:space="preserve">, to emphasize that the difference between them is in the mode of judgment. There is a further judgment ‘Socrates is non-mortal’ that can be made. This judgment only differs from ‘Socrates is mortal’ by having a different predicate ‘non-mortal’. For this reason, this judgment is classified as affirmative judgment, just with a different predicate, in traditional general logic. </w:t>
      </w:r>
    </w:p>
    <w:p w14:paraId="3521C96D" w14:textId="225C1B6B" w:rsidR="00225552" w:rsidRDefault="00450D68" w:rsidP="00B92AD5">
      <w:pPr>
        <w:spacing w:line="480" w:lineRule="auto"/>
        <w:jc w:val="both"/>
      </w:pPr>
      <w:r>
        <w:rPr>
          <w:lang w:eastAsia="ja-JP" w:bidi="he-IL"/>
        </w:rPr>
        <w:t xml:space="preserve">Kant, in his treatment of general logic (both in </w:t>
      </w:r>
      <w:proofErr w:type="spellStart"/>
      <w:r w:rsidRPr="00450D68">
        <w:rPr>
          <w:i/>
          <w:lang w:eastAsia="ja-JP" w:bidi="he-IL"/>
        </w:rPr>
        <w:t>J</w:t>
      </w:r>
      <w:r w:rsidRPr="00450D68">
        <w:rPr>
          <w:i/>
        </w:rPr>
        <w:t>ä</w:t>
      </w:r>
      <w:r w:rsidRPr="00450D68">
        <w:rPr>
          <w:i/>
          <w:lang w:eastAsia="ja-JP" w:bidi="he-IL"/>
        </w:rPr>
        <w:t>sche</w:t>
      </w:r>
      <w:proofErr w:type="spellEnd"/>
      <w:r w:rsidRPr="00450D68">
        <w:rPr>
          <w:i/>
          <w:lang w:eastAsia="ja-JP" w:bidi="he-IL"/>
        </w:rPr>
        <w:t xml:space="preserve"> Logic</w:t>
      </w:r>
      <w:r>
        <w:rPr>
          <w:lang w:eastAsia="ja-JP" w:bidi="he-IL"/>
        </w:rPr>
        <w:t xml:space="preserve"> </w:t>
      </w:r>
      <w:r w:rsidRPr="00450D68">
        <w:rPr>
          <w:lang w:eastAsia="ja-JP" w:bidi="he-IL"/>
        </w:rPr>
        <w:t>§22</w:t>
      </w:r>
      <w:r>
        <w:rPr>
          <w:lang w:eastAsia="ja-JP" w:bidi="he-IL"/>
        </w:rPr>
        <w:t xml:space="preserve"> and in first </w:t>
      </w:r>
      <w:r w:rsidRPr="00450D68">
        <w:rPr>
          <w:i/>
          <w:lang w:eastAsia="ja-JP" w:bidi="he-IL"/>
        </w:rPr>
        <w:t>Critique</w:t>
      </w:r>
      <w:r>
        <w:rPr>
          <w:lang w:eastAsia="ja-JP" w:bidi="he-IL"/>
        </w:rPr>
        <w:t xml:space="preserve"> B</w:t>
      </w:r>
      <w:r>
        <w:rPr>
          <w:rFonts w:hint="eastAsia"/>
          <w:lang w:bidi="he-IL"/>
        </w:rPr>
        <w:t>97-</w:t>
      </w:r>
      <w:r>
        <w:rPr>
          <w:lang w:bidi="he-IL"/>
        </w:rPr>
        <w:t>B</w:t>
      </w:r>
      <w:r>
        <w:rPr>
          <w:rFonts w:hint="eastAsia"/>
          <w:lang w:bidi="he-IL"/>
        </w:rPr>
        <w:t>98</w:t>
      </w:r>
      <w:r w:rsidRPr="00450D68">
        <w:rPr>
          <w:lang w:eastAsia="ja-JP" w:bidi="he-IL"/>
        </w:rPr>
        <w:t>)</w:t>
      </w:r>
      <w:r>
        <w:rPr>
          <w:rFonts w:hint="eastAsia"/>
          <w:lang w:bidi="he-IL"/>
        </w:rPr>
        <w:t>,</w:t>
      </w:r>
      <w:r>
        <w:rPr>
          <w:lang w:bidi="he-IL"/>
        </w:rPr>
        <w:t xml:space="preserve"> classifies the judgment ‘Socrates is non-mortal’ to another mode, called Infinite. </w:t>
      </w:r>
      <w:r w:rsidR="00225552">
        <w:t xml:space="preserve">An infinite judgment, roughly speaking, is a judgment of whose form is affirmative, yet with a negated predicate. Kant’s reason for urging such a separation of Infinite from Affirmative and the reason why it’s called ‘Infinite’ is given in the following passage </w:t>
      </w:r>
      <w:r w:rsidR="00225552" w:rsidRPr="00225552">
        <w:t>(Kemp Smith, B97-B98)</w:t>
      </w:r>
      <w:r w:rsidR="00225552">
        <w:t>:</w:t>
      </w:r>
    </w:p>
    <w:p w14:paraId="0FB7CE50" w14:textId="77777777" w:rsidR="00225552" w:rsidRDefault="00450D68" w:rsidP="00B92AD5">
      <w:pPr>
        <w:spacing w:line="480" w:lineRule="auto"/>
        <w:ind w:left="720"/>
        <w:jc w:val="both"/>
      </w:pPr>
      <w:r>
        <w:lastRenderedPageBreak/>
        <w:t xml:space="preserve">Now by the proposition, 'The soul is non-mortal', I have, so far as the logical form is concerned, really made an affirmation. I locate the soul in the unlimited sphere of non-mortal beings. Since the mortal constitutes one part of the whole extension of possible beings, and the non-mortal the other, nothing more is said by my proposition than that the soul is one of the infinite number of things which remain over when I take away all that is mortal. The infinite sphere of all that is possible is thereby only so far limited that the mortal is excluded from it, and that the soul </w:t>
      </w:r>
      <w:proofErr w:type="gramStart"/>
      <w:r>
        <w:t>is located in</w:t>
      </w:r>
      <w:proofErr w:type="gramEnd"/>
      <w:r>
        <w:t xml:space="preserve"> the remaining part of its extension. But, even allowing for such exclusion, this extension still remains infinite, and several more parts of it may be taken away without the concept of the soul being thereby in the least </w:t>
      </w:r>
      <w:proofErr w:type="gramStart"/>
      <w:r>
        <w:t>increased, or</w:t>
      </w:r>
      <w:proofErr w:type="gramEnd"/>
      <w:r>
        <w:t xml:space="preserve"> determined in an affirmative manner. These judgments, though infinite in respect of their logical extension, are thus, in respect of the content of their knowledge, limitative only, and cannot therefore be passed over in a transcendental table of all moments of thought in judgments, since the function of the understanding thereby expressed may perhaps be of importance in the field of its pure a priori knowledge.</w:t>
      </w:r>
      <w:r w:rsidR="00225552">
        <w:t xml:space="preserve"> </w:t>
      </w:r>
    </w:p>
    <w:p w14:paraId="25DF41D0" w14:textId="6925BF22" w:rsidR="00225552" w:rsidRDefault="00225552" w:rsidP="00B92AD5">
      <w:pPr>
        <w:spacing w:line="480" w:lineRule="auto"/>
        <w:jc w:val="both"/>
      </w:pPr>
      <w:r>
        <w:t>I want to emphasize the sentence in the quoted passage:</w:t>
      </w:r>
    </w:p>
    <w:p w14:paraId="7AD1028E" w14:textId="6822727C" w:rsidR="00450D68" w:rsidRDefault="00225552" w:rsidP="00B92AD5">
      <w:pPr>
        <w:spacing w:line="480" w:lineRule="auto"/>
        <w:ind w:left="720"/>
        <w:jc w:val="both"/>
        <w:rPr>
          <w:lang w:bidi="he-IL"/>
        </w:rPr>
      </w:pPr>
      <w:r>
        <w:t>Now by the proposition, 'The soul is non-mortal', I have, so far as the logical form is concerned, really made an affirmation.</w:t>
      </w:r>
    </w:p>
    <w:p w14:paraId="4422BDB8" w14:textId="0DF5336B" w:rsidR="00450D68" w:rsidRDefault="00225552" w:rsidP="00B92AD5">
      <w:pPr>
        <w:spacing w:line="480" w:lineRule="auto"/>
        <w:jc w:val="both"/>
        <w:rPr>
          <w:lang w:bidi="he-IL"/>
        </w:rPr>
      </w:pPr>
      <w:r>
        <w:rPr>
          <w:lang w:bidi="he-IL"/>
        </w:rPr>
        <w:t>This indicates that Kant agrees that the affirmative judgments and infinite judgments have the same logical form. If we stay in the realm of general logic, who only cares about the logical form of judgments, we cannot make this distinction between Affirmative and Infinite.</w:t>
      </w:r>
      <w:r w:rsidR="000859CB">
        <w:rPr>
          <w:lang w:bidi="he-IL"/>
        </w:rPr>
        <w:t xml:space="preserve"> One can only tell that a judgment is infinite instead of affirmative judgments by looking at the content of the predicate used in that judgment, namely looking at whether they are negated or not. However, if we switch to transcendental logic, this distinction can and should be made.</w:t>
      </w:r>
      <w:r>
        <w:rPr>
          <w:lang w:bidi="he-IL"/>
        </w:rPr>
        <w:t xml:space="preserve"> This point is made by Kant at the beginning of the </w:t>
      </w:r>
      <w:r w:rsidR="00964902">
        <w:rPr>
          <w:lang w:bidi="he-IL"/>
        </w:rPr>
        <w:t>paragraph from which the above passage is quoted (</w:t>
      </w:r>
      <w:r w:rsidR="00964902" w:rsidRPr="00225552">
        <w:t>Kemp Smith, B97</w:t>
      </w:r>
      <w:r w:rsidR="00964902">
        <w:t>):</w:t>
      </w:r>
    </w:p>
    <w:p w14:paraId="44735723" w14:textId="77777777" w:rsidR="00450D68" w:rsidRDefault="00B90601" w:rsidP="00B92AD5">
      <w:pPr>
        <w:spacing w:line="480" w:lineRule="auto"/>
        <w:ind w:left="720"/>
        <w:jc w:val="both"/>
      </w:pPr>
      <w:r>
        <w:lastRenderedPageBreak/>
        <w:t xml:space="preserve">In like manner infinite judgments must, in transcendental logic, be distinguished from those that are affirmative, although in general logic they are rightly classed with them, and do not constitute a separate member of the division. </w:t>
      </w:r>
    </w:p>
    <w:p w14:paraId="1F36E768" w14:textId="26C25794" w:rsidR="00DA451E" w:rsidRDefault="00964902" w:rsidP="00B92AD5">
      <w:pPr>
        <w:spacing w:line="480" w:lineRule="auto"/>
        <w:jc w:val="both"/>
      </w:pPr>
      <w:r>
        <w:t>Having the above consideration in view, I want to make the following point in support of the position (which is weaker than Tolley’s account) that in the transition from general logic to transcendental logic, there must be a change of aspect: it’s not clear how, by merely restricting the domain of application of the very understanding underlying general logic</w:t>
      </w:r>
      <w:r w:rsidR="000859CB">
        <w:t xml:space="preserve">, the distinction between Affirmative and Infinite can be made. As noted in the passage quoted above by Kant, affirmative judgments and infinite judgments have the same logical form. If one merely changes the domain of application but solely focuses on the same aspect of understanding as general logic, namely logical form of judgments, </w:t>
      </w:r>
      <w:r w:rsidR="00DA451E">
        <w:t xml:space="preserve">one wouldn’t be able to tell a judgment is infinite or affirmative. Therefore, there must be a change of the focused aspect of understanding in transcendental logic, for transcendental logic to do what Kant claims it can do. </w:t>
      </w:r>
    </w:p>
    <w:p w14:paraId="3A9BA98D" w14:textId="73E647AF" w:rsidR="00CA37CE" w:rsidRDefault="00A2328C" w:rsidP="00B92AD5">
      <w:pPr>
        <w:spacing w:line="480" w:lineRule="auto"/>
        <w:jc w:val="both"/>
      </w:pPr>
      <w:r>
        <w:t>The necessity of such a change of aspect, however, doesn’t force one to take it as the essential difference between transcendental logic and general logic. Advocat</w:t>
      </w:r>
      <w:r w:rsidR="00BE0F8E">
        <w:rPr>
          <w:rFonts w:hint="eastAsia"/>
        </w:rPr>
        <w:t>es</w:t>
      </w:r>
      <w:r>
        <w:t xml:space="preserve"> of the domain-sensitive account can accept that there is a change of aspect in the transition from general logic to transcendental logic but argue, instead, that this change of aspect is derivative from the change of domain. </w:t>
      </w:r>
      <w:r w:rsidR="00CA37CE">
        <w:t xml:space="preserve">Indeed, this response seems compulsory to MacFarlane, who argues </w:t>
      </w:r>
      <w:r w:rsidR="003D3AA4">
        <w:t xml:space="preserve">that, for Kant, the fact that general logic is formal (Formality) is consequence of the fact that general logic is general (Generality). </w:t>
      </w:r>
    </w:p>
    <w:p w14:paraId="4B617293" w14:textId="4FB93598" w:rsidR="00CA37CE" w:rsidRDefault="00CA37CE" w:rsidP="00B92AD5">
      <w:pPr>
        <w:spacing w:line="480" w:lineRule="auto"/>
        <w:jc w:val="both"/>
      </w:pPr>
      <w:r>
        <w:t xml:space="preserve">The purported change of aspect from general logic to transcendental logic is nothing but a difference regarding Formality. According to MacFarlane’s view, for Kant, Formality is a unique feature </w:t>
      </w:r>
      <w:r w:rsidR="00275385">
        <w:rPr>
          <w:rFonts w:hint="eastAsia"/>
        </w:rPr>
        <w:t>of</w:t>
      </w:r>
      <w:r w:rsidR="00275385">
        <w:t xml:space="preserve"> </w:t>
      </w:r>
      <w:r>
        <w:t xml:space="preserve">general logic </w:t>
      </w:r>
      <w:r w:rsidR="00275385">
        <w:t>resulted from its Generality</w:t>
      </w:r>
      <w:r>
        <w:t xml:space="preserve">. Transcendental logic (or any special logic), which has a strictly smaller domain of application than general logic, automatically fails to be formal. The transition from general logic to transcendental logic, hence, must involve such a change of aspect. </w:t>
      </w:r>
    </w:p>
    <w:p w14:paraId="1B8230B6" w14:textId="418C7D64" w:rsidR="00CF4ED8" w:rsidRDefault="0002676A" w:rsidP="00B92AD5">
      <w:pPr>
        <w:spacing w:line="480" w:lineRule="auto"/>
        <w:jc w:val="both"/>
      </w:pPr>
      <w:r>
        <w:lastRenderedPageBreak/>
        <w:t>S</w:t>
      </w:r>
      <w:r w:rsidR="00CF4ED8">
        <w:t xml:space="preserve">ophisticated supporters of the domain-subordinative account, like MacFarlane, would happily accept all the evidence Tolley provides for this alleged change of aspect in the transition from general logic to transcendental logic and regard them as yet another piece of evidence </w:t>
      </w:r>
      <w:r w:rsidR="006D6AB5">
        <w:t>for</w:t>
      </w:r>
      <w:r w:rsidR="00CF4ED8">
        <w:t xml:space="preserve"> the domain-subordinative account</w:t>
      </w:r>
      <w:r>
        <w:t>. After all, as they will say, such a change of aspect is very much expected by the domain-subordinative account.</w:t>
      </w:r>
    </w:p>
    <w:p w14:paraId="1D76BB07" w14:textId="6C3BE707" w:rsidR="00CF4ED8" w:rsidRDefault="00CF4ED8" w:rsidP="00B92AD5">
      <w:pPr>
        <w:spacing w:line="480" w:lineRule="auto"/>
        <w:jc w:val="both"/>
      </w:pPr>
      <w:r>
        <w:t>What really sets Tolley’s position apart from the domain-subordinative account is Tolley’s claim of the Generality of transcendental logic</w:t>
      </w:r>
      <w:r w:rsidR="0002676A">
        <w:t xml:space="preserve">, that is </w:t>
      </w:r>
      <w:r>
        <w:t xml:space="preserve">transcendental logic is as general as general logic. </w:t>
      </w:r>
      <w:r w:rsidR="0002676A">
        <w:t>T</w:t>
      </w:r>
      <w:r>
        <w:t>he remaining part of the essay</w:t>
      </w:r>
      <w:r w:rsidR="0002676A">
        <w:t xml:space="preserve"> is devoted to this very question </w:t>
      </w:r>
      <w:r>
        <w:t>“</w:t>
      </w:r>
      <w:r w:rsidR="00BB74F3">
        <w:t>is transcendental logic as general as general logic?”</w:t>
      </w:r>
    </w:p>
    <w:p w14:paraId="3265AE2A" w14:textId="3E0F4E08" w:rsidR="00CF4ED8" w:rsidRDefault="00EC1C5F" w:rsidP="00CF4ED8">
      <w:pPr>
        <w:pStyle w:val="Heading1"/>
        <w:numPr>
          <w:ilvl w:val="0"/>
          <w:numId w:val="5"/>
        </w:numPr>
      </w:pPr>
      <w:r>
        <w:t>The Scope of &lt;Object&gt;</w:t>
      </w:r>
    </w:p>
    <w:p w14:paraId="6C31666A" w14:textId="77777777" w:rsidR="00B92AD5" w:rsidRPr="00B92AD5" w:rsidRDefault="00B92AD5" w:rsidP="00B92AD5"/>
    <w:p w14:paraId="3C31A432" w14:textId="77777777" w:rsidR="00F25476" w:rsidRDefault="00F25476" w:rsidP="00F25476">
      <w:pPr>
        <w:spacing w:line="480" w:lineRule="auto"/>
        <w:jc w:val="both"/>
      </w:pPr>
      <w:r>
        <w:t xml:space="preserve">Upon some inspection into Tolley’s view and the objective view I brought into consideration in Section 1, one would realize that these two views have much agreement over the nature of transcendental logic. They both take transcendental logic as applying to all judgments and thoughts of objects, and both recognize there being a change of aspect in the transition from transcendental logic to general logic. The first point is justified by Kant’s calling categories “concepts of an object in general” (B 128), among other textual considerations mentioned earlier in Section 1, while the second point is supported by the </w:t>
      </w:r>
      <w:proofErr w:type="gramStart"/>
      <w:r>
        <w:t>argument</w:t>
      </w:r>
      <w:proofErr w:type="gramEnd"/>
      <w:r>
        <w:t xml:space="preserve"> I provide above among other argument Tolley provides in his paper. Both accounts would also agree that the domain of application of general logic is as general as possible, concerning all judgments and thoughts. </w:t>
      </w:r>
    </w:p>
    <w:p w14:paraId="37CBD815" w14:textId="5D704D76" w:rsidR="00F25476" w:rsidRDefault="00F25476" w:rsidP="00B92AD5">
      <w:pPr>
        <w:spacing w:line="480" w:lineRule="auto"/>
        <w:jc w:val="both"/>
      </w:pPr>
      <w:r>
        <w:t>The disagreement, on the other hand, turns out to be a disagreement over the what the totality of judgments and thoughts is like.</w:t>
      </w:r>
      <w:r w:rsidRPr="00F25476">
        <w:t xml:space="preserve"> </w:t>
      </w:r>
      <w:r>
        <w:t xml:space="preserve">Tolley (2012) argues that all judgments and thoughts are objective, i.e. of objects. This position, together with the fact that transcendental logic concerns all judgments and thoughts of objects, makes it the case that transcendental logic and general logic have the exact same </w:t>
      </w:r>
      <w:r>
        <w:lastRenderedPageBreak/>
        <w:t xml:space="preserve">domain. On the other hand, the objective view, holding that transcendental logic has a strictly smaller domain of application than general logic, would suggest that there are non-objective judgments and thoughts, which are governed by general logic but not transcendental logic. If one can judicate on whether all judgments and thoughts are objective, one would thereby settle the dispute between Tolley’s account and the objective account. </w:t>
      </w:r>
    </w:p>
    <w:p w14:paraId="03CE88D5" w14:textId="1AA1A155" w:rsidR="005D31F9" w:rsidRDefault="00AC4D03" w:rsidP="00B92AD5">
      <w:pPr>
        <w:spacing w:line="480" w:lineRule="auto"/>
        <w:jc w:val="both"/>
      </w:pPr>
      <w:r>
        <w:t>Tolley</w:t>
      </w:r>
      <w:r w:rsidR="00BB74F3">
        <w:t xml:space="preserve"> presents his </w:t>
      </w:r>
      <w:r w:rsidR="00F25476">
        <w:t xml:space="preserve">argument for </w:t>
      </w:r>
      <w:r w:rsidR="00BB74F3">
        <w:t xml:space="preserve">the </w:t>
      </w:r>
      <w:r>
        <w:t>Generality of transcendental logic</w:t>
      </w:r>
      <w:r w:rsidR="00F25476">
        <w:t xml:space="preserve"> in two parts</w:t>
      </w:r>
      <w:r w:rsidR="00EC1C5F">
        <w:t>.</w:t>
      </w:r>
      <w:r w:rsidR="00F25476">
        <w:t xml:space="preserve"> The first part argues that </w:t>
      </w:r>
      <w:r>
        <w:t>(1) the concept &lt;object&gt; is contained in every concept</w:t>
      </w:r>
      <w:r w:rsidR="00F25476">
        <w:t xml:space="preserve"> </w:t>
      </w:r>
      <w:r w:rsidR="003C011E">
        <w:t>and</w:t>
      </w:r>
      <w:r w:rsidR="00F25476">
        <w:t xml:space="preserve"> the second part argues that</w:t>
      </w:r>
      <w:r>
        <w:t xml:space="preserve"> (2) the categories, as concepts of objects in general, are</w:t>
      </w:r>
      <w:r w:rsidR="00A5119C">
        <w:t xml:space="preserve">, </w:t>
      </w:r>
      <w:r>
        <w:t>roughly speaking</w:t>
      </w:r>
      <w:r w:rsidR="00A5119C">
        <w:t>,</w:t>
      </w:r>
      <w:r>
        <w:t xml:space="preserve"> immediately below the concept &lt;object&gt; in the tree of concepts.</w:t>
      </w:r>
      <w:r w:rsidR="00A5119C">
        <w:rPr>
          <w:rStyle w:val="FootnoteReference"/>
        </w:rPr>
        <w:footnoteReference w:id="4"/>
      </w:r>
      <w:r>
        <w:t xml:space="preserve"> </w:t>
      </w:r>
      <w:r w:rsidR="00F25476">
        <w:t xml:space="preserve">Putting these two parts together, it follows that </w:t>
      </w:r>
      <w:r>
        <w:t>all concepts other than &lt;object&gt; and the categories will contain at least one of the categories in themselves</w:t>
      </w:r>
      <w:r w:rsidR="00F25476">
        <w:t xml:space="preserve">. </w:t>
      </w:r>
      <w:r w:rsidR="005D31F9">
        <w:t>Granting that all judgments necessarily involve concepts</w:t>
      </w:r>
      <w:r w:rsidR="005D31F9">
        <w:rPr>
          <w:rStyle w:val="FootnoteReference"/>
        </w:rPr>
        <w:footnoteReference w:id="5"/>
      </w:r>
      <w:r w:rsidR="005D31F9">
        <w:t>, all judgments would</w:t>
      </w:r>
      <w:r w:rsidR="007D51AC">
        <w:t xml:space="preserve"> contain categories as part of their content and hence </w:t>
      </w:r>
      <w:r w:rsidR="005D31F9">
        <w:t xml:space="preserve">be governed by transcendental logic. </w:t>
      </w:r>
    </w:p>
    <w:p w14:paraId="5319CF3E" w14:textId="0BACD8B5" w:rsidR="00A5119C" w:rsidRDefault="005D31F9" w:rsidP="00A5119C">
      <w:pPr>
        <w:spacing w:line="480" w:lineRule="auto"/>
        <w:jc w:val="both"/>
      </w:pPr>
      <w:r>
        <w:t>In this section, I only plan to discuss</w:t>
      </w:r>
      <w:r w:rsidR="00A5119C">
        <w:t xml:space="preserve"> and dispute</w:t>
      </w:r>
      <w:r>
        <w:t xml:space="preserve"> the first point </w:t>
      </w:r>
      <w:r w:rsidR="00A5119C">
        <w:t xml:space="preserve">made by Tolley, that the concept &lt;object&gt; is contained in every concept. I essentially agree with Tolley on the second point. </w:t>
      </w:r>
      <w:r w:rsidR="00AC4D03">
        <w:t xml:space="preserve">I shall </w:t>
      </w:r>
      <w:r w:rsidR="00A5119C">
        <w:t xml:space="preserve">brief introduce Kant’s account of the relation among concepts to make Tolley’s first point intelligible. </w:t>
      </w:r>
    </w:p>
    <w:p w14:paraId="005B1972" w14:textId="03F2308C" w:rsidR="00A5119C" w:rsidRDefault="008C7FF0" w:rsidP="00A5119C">
      <w:pPr>
        <w:spacing w:line="480" w:lineRule="auto"/>
        <w:jc w:val="both"/>
      </w:pPr>
      <w:r>
        <w:t xml:space="preserve">Kant </w:t>
      </w:r>
      <w:r w:rsidR="003432C3">
        <w:t>takes concepts as composed of simpler concepts.</w:t>
      </w:r>
      <w:r>
        <w:t xml:space="preserve"> One concept is called </w:t>
      </w:r>
      <w:r w:rsidR="00EA5F67" w:rsidRPr="00A5119C">
        <w:t>contained</w:t>
      </w:r>
      <w:r w:rsidR="00EA5F67" w:rsidRPr="00EA5F67">
        <w:rPr>
          <w:i/>
        </w:rPr>
        <w:t xml:space="preserve"> </w:t>
      </w:r>
      <w:r w:rsidR="00EA5F67">
        <w:rPr>
          <w:i/>
        </w:rPr>
        <w:t>in</w:t>
      </w:r>
      <w:r w:rsidR="00EA5F67">
        <w:t xml:space="preserve"> another if the first concept is</w:t>
      </w:r>
      <w:r w:rsidR="004D6A1B">
        <w:t xml:space="preserve"> one of </w:t>
      </w:r>
      <w:r w:rsidR="00EA5F67">
        <w:t xml:space="preserve">a set of </w:t>
      </w:r>
      <w:r w:rsidR="003432C3">
        <w:t>concepts</w:t>
      </w:r>
      <w:r w:rsidR="00EA5F67">
        <w:t xml:space="preserve">, </w:t>
      </w:r>
      <w:r w:rsidR="004D6A1B">
        <w:t xml:space="preserve">of which the later concept is composed. </w:t>
      </w:r>
      <w:r w:rsidR="00EA5F67">
        <w:t xml:space="preserve">For example, the concept &lt;human&gt; is traditionally taken to be composed of &lt;rational&gt; and &lt;animal&gt;. For Kant, both &lt;rational&gt; and &lt;animal&gt; would be contained </w:t>
      </w:r>
      <w:r w:rsidR="00EA5F67" w:rsidRPr="00A5119C">
        <w:t>in</w:t>
      </w:r>
      <w:r w:rsidR="00EA5F67">
        <w:t xml:space="preserve"> &lt;human&gt;. </w:t>
      </w:r>
      <w:r w:rsidR="003432C3">
        <w:t xml:space="preserve">The contained-in relation among all concepts forms a tree, </w:t>
      </w:r>
      <w:r w:rsidR="003432C3">
        <w:lastRenderedPageBreak/>
        <w:t xml:space="preserve">where all points on the tree are concepts linked by the contained-in relation. The simpler concepts, of which other concepts are composed, would locate higher up on the tree. </w:t>
      </w:r>
      <w:r w:rsidR="007E0F2E">
        <w:t>If</w:t>
      </w:r>
      <w:r w:rsidR="003432C3">
        <w:t xml:space="preserve"> &lt;A&gt; is contained in &lt;B&gt;, &lt;A&gt; would appear </w:t>
      </w:r>
      <w:r w:rsidR="003432C3" w:rsidRPr="007D51AC">
        <w:rPr>
          <w:i/>
        </w:rPr>
        <w:t>above</w:t>
      </w:r>
      <w:r w:rsidR="003432C3">
        <w:t xml:space="preserve"> &lt;B&gt; on the tree, which makes &lt;B&gt; contained </w:t>
      </w:r>
      <w:r w:rsidR="003432C3" w:rsidRPr="003432C3">
        <w:rPr>
          <w:i/>
        </w:rPr>
        <w:t>under</w:t>
      </w:r>
      <w:r w:rsidR="003432C3">
        <w:t xml:space="preserve"> &lt;A&gt; and make</w:t>
      </w:r>
      <w:r w:rsidR="007D51AC">
        <w:t>s</w:t>
      </w:r>
      <w:r w:rsidR="003432C3">
        <w:t xml:space="preserve"> &lt;A&gt; </w:t>
      </w:r>
      <w:r w:rsidR="003432C3" w:rsidRPr="007D51AC">
        <w:rPr>
          <w:i/>
        </w:rPr>
        <w:t>higher</w:t>
      </w:r>
      <w:r w:rsidR="003432C3">
        <w:t xml:space="preserve"> and &lt;B&gt; </w:t>
      </w:r>
      <w:r w:rsidR="003432C3" w:rsidRPr="007D51AC">
        <w:rPr>
          <w:i/>
        </w:rPr>
        <w:t>lower</w:t>
      </w:r>
      <w:r w:rsidR="003432C3">
        <w:t xml:space="preserve"> on the tree.</w:t>
      </w:r>
      <w:r w:rsidR="003432C3">
        <w:rPr>
          <w:rStyle w:val="FootnoteReference"/>
        </w:rPr>
        <w:footnoteReference w:id="6"/>
      </w:r>
      <w:r w:rsidR="003432C3">
        <w:t xml:space="preserve"> </w:t>
      </w:r>
      <w:r w:rsidR="007D51AC">
        <w:t>In our example, b</w:t>
      </w:r>
      <w:r w:rsidR="00EA5F67">
        <w:t xml:space="preserve">oth &lt;rational&gt; and &lt;animal&gt; will be above &lt;human&gt;, </w:t>
      </w:r>
      <w:r w:rsidR="00A5119C">
        <w:t xml:space="preserve">with two edges linking each of &lt;rational&gt; and &lt;animal&gt; to &lt;human&gt;, as </w:t>
      </w:r>
      <w:r w:rsidR="007D51AC">
        <w:t xml:space="preserve">they are both contained in </w:t>
      </w:r>
      <w:r w:rsidR="00A5119C">
        <w:t xml:space="preserve">&lt;human&gt;. </w:t>
      </w:r>
    </w:p>
    <w:p w14:paraId="29FE0A30" w14:textId="72987774" w:rsidR="002E44A8" w:rsidRDefault="004D6A1B" w:rsidP="00B92AD5">
      <w:pPr>
        <w:spacing w:line="480" w:lineRule="auto"/>
        <w:jc w:val="both"/>
      </w:pPr>
      <w:r>
        <w:t xml:space="preserve">To say the concept &lt;object&gt; is the highest among all concepts, is to take it as the most general concept, contained in every other concept. </w:t>
      </w:r>
      <w:r w:rsidR="007D51AC">
        <w:t xml:space="preserve">Granting that </w:t>
      </w:r>
      <w:r>
        <w:t>all judgments</w:t>
      </w:r>
      <w:r w:rsidR="002E44A8">
        <w:t xml:space="preserve"> and thoughts</w:t>
      </w:r>
      <w:r>
        <w:t xml:space="preserve"> must involve concepts, </w:t>
      </w:r>
      <w:r w:rsidR="002E44A8">
        <w:t xml:space="preserve">all judgments and thoughts must contain the concept &lt;object&gt; in it and hence be objective. </w:t>
      </w:r>
    </w:p>
    <w:p w14:paraId="5FA6AF7A" w14:textId="0C39D8B3" w:rsidR="00881EF7" w:rsidRDefault="00881EF7" w:rsidP="00B92AD5">
      <w:pPr>
        <w:spacing w:line="480" w:lineRule="auto"/>
        <w:jc w:val="both"/>
      </w:pPr>
      <w:r>
        <w:t xml:space="preserve">Before giving a direct reply to Tolley’s argument, I shall present a passage from </w:t>
      </w:r>
      <w:r w:rsidRPr="00881EF7">
        <w:t xml:space="preserve">the first page of the Preface to Kant's </w:t>
      </w:r>
      <w:r w:rsidRPr="00881EF7">
        <w:rPr>
          <w:i/>
        </w:rPr>
        <w:t>Groundwork for the Metaphysics of Morals</w:t>
      </w:r>
      <w:r>
        <w:t>:</w:t>
      </w:r>
    </w:p>
    <w:p w14:paraId="34899C29" w14:textId="4BE9508B" w:rsidR="00881EF7" w:rsidRDefault="00881EF7" w:rsidP="00B92AD5">
      <w:pPr>
        <w:spacing w:line="480" w:lineRule="auto"/>
        <w:ind w:left="720"/>
        <w:jc w:val="both"/>
      </w:pPr>
      <w:r w:rsidRPr="00BC71F8">
        <w:t>All rational cognition is either material and concerned with some object, or formal and occupied only with the form of the understanding and of reason itself and with the universal rules of thinking in general, without distinction of objects.  Formal philosophy is called logic, whereas material philosophy, which has to do with determinate objects and the laws to which they are subject, is in turn divided into two.  For these laws are either laws of nature or laws of freedom.  The science of the first is called physics, that of the other is ethics...</w:t>
      </w:r>
    </w:p>
    <w:p w14:paraId="13E26519" w14:textId="7119E6F4" w:rsidR="00BC71F8" w:rsidRDefault="00881EF7" w:rsidP="00B92AD5">
      <w:pPr>
        <w:spacing w:line="480" w:lineRule="auto"/>
        <w:jc w:val="both"/>
      </w:pPr>
      <w:r>
        <w:t>In this passage, Kant separates material cognition from formal cognition, saying the former concern</w:t>
      </w:r>
      <w:r w:rsidR="007E0F2E">
        <w:t>s</w:t>
      </w:r>
      <w:r>
        <w:t xml:space="preserve"> objects while the later only concerns the form of understanding. This leaves open the possibility of there being non-objective judgments and thoughts. </w:t>
      </w:r>
      <w:proofErr w:type="gramStart"/>
      <w:r>
        <w:t>In particular, these</w:t>
      </w:r>
      <w:proofErr w:type="gramEnd"/>
      <w:r>
        <w:t xml:space="preserve"> non-objective judgments and thoughts would figure in logic. </w:t>
      </w:r>
    </w:p>
    <w:p w14:paraId="5AB558F9" w14:textId="180D32D8" w:rsidR="00881EF7" w:rsidRDefault="00881EF7" w:rsidP="00B92AD5">
      <w:pPr>
        <w:spacing w:line="480" w:lineRule="auto"/>
        <w:jc w:val="both"/>
      </w:pPr>
      <w:r>
        <w:t>For example, consider the following statement</w:t>
      </w:r>
      <w:r w:rsidR="00135385">
        <w:t xml:space="preserve"> (*)</w:t>
      </w:r>
      <w:r>
        <w:t xml:space="preserve"> of general logic:</w:t>
      </w:r>
    </w:p>
    <w:p w14:paraId="0C209F3E" w14:textId="29CB2E64" w:rsidR="00881EF7" w:rsidRDefault="00881EF7" w:rsidP="00B92AD5">
      <w:pPr>
        <w:spacing w:line="480" w:lineRule="auto"/>
        <w:jc w:val="both"/>
      </w:pPr>
      <w:r>
        <w:lastRenderedPageBreak/>
        <w:tab/>
        <w:t>A</w:t>
      </w:r>
      <w:r w:rsidR="004C79CB">
        <w:t xml:space="preserve">ll </w:t>
      </w:r>
      <w:r>
        <w:t>judgment</w:t>
      </w:r>
      <w:r w:rsidR="004C79CB">
        <w:t>s</w:t>
      </w:r>
      <w:r>
        <w:t xml:space="preserve"> </w:t>
      </w:r>
      <w:r w:rsidR="004C79CB">
        <w:t>are</w:t>
      </w:r>
      <w:r>
        <w:t xml:space="preserve"> either </w:t>
      </w:r>
      <w:r w:rsidR="00C37F8E">
        <w:t xml:space="preserve">categorical, or hypothetical, or disjunctive. </w:t>
      </w:r>
    </w:p>
    <w:p w14:paraId="052C6D8D" w14:textId="0CEF1A20" w:rsidR="00CD59A9" w:rsidRDefault="00CD59A9" w:rsidP="00B92AD5">
      <w:pPr>
        <w:spacing w:line="480" w:lineRule="auto"/>
        <w:jc w:val="both"/>
      </w:pPr>
      <w:r>
        <w:t xml:space="preserve">Is this statement objective? Unlikely. </w:t>
      </w:r>
    </w:p>
    <w:p w14:paraId="00DD9998" w14:textId="09BE0AD7" w:rsidR="00CD59A9" w:rsidRDefault="00CD59A9" w:rsidP="00B92AD5">
      <w:pPr>
        <w:spacing w:line="480" w:lineRule="auto"/>
        <w:jc w:val="both"/>
      </w:pPr>
      <w:r>
        <w:t xml:space="preserve">As Kant emphasized in B78 of the first </w:t>
      </w:r>
      <w:r w:rsidRPr="00CD59A9">
        <w:rPr>
          <w:i/>
        </w:rPr>
        <w:t>Critique</w:t>
      </w:r>
      <w:r>
        <w:t xml:space="preserve"> among many other places, general logic “abstracts from all content of the knowledge of understanding and from all differences in its </w:t>
      </w:r>
      <w:proofErr w:type="gramStart"/>
      <w:r>
        <w:t>objects, and</w:t>
      </w:r>
      <w:proofErr w:type="gramEnd"/>
      <w:r>
        <w:t xml:space="preserve"> deals with nothing but the mere form of thought.” (*) as a statement of general logic concerns the mere form of understanding, but not of objects. Then what’s going on when Kant asserts that &lt;object&gt; is the highest concept among all concepts?</w:t>
      </w:r>
    </w:p>
    <w:p w14:paraId="02EA23D6" w14:textId="4D2D9C2D" w:rsidR="00A61E8D" w:rsidRDefault="00CD59A9" w:rsidP="00B92AD5">
      <w:pPr>
        <w:spacing w:line="480" w:lineRule="auto"/>
        <w:jc w:val="both"/>
      </w:pPr>
      <w:r>
        <w:t>This is because Kant uses terms like “object” or “concept” both in strict and loose sense</w:t>
      </w:r>
      <w:r w:rsidR="00A61E8D">
        <w:t>s</w:t>
      </w:r>
      <w:r>
        <w:t xml:space="preserve">. Sometimes, when Kant says “object”, he means “objects of experience”, which is the most important kind of objects for the first </w:t>
      </w:r>
      <w:r w:rsidRPr="00CD59A9">
        <w:rPr>
          <w:i/>
        </w:rPr>
        <w:t>Critique</w:t>
      </w:r>
      <w:r>
        <w:t xml:space="preserve">. </w:t>
      </w:r>
      <w:r w:rsidR="007E0F2E">
        <w:t>Objects</w:t>
      </w:r>
      <w:r>
        <w:t xml:space="preserve"> of experience would not only </w:t>
      </w:r>
      <w:r w:rsidR="007E0F2E">
        <w:t>fall in the domain of transcendental logic</w:t>
      </w:r>
      <w:r>
        <w:t xml:space="preserve"> but also </w:t>
      </w:r>
      <w:r w:rsidR="007E0F2E">
        <w:t xml:space="preserve">be </w:t>
      </w:r>
      <w:r>
        <w:t xml:space="preserve">subject to the form of sensibility, namely space and time, since the form of sensibility is what makes experience possible. When Tolley asserts that transcendental logic applies to objects in general, he clearly means some looser sense of “object” than “object of experience”. For he </w:t>
      </w:r>
      <w:r w:rsidR="007E0F2E">
        <w:t xml:space="preserve">explicitly asserts that transcendental logic shouldn’t be subject to </w:t>
      </w:r>
      <w:r w:rsidR="00A61E8D">
        <w:t>human’s form of sensibility</w:t>
      </w:r>
      <w:r w:rsidR="007E0F2E">
        <w:t xml:space="preserve"> at various places</w:t>
      </w:r>
      <w:r w:rsidR="00A61E8D">
        <w:t xml:space="preserve">. </w:t>
      </w:r>
    </w:p>
    <w:p w14:paraId="316A81D7" w14:textId="69CD532C" w:rsidR="00A61E8D" w:rsidRDefault="00A61E8D" w:rsidP="00B92AD5">
      <w:pPr>
        <w:spacing w:line="480" w:lineRule="auto"/>
        <w:jc w:val="both"/>
      </w:pPr>
      <w:r>
        <w:t xml:space="preserve">However, Tolley still wants the sense of “object” to be strict enough so that all objects are subject to categories. This is the sense Kant uses in B346 in the first Critique, when he suggests that &lt;object&gt; is the highest concept to begin a transcendental philosophy. It’s quite a general sense of “object”, as it’s “taken problematically, without its having been decided whether it is something or nothing”. </w:t>
      </w:r>
      <w:r w:rsidR="00B3226D">
        <w:t xml:space="preserve">However, as noted by Kant, it’s the highest concept to begin a transcendental philosophy, not logic! This sense of “object” </w:t>
      </w:r>
      <w:r w:rsidR="007D51AC">
        <w:t>would likely</w:t>
      </w:r>
      <w:r w:rsidR="00B3226D">
        <w:t xml:space="preserve"> exclude judgments from being objects. As all objects in this sense are subject to categories, it’s not clear, for example, how judgments can be subject to the category of causality. </w:t>
      </w:r>
    </w:p>
    <w:p w14:paraId="6E590EE9" w14:textId="41C89044" w:rsidR="00B3226D" w:rsidRDefault="00B3226D" w:rsidP="007D51AC">
      <w:pPr>
        <w:spacing w:line="480" w:lineRule="auto"/>
        <w:jc w:val="both"/>
      </w:pPr>
      <w:r>
        <w:t>When Kant discusses the tree of concepts, Tolley refers to, Kant</w:t>
      </w:r>
      <w:r w:rsidR="007E0F2E">
        <w:t xml:space="preserve"> i</w:t>
      </w:r>
      <w:r>
        <w:t xml:space="preserve">s mainly concerned with concepts used in theoretical knowledge of science. Such a tree will exclude things that look like a concept to us, but do </w:t>
      </w:r>
      <w:r>
        <w:lastRenderedPageBreak/>
        <w:t xml:space="preserve">not feature in theoretical knowledge of science. Those concept-like things typically feature in logic. For example, recall the tree starts with &lt;object&gt; on the very top. Then with the help of certain differentia, it splits into &lt;substance&gt; and &lt;accidence&gt;. What about the differentia behind this division? Traditionally, substances are differentiated from accidences by the place they appear in a sentence. Those concepts that typically appear in the subject position </w:t>
      </w:r>
      <w:r w:rsidR="007E0F2E">
        <w:t xml:space="preserve">are concepts of </w:t>
      </w:r>
      <w:r>
        <w:t xml:space="preserve">substances while those concepts that typically appear in the predicate position are concepts of accidences. This differentia apparently involves some concept-like entities, like </w:t>
      </w:r>
      <w:r w:rsidR="00BB74F3">
        <w:t>“</w:t>
      </w:r>
      <w:r>
        <w:t>predicate</w:t>
      </w:r>
      <w:r w:rsidR="00BB74F3">
        <w:t xml:space="preserve">”. Are they </w:t>
      </w:r>
      <w:r w:rsidR="007D51AC">
        <w:t>somewhere on</w:t>
      </w:r>
      <w:r w:rsidR="00BB74F3">
        <w:t xml:space="preserve"> the tree? </w:t>
      </w:r>
      <w:r w:rsidR="007D51AC">
        <w:t xml:space="preserve">If they are, it makes &lt;object&gt; less likely to be the highest concept, since it’s again not clear how &lt;predicate&gt;, being a metalinguistic concept would contain &lt;object&gt;, </w:t>
      </w:r>
      <w:r w:rsidR="007D51AC" w:rsidRPr="007D51AC">
        <w:rPr>
          <w:i/>
        </w:rPr>
        <w:t>a fortiori</w:t>
      </w:r>
      <w:r w:rsidR="007D51AC">
        <w:t xml:space="preserve">, categories in it. </w:t>
      </w:r>
      <w:r w:rsidR="007C3C9B">
        <w:t>Similarly, we can also ask about other “concepts” that showed up in the table of judgments, like ‘Categorical’ or ‘Hypothetical’. In what sense do they contain &lt;object&gt; in them? If not, are they concepts or not?</w:t>
      </w:r>
    </w:p>
    <w:p w14:paraId="07A59958" w14:textId="5A2C56AC" w:rsidR="00D504B1" w:rsidRDefault="00700863" w:rsidP="00D504B1">
      <w:pPr>
        <w:spacing w:line="480" w:lineRule="auto"/>
        <w:jc w:val="both"/>
      </w:pPr>
      <w:r>
        <w:t xml:space="preserve">From the above observation, I want to make the point that when Kant draws the </w:t>
      </w:r>
      <w:r w:rsidR="007C3C9B">
        <w:t>tree of concepts with &lt;object&gt; on the very top, he left out</w:t>
      </w:r>
      <w:r w:rsidR="007E0F2E">
        <w:t xml:space="preserve"> </w:t>
      </w:r>
      <w:r w:rsidR="007C3C9B">
        <w:t xml:space="preserve">what we </w:t>
      </w:r>
      <w:r w:rsidR="00D504B1">
        <w:t>now</w:t>
      </w:r>
      <w:r w:rsidR="007C3C9B">
        <w:t xml:space="preserve"> call </w:t>
      </w:r>
      <w:r w:rsidR="00D504B1">
        <w:t>“</w:t>
      </w:r>
      <w:r w:rsidR="007C3C9B">
        <w:t>metalinguistic concepts</w:t>
      </w:r>
      <w:r w:rsidR="00D504B1">
        <w:t>”</w:t>
      </w:r>
      <w:r w:rsidR="007C3C9B">
        <w:t xml:space="preserve">, since those metalinguistic concepts are not concepts used in the theoretical knowledge of science, i.e. transcendental philosophy. </w:t>
      </w:r>
      <w:r w:rsidR="00D504B1">
        <w:t>R</w:t>
      </w:r>
      <w:r w:rsidR="007C3C9B">
        <w:t xml:space="preserve">ather, they are used in formal logic. </w:t>
      </w:r>
      <w:r w:rsidR="00D504B1">
        <w:t xml:space="preserve">It’s important to note that when Kant says that &lt;object&gt; is the highest concept, he’s not making a peculiar claim about statements of general logic, like (*), that they are somehow objective. Rather, he’s simply not concerned with them, for they are not concepts of transcendental philosophy. </w:t>
      </w:r>
    </w:p>
    <w:p w14:paraId="04A026CB" w14:textId="1FCCBBE9" w:rsidR="004C79CB" w:rsidRDefault="00D504B1" w:rsidP="007C3C9B">
      <w:pPr>
        <w:spacing w:line="480" w:lineRule="auto"/>
        <w:jc w:val="both"/>
      </w:pPr>
      <w:r>
        <w:t xml:space="preserve">One may then be tempted to ask: </w:t>
      </w:r>
      <w:r w:rsidR="00EC6073">
        <w:t>For Kant, a</w:t>
      </w:r>
      <w:r w:rsidR="007C3C9B">
        <w:t xml:space="preserve">re the statements in general logic judgments (thoughts) or not? Are the metalinguistic concepts </w:t>
      </w:r>
      <w:proofErr w:type="spellStart"/>
      <w:r w:rsidR="007C3C9B">
        <w:t>concepts</w:t>
      </w:r>
      <w:proofErr w:type="spellEnd"/>
      <w:r w:rsidR="007C3C9B">
        <w:t xml:space="preserve"> or not? </w:t>
      </w:r>
      <w:r w:rsidR="007E0F2E">
        <w:t xml:space="preserve">These </w:t>
      </w:r>
      <w:r w:rsidR="00EC6073">
        <w:t>questions</w:t>
      </w:r>
      <w:r w:rsidR="007E0F2E">
        <w:t xml:space="preserve"> are towards</w:t>
      </w:r>
      <w:r w:rsidR="00EC6073">
        <w:t xml:space="preserve"> </w:t>
      </w:r>
      <w:r w:rsidR="007C3C9B">
        <w:t xml:space="preserve">Kant’s meta-philosophy, which Kant possibly didn’t care too much and never made clear to the readers. For the discussion of meta-philosophical questions </w:t>
      </w:r>
      <w:r w:rsidR="00FE5FB7">
        <w:t xml:space="preserve">wasn’t as popular at Kant’s time as it is now and it’s indeed distant from the purpose of the first </w:t>
      </w:r>
      <w:r w:rsidR="00FE5FB7" w:rsidRPr="00FE5FB7">
        <w:rPr>
          <w:i/>
        </w:rPr>
        <w:t>Critique</w:t>
      </w:r>
      <w:r w:rsidR="00FE5FB7">
        <w:t xml:space="preserve">, </w:t>
      </w:r>
      <w:proofErr w:type="gramStart"/>
      <w:r w:rsidR="00FE5FB7">
        <w:t>namely</w:t>
      </w:r>
      <w:proofErr w:type="gramEnd"/>
      <w:r w:rsidR="007E0F2E">
        <w:t xml:space="preserve"> </w:t>
      </w:r>
      <w:r w:rsidR="00FE5FB7">
        <w:t xml:space="preserve">to lay philosophical foundations for theoretical </w:t>
      </w:r>
      <w:r w:rsidR="00FE5FB7">
        <w:lastRenderedPageBreak/>
        <w:t xml:space="preserve">knowledge of science (but not to lay philosophical foundations for philosophy of theoretical knowledge of science). </w:t>
      </w:r>
      <w:r w:rsidR="004C79CB">
        <w:t xml:space="preserve">Any further discussion on this issue will soon leads us to </w:t>
      </w:r>
      <w:r w:rsidR="008F6425">
        <w:t>fill in blanks Kant left empty</w:t>
      </w:r>
      <w:r w:rsidR="004C79CB">
        <w:t xml:space="preserve">. </w:t>
      </w:r>
    </w:p>
    <w:p w14:paraId="652F932E" w14:textId="199EDB54" w:rsidR="00EC6073" w:rsidRDefault="000757AA" w:rsidP="007C3C9B">
      <w:pPr>
        <w:spacing w:line="480" w:lineRule="auto"/>
        <w:jc w:val="both"/>
      </w:pPr>
      <w:r>
        <w:t>Despite that Kant didn’t say by himself, in defense of the objective account, one can assert the following: It</w:t>
      </w:r>
      <w:r w:rsidR="004C79CB">
        <w:t xml:space="preserve"> </w:t>
      </w:r>
      <w:r w:rsidR="00EC6073">
        <w:t xml:space="preserve">should be clear that these statements, be it judgments or not, are not governed by categories </w:t>
      </w:r>
      <w:r w:rsidR="004C79CB">
        <w:t xml:space="preserve">or transcendental logic, while they are apparently governed by general logic. (*), be it a judgment or not, would be universal affirmative categorical apodictic, according to general logic. Hence, these non-objective statements would be in the scope of general logic but not transcendental logic, which makes general logic more general than transcendental logic. </w:t>
      </w:r>
    </w:p>
    <w:p w14:paraId="7E50E3ED" w14:textId="56C5D000" w:rsidR="000757AA" w:rsidRDefault="000757AA" w:rsidP="007C3C9B">
      <w:pPr>
        <w:spacing w:line="480" w:lineRule="auto"/>
        <w:jc w:val="both"/>
      </w:pPr>
      <w:r>
        <w:t xml:space="preserve">It will be harder for Tolley to fill in this blank left by Kant, since he will either have to claim that (1) these statements are not governed by general logic at all, or (2) these statements are in fact judgments and have the concept &lt;object&gt; in them. </w:t>
      </w:r>
    </w:p>
    <w:p w14:paraId="413BBC26" w14:textId="7A028206" w:rsidR="004C79CB" w:rsidRDefault="004C79CB" w:rsidP="007C3C9B">
      <w:pPr>
        <w:spacing w:line="480" w:lineRule="auto"/>
        <w:jc w:val="both"/>
      </w:pPr>
      <w:r>
        <w:t xml:space="preserve">In this section, I have shown how a sophisticated version of the domain-subordinative account can be defended against Tolley’s account. It’s important to note that the dispute touches on topics Kant didn’t discuss at length or at all in the first </w:t>
      </w:r>
      <w:r w:rsidRPr="004C79CB">
        <w:rPr>
          <w:i/>
        </w:rPr>
        <w:t>Critique</w:t>
      </w:r>
      <w:r>
        <w:t xml:space="preserve"> (among other writings of him), like the status of meta-linguistic concepts, or the nature of statements of general logic. Due to this ambiguity</w:t>
      </w:r>
      <w:r w:rsidR="000757AA">
        <w:t xml:space="preserve">, both Tolley’s view and the objective view must somehow fill in the blank left by Kant. As it seems to me, Tolley would be forced to accept some strange consequence of his view when filling in these blanks, which makes the objective account more attractive. </w:t>
      </w:r>
      <w:bookmarkStart w:id="0" w:name="_GoBack"/>
      <w:bookmarkEnd w:id="0"/>
    </w:p>
    <w:p w14:paraId="7473DA3E" w14:textId="4C6788D2" w:rsidR="00054CA6" w:rsidRDefault="00054CA6" w:rsidP="00F8022C">
      <w:pPr>
        <w:pStyle w:val="Heading1"/>
      </w:pPr>
      <w:r>
        <w:t>Reference</w:t>
      </w:r>
    </w:p>
    <w:p w14:paraId="3AF8BBB4" w14:textId="26680ABF" w:rsidR="00054CA6" w:rsidRDefault="00054CA6" w:rsidP="00F24CD7">
      <w:r w:rsidRPr="00054CA6">
        <w:t>MacFarlane, John. "</w:t>
      </w:r>
      <w:proofErr w:type="spellStart"/>
      <w:r w:rsidRPr="00054CA6">
        <w:t>Frege</w:t>
      </w:r>
      <w:proofErr w:type="spellEnd"/>
      <w:r w:rsidRPr="00054CA6">
        <w:t xml:space="preserve">, Kant, and the logic in logicism." </w:t>
      </w:r>
      <w:r w:rsidRPr="00054CA6">
        <w:rPr>
          <w:i/>
        </w:rPr>
        <w:t>The philosophical review</w:t>
      </w:r>
      <w:r w:rsidRPr="00054CA6">
        <w:t xml:space="preserve"> 111, no. 1 (2002): 25-65.</w:t>
      </w:r>
    </w:p>
    <w:p w14:paraId="7172A4F6" w14:textId="0BBF7E93" w:rsidR="00054CA6" w:rsidRDefault="00054CA6" w:rsidP="00F24CD7">
      <w:r w:rsidRPr="00054CA6">
        <w:t xml:space="preserve">Tolley, Clinton. "The Generality of Kant's Transcendental Logic." </w:t>
      </w:r>
      <w:r w:rsidRPr="00054CA6">
        <w:rPr>
          <w:i/>
        </w:rPr>
        <w:t>Journal of the History of Philosophy</w:t>
      </w:r>
      <w:r w:rsidRPr="00054CA6">
        <w:t xml:space="preserve"> 50, no. 3 (2012): 417-446.</w:t>
      </w:r>
    </w:p>
    <w:sectPr w:rsidR="00054CA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14E99CD" w14:textId="77777777" w:rsidR="009E0088" w:rsidRDefault="009E0088" w:rsidP="004352B9">
      <w:pPr>
        <w:spacing w:after="0" w:line="240" w:lineRule="auto"/>
      </w:pPr>
      <w:r>
        <w:separator/>
      </w:r>
    </w:p>
  </w:endnote>
  <w:endnote w:type="continuationSeparator" w:id="0">
    <w:p w14:paraId="17BF68BE" w14:textId="77777777" w:rsidR="009E0088" w:rsidRDefault="009E0088" w:rsidP="004352B9">
      <w:pPr>
        <w:spacing w:after="0" w:line="240" w:lineRule="auto"/>
      </w:pPr>
      <w:r>
        <w:continuationSeparator/>
      </w:r>
    </w:p>
  </w:endnote>
  <w:endnote w:type="continuationNotice" w:id="1">
    <w:p w14:paraId="22A224B1" w14:textId="77777777" w:rsidR="009E0088" w:rsidRDefault="009E008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Fd2106076-Identity-H">
    <w:altName w:val="Calibri"/>
    <w:panose1 w:val="00000000000000000000"/>
    <w:charset w:val="00"/>
    <w:family w:val="auto"/>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506024039"/>
      <w:docPartObj>
        <w:docPartGallery w:val="Page Numbers (Bottom of Page)"/>
        <w:docPartUnique/>
      </w:docPartObj>
    </w:sdtPr>
    <w:sdtEndPr>
      <w:rPr>
        <w:noProof/>
      </w:rPr>
    </w:sdtEndPr>
    <w:sdtContent>
      <w:p w14:paraId="4D315283" w14:textId="7A83C03D" w:rsidR="002E4BE1" w:rsidRDefault="002E4BE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F096CFB" w14:textId="77777777" w:rsidR="002E4BE1" w:rsidRDefault="002E4BE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90348C5" w14:textId="77777777" w:rsidR="009E0088" w:rsidRDefault="009E0088" w:rsidP="004352B9">
      <w:pPr>
        <w:spacing w:after="0" w:line="240" w:lineRule="auto"/>
      </w:pPr>
      <w:r>
        <w:separator/>
      </w:r>
    </w:p>
  </w:footnote>
  <w:footnote w:type="continuationSeparator" w:id="0">
    <w:p w14:paraId="0923174E" w14:textId="77777777" w:rsidR="009E0088" w:rsidRDefault="009E0088" w:rsidP="004352B9">
      <w:pPr>
        <w:spacing w:after="0" w:line="240" w:lineRule="auto"/>
      </w:pPr>
      <w:r>
        <w:continuationSeparator/>
      </w:r>
    </w:p>
  </w:footnote>
  <w:footnote w:type="continuationNotice" w:id="1">
    <w:p w14:paraId="51B3371B" w14:textId="77777777" w:rsidR="009E0088" w:rsidRDefault="009E0088">
      <w:pPr>
        <w:spacing w:after="0" w:line="240" w:lineRule="auto"/>
      </w:pPr>
    </w:p>
  </w:footnote>
  <w:footnote w:id="2">
    <w:p w14:paraId="4C29116A" w14:textId="0C41585B" w:rsidR="004D55B7" w:rsidRDefault="004D55B7" w:rsidP="004D55B7">
      <w:pPr>
        <w:pStyle w:val="FootnoteText"/>
        <w:jc w:val="both"/>
      </w:pPr>
      <w:r>
        <w:rPr>
          <w:rStyle w:val="FootnoteReference"/>
        </w:rPr>
        <w:footnoteRef/>
      </w:r>
      <w:r>
        <w:t xml:space="preserve"> It should be noted that </w:t>
      </w:r>
      <w:r w:rsidRPr="004D55B7">
        <w:t>Tolley interprets the first position as restricting the domain of transcendental logic to</w:t>
      </w:r>
      <w:r>
        <w:t xml:space="preserve"> </w:t>
      </w:r>
      <w:r>
        <w:rPr>
          <w:rFonts w:hint="eastAsia"/>
        </w:rPr>
        <w:t>judg</w:t>
      </w:r>
      <w:r>
        <w:t>ments</w:t>
      </w:r>
      <w:r w:rsidR="0073638E">
        <w:t xml:space="preserve"> of</w:t>
      </w:r>
      <w:r w:rsidRPr="004D55B7">
        <w:t xml:space="preserve"> non-sensible objects only.</w:t>
      </w:r>
      <w:r w:rsidR="0073638E">
        <w:t xml:space="preserve"> </w:t>
      </w:r>
      <w:r>
        <w:t>Supporters of th</w:t>
      </w:r>
      <w:r w:rsidR="0073638E">
        <w:t xml:space="preserve">is </w:t>
      </w:r>
      <w:r>
        <w:t xml:space="preserve">position may, perhaps </w:t>
      </w:r>
      <w:r w:rsidR="0073638E">
        <w:t>correct</w:t>
      </w:r>
      <w:r>
        <w:t>ly, accuse Tolley for mis</w:t>
      </w:r>
      <w:r w:rsidR="0073638E">
        <w:t>understanding</w:t>
      </w:r>
      <w:r>
        <w:t xml:space="preserve"> their position. They may argue that that transcendental a priori judgments concern all objects, instead of non-sensible objects solely. This reply will make this position very close to the position I intend to explore in detail later in the essay. Here I only meant to dismiss the position, as interpreted by Tolley, namely asserting that transcendental logic concerns only non-sensible objects, using Tolley’s arguments. </w:t>
      </w:r>
    </w:p>
  </w:footnote>
  <w:footnote w:id="3">
    <w:p w14:paraId="63ADC3C0" w14:textId="15F797DB" w:rsidR="00486EED" w:rsidRDefault="00486EED" w:rsidP="00486EED">
      <w:pPr>
        <w:pStyle w:val="FootnoteText"/>
        <w:jc w:val="both"/>
      </w:pPr>
      <w:r>
        <w:rPr>
          <w:rStyle w:val="FootnoteReference"/>
        </w:rPr>
        <w:footnoteRef/>
      </w:r>
      <w:r>
        <w:t xml:space="preserve"> In particular, I left out t</w:t>
      </w:r>
      <w:r w:rsidR="00E9186F">
        <w:t xml:space="preserve">   </w:t>
      </w:r>
      <w:r>
        <w:t>he following t</w:t>
      </w:r>
      <w:r w:rsidRPr="00486EED">
        <w:t>extual</w:t>
      </w:r>
      <w:r>
        <w:t xml:space="preserve"> consideration, to which his </w:t>
      </w:r>
      <w:r w:rsidRPr="00486EED">
        <w:t>§ 4</w:t>
      </w:r>
      <w:r>
        <w:t xml:space="preserve"> is devoted: </w:t>
      </w:r>
      <w:r w:rsidRPr="00486EED">
        <w:t xml:space="preserve">Kant didn’t introduce transcendental logic when he introduces the distinction between general and special logics in section I of the introduction to transcendental logic. Rather, he only introduced transcendental logic once he proposed the novel distinction between the form and content of thought in section II of the introduction, </w:t>
      </w:r>
      <w:r>
        <w:t>without ever</w:t>
      </w:r>
      <w:r w:rsidRPr="00486EED">
        <w:t xml:space="preserve"> mention</w:t>
      </w:r>
      <w:r>
        <w:t>ing</w:t>
      </w:r>
      <w:r w:rsidRPr="00486EED">
        <w:t xml:space="preserve"> the distinction between general and special logics at all in that section.</w:t>
      </w:r>
    </w:p>
  </w:footnote>
  <w:footnote w:id="4">
    <w:p w14:paraId="744F71F2" w14:textId="5984312A" w:rsidR="00A5119C" w:rsidRPr="00A5119C" w:rsidRDefault="00A5119C" w:rsidP="00A5119C">
      <w:pPr>
        <w:pStyle w:val="FootnoteText"/>
        <w:jc w:val="both"/>
      </w:pPr>
      <w:r>
        <w:rPr>
          <w:rStyle w:val="FootnoteReference"/>
        </w:rPr>
        <w:footnoteRef/>
      </w:r>
      <w:r>
        <w:t xml:space="preserve"> The precise articulation of this point by Tolley is as follows: </w:t>
      </w:r>
      <w:r w:rsidRPr="00A5119C">
        <w:t>“in Kant’s system, every other concept besides the categories is not only (i) lower than the concept &lt;object&gt;, and (ii) lower than whatever concepts may lie hidden behind the higher divisions encapsulated by the Table, but, ultimately, is (iii) lower than at least one (if not more) of the twelve categories or pure ‘concepts of an object überhaupt’ themselves. In short, though it is true that no single one of the pure concepts is itself the highest concept, they are higher than all other concepts not recorded by divisions on the famous Table itself”.</w:t>
      </w:r>
    </w:p>
  </w:footnote>
  <w:footnote w:id="5">
    <w:p w14:paraId="6C19D8B0" w14:textId="71273224" w:rsidR="005D31F9" w:rsidRDefault="005D31F9" w:rsidP="005D31F9">
      <w:pPr>
        <w:pStyle w:val="FootnoteText"/>
        <w:jc w:val="both"/>
      </w:pPr>
      <w:r>
        <w:rPr>
          <w:rStyle w:val="FootnoteReference"/>
        </w:rPr>
        <w:footnoteRef/>
      </w:r>
      <w:r>
        <w:t xml:space="preserve"> I take on this assumption, which is also taken by Tolley to avoid the debate over Kant’s conceptualism vs non-conceptualism.</w:t>
      </w:r>
    </w:p>
  </w:footnote>
  <w:footnote w:id="6">
    <w:p w14:paraId="5DA65B5D" w14:textId="2EDFC7B8" w:rsidR="003432C3" w:rsidRDefault="003432C3" w:rsidP="003432C3">
      <w:pPr>
        <w:pStyle w:val="FootnoteText"/>
      </w:pPr>
      <w:r>
        <w:rPr>
          <w:rStyle w:val="FootnoteReference"/>
        </w:rPr>
        <w:footnoteRef/>
      </w:r>
      <w:r>
        <w:t xml:space="preserve"> See Jäsche Logik, §§7–15.</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8F34DEC"/>
    <w:multiLevelType w:val="hybridMultilevel"/>
    <w:tmpl w:val="AA5AB1C2"/>
    <w:lvl w:ilvl="0" w:tplc="A1E4157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29380D14"/>
    <w:multiLevelType w:val="hybridMultilevel"/>
    <w:tmpl w:val="D1DC6F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4F0214E"/>
    <w:multiLevelType w:val="hybridMultilevel"/>
    <w:tmpl w:val="AA5AB1C2"/>
    <w:lvl w:ilvl="0" w:tplc="A1E4157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360800F0"/>
    <w:multiLevelType w:val="hybridMultilevel"/>
    <w:tmpl w:val="D1DC6F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89D11C6"/>
    <w:multiLevelType w:val="hybridMultilevel"/>
    <w:tmpl w:val="AA5AB1C2"/>
    <w:lvl w:ilvl="0" w:tplc="A1E4157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40BB76CD"/>
    <w:multiLevelType w:val="hybridMultilevel"/>
    <w:tmpl w:val="C9EA896C"/>
    <w:lvl w:ilvl="0" w:tplc="D340D79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7C80A24"/>
    <w:multiLevelType w:val="hybridMultilevel"/>
    <w:tmpl w:val="AA5AB1C2"/>
    <w:lvl w:ilvl="0" w:tplc="A1E41576">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5A61744B"/>
    <w:multiLevelType w:val="hybridMultilevel"/>
    <w:tmpl w:val="D1DC6F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73920F5"/>
    <w:multiLevelType w:val="hybridMultilevel"/>
    <w:tmpl w:val="AA5AB1C2"/>
    <w:lvl w:ilvl="0" w:tplc="A1E4157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7A0328D4"/>
    <w:multiLevelType w:val="hybridMultilevel"/>
    <w:tmpl w:val="3D984746"/>
    <w:lvl w:ilvl="0" w:tplc="0409000F">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4"/>
  </w:num>
  <w:num w:numId="3">
    <w:abstractNumId w:val="2"/>
  </w:num>
  <w:num w:numId="4">
    <w:abstractNumId w:val="6"/>
  </w:num>
  <w:num w:numId="5">
    <w:abstractNumId w:val="7"/>
  </w:num>
  <w:num w:numId="6">
    <w:abstractNumId w:val="9"/>
  </w:num>
  <w:num w:numId="7">
    <w:abstractNumId w:val="5"/>
  </w:num>
  <w:num w:numId="8">
    <w:abstractNumId w:val="3"/>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proofState w:spelling="clean" w:grammar="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426F"/>
    <w:rsid w:val="00001222"/>
    <w:rsid w:val="00013C40"/>
    <w:rsid w:val="00024B6B"/>
    <w:rsid w:val="0002676A"/>
    <w:rsid w:val="000405A8"/>
    <w:rsid w:val="00054CA6"/>
    <w:rsid w:val="00066E63"/>
    <w:rsid w:val="00070A9A"/>
    <w:rsid w:val="00074BF2"/>
    <w:rsid w:val="000757AA"/>
    <w:rsid w:val="000859CB"/>
    <w:rsid w:val="00096653"/>
    <w:rsid w:val="000B00D1"/>
    <w:rsid w:val="000B0FC8"/>
    <w:rsid w:val="000E5D2C"/>
    <w:rsid w:val="0010571D"/>
    <w:rsid w:val="0011632A"/>
    <w:rsid w:val="00117451"/>
    <w:rsid w:val="00122825"/>
    <w:rsid w:val="00135385"/>
    <w:rsid w:val="00154847"/>
    <w:rsid w:val="00177533"/>
    <w:rsid w:val="001807B7"/>
    <w:rsid w:val="0018678C"/>
    <w:rsid w:val="0019065D"/>
    <w:rsid w:val="00192361"/>
    <w:rsid w:val="001A396A"/>
    <w:rsid w:val="001C098E"/>
    <w:rsid w:val="001E1282"/>
    <w:rsid w:val="001E7414"/>
    <w:rsid w:val="001F0816"/>
    <w:rsid w:val="00220429"/>
    <w:rsid w:val="002211EA"/>
    <w:rsid w:val="00225552"/>
    <w:rsid w:val="00237E3C"/>
    <w:rsid w:val="00253B7F"/>
    <w:rsid w:val="00256CB1"/>
    <w:rsid w:val="00275385"/>
    <w:rsid w:val="00281DD1"/>
    <w:rsid w:val="002B2732"/>
    <w:rsid w:val="002B2CA4"/>
    <w:rsid w:val="002B7E86"/>
    <w:rsid w:val="002E3C39"/>
    <w:rsid w:val="002E3F3D"/>
    <w:rsid w:val="002E44A8"/>
    <w:rsid w:val="002E4BE1"/>
    <w:rsid w:val="002F1637"/>
    <w:rsid w:val="00327119"/>
    <w:rsid w:val="003432C3"/>
    <w:rsid w:val="00355A0B"/>
    <w:rsid w:val="003608C0"/>
    <w:rsid w:val="00367F6D"/>
    <w:rsid w:val="00383894"/>
    <w:rsid w:val="003A6288"/>
    <w:rsid w:val="003B39E6"/>
    <w:rsid w:val="003B3EE0"/>
    <w:rsid w:val="003C011E"/>
    <w:rsid w:val="003D3AA4"/>
    <w:rsid w:val="003E39F4"/>
    <w:rsid w:val="00401DEA"/>
    <w:rsid w:val="00423609"/>
    <w:rsid w:val="004352B9"/>
    <w:rsid w:val="00443990"/>
    <w:rsid w:val="00445556"/>
    <w:rsid w:val="00450D68"/>
    <w:rsid w:val="004834F6"/>
    <w:rsid w:val="00486EED"/>
    <w:rsid w:val="0049632D"/>
    <w:rsid w:val="004B60B6"/>
    <w:rsid w:val="004C107F"/>
    <w:rsid w:val="004C79CB"/>
    <w:rsid w:val="004D55B7"/>
    <w:rsid w:val="004D6A1B"/>
    <w:rsid w:val="004E3019"/>
    <w:rsid w:val="00503036"/>
    <w:rsid w:val="00564978"/>
    <w:rsid w:val="00567871"/>
    <w:rsid w:val="005717E6"/>
    <w:rsid w:val="0059157F"/>
    <w:rsid w:val="005B2684"/>
    <w:rsid w:val="005D2E35"/>
    <w:rsid w:val="005D31F9"/>
    <w:rsid w:val="005E35C0"/>
    <w:rsid w:val="00617306"/>
    <w:rsid w:val="0067740C"/>
    <w:rsid w:val="006B0314"/>
    <w:rsid w:val="006D3726"/>
    <w:rsid w:val="006D6AB5"/>
    <w:rsid w:val="006F58F4"/>
    <w:rsid w:val="00700863"/>
    <w:rsid w:val="00727946"/>
    <w:rsid w:val="00732362"/>
    <w:rsid w:val="0073638E"/>
    <w:rsid w:val="00767644"/>
    <w:rsid w:val="007A7E6E"/>
    <w:rsid w:val="007B588E"/>
    <w:rsid w:val="007B596C"/>
    <w:rsid w:val="007C3C9B"/>
    <w:rsid w:val="007C5FD9"/>
    <w:rsid w:val="007D08EE"/>
    <w:rsid w:val="007D3361"/>
    <w:rsid w:val="007D51AC"/>
    <w:rsid w:val="007E0F2E"/>
    <w:rsid w:val="007F110A"/>
    <w:rsid w:val="007F4141"/>
    <w:rsid w:val="0080628C"/>
    <w:rsid w:val="0082529D"/>
    <w:rsid w:val="0082744C"/>
    <w:rsid w:val="0085698A"/>
    <w:rsid w:val="00881EF7"/>
    <w:rsid w:val="00884DA8"/>
    <w:rsid w:val="00897F9E"/>
    <w:rsid w:val="008C2FAD"/>
    <w:rsid w:val="008C7541"/>
    <w:rsid w:val="008C7FF0"/>
    <w:rsid w:val="008E0771"/>
    <w:rsid w:val="008E337E"/>
    <w:rsid w:val="008E69E4"/>
    <w:rsid w:val="008E74BB"/>
    <w:rsid w:val="008E7C08"/>
    <w:rsid w:val="008F6425"/>
    <w:rsid w:val="00913841"/>
    <w:rsid w:val="00933318"/>
    <w:rsid w:val="00936020"/>
    <w:rsid w:val="00964902"/>
    <w:rsid w:val="009713DF"/>
    <w:rsid w:val="009A1730"/>
    <w:rsid w:val="009A6BDA"/>
    <w:rsid w:val="009B1570"/>
    <w:rsid w:val="009C78BC"/>
    <w:rsid w:val="009D0382"/>
    <w:rsid w:val="009E0088"/>
    <w:rsid w:val="00A1043A"/>
    <w:rsid w:val="00A15E1E"/>
    <w:rsid w:val="00A165ED"/>
    <w:rsid w:val="00A211D2"/>
    <w:rsid w:val="00A2328C"/>
    <w:rsid w:val="00A374D8"/>
    <w:rsid w:val="00A5119C"/>
    <w:rsid w:val="00A57A6F"/>
    <w:rsid w:val="00A61E8D"/>
    <w:rsid w:val="00AC4D03"/>
    <w:rsid w:val="00AE378E"/>
    <w:rsid w:val="00AE426F"/>
    <w:rsid w:val="00AE6059"/>
    <w:rsid w:val="00B3226D"/>
    <w:rsid w:val="00B3649D"/>
    <w:rsid w:val="00B428BB"/>
    <w:rsid w:val="00B60021"/>
    <w:rsid w:val="00B90601"/>
    <w:rsid w:val="00B92AD5"/>
    <w:rsid w:val="00BB74F3"/>
    <w:rsid w:val="00BC4068"/>
    <w:rsid w:val="00BC71F8"/>
    <w:rsid w:val="00BC7CA8"/>
    <w:rsid w:val="00BD3CAC"/>
    <w:rsid w:val="00BE0F8E"/>
    <w:rsid w:val="00BE2D7F"/>
    <w:rsid w:val="00BE57B5"/>
    <w:rsid w:val="00C37F8E"/>
    <w:rsid w:val="00C42EA0"/>
    <w:rsid w:val="00C45171"/>
    <w:rsid w:val="00C46BCE"/>
    <w:rsid w:val="00C703D9"/>
    <w:rsid w:val="00C808E9"/>
    <w:rsid w:val="00C8342C"/>
    <w:rsid w:val="00C927A1"/>
    <w:rsid w:val="00C936C6"/>
    <w:rsid w:val="00C96101"/>
    <w:rsid w:val="00CA37CE"/>
    <w:rsid w:val="00CC516F"/>
    <w:rsid w:val="00CC57F1"/>
    <w:rsid w:val="00CD1538"/>
    <w:rsid w:val="00CD59A9"/>
    <w:rsid w:val="00CF4ED8"/>
    <w:rsid w:val="00D11598"/>
    <w:rsid w:val="00D16419"/>
    <w:rsid w:val="00D504B1"/>
    <w:rsid w:val="00D66A72"/>
    <w:rsid w:val="00D74349"/>
    <w:rsid w:val="00D7585E"/>
    <w:rsid w:val="00D766AB"/>
    <w:rsid w:val="00DA144B"/>
    <w:rsid w:val="00DA451E"/>
    <w:rsid w:val="00DC3230"/>
    <w:rsid w:val="00E141C8"/>
    <w:rsid w:val="00E266AD"/>
    <w:rsid w:val="00E9186F"/>
    <w:rsid w:val="00EA123D"/>
    <w:rsid w:val="00EA5F67"/>
    <w:rsid w:val="00EA6782"/>
    <w:rsid w:val="00EB39A1"/>
    <w:rsid w:val="00EB7E25"/>
    <w:rsid w:val="00EC1C5F"/>
    <w:rsid w:val="00EC6073"/>
    <w:rsid w:val="00EE47C8"/>
    <w:rsid w:val="00EF7D21"/>
    <w:rsid w:val="00F055A1"/>
    <w:rsid w:val="00F23CF0"/>
    <w:rsid w:val="00F24CD7"/>
    <w:rsid w:val="00F25476"/>
    <w:rsid w:val="00F2566D"/>
    <w:rsid w:val="00F45371"/>
    <w:rsid w:val="00F50E5C"/>
    <w:rsid w:val="00F8022C"/>
    <w:rsid w:val="00F84297"/>
    <w:rsid w:val="00F92667"/>
    <w:rsid w:val="00F9288F"/>
    <w:rsid w:val="00F96550"/>
    <w:rsid w:val="00FA1E1D"/>
    <w:rsid w:val="00FE4AA5"/>
    <w:rsid w:val="00FE5FB7"/>
    <w:rsid w:val="00FF24C0"/>
    <w:rsid w:val="00FF6B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B6FEA9"/>
  <w15:chartTrackingRefBased/>
  <w15:docId w15:val="{C2C77ED9-F22A-44E6-8753-292A4C14E2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266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2744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2744C"/>
    <w:rPr>
      <w:rFonts w:ascii="Segoe UI" w:hAnsi="Segoe UI" w:cs="Segoe UI"/>
      <w:sz w:val="18"/>
      <w:szCs w:val="18"/>
    </w:rPr>
  </w:style>
  <w:style w:type="paragraph" w:styleId="Caption">
    <w:name w:val="caption"/>
    <w:basedOn w:val="Normal"/>
    <w:next w:val="Normal"/>
    <w:uiPriority w:val="35"/>
    <w:unhideWhenUsed/>
    <w:qFormat/>
    <w:rsid w:val="0082744C"/>
    <w:pPr>
      <w:spacing w:after="200" w:line="240" w:lineRule="auto"/>
    </w:pPr>
    <w:rPr>
      <w:i/>
      <w:iCs/>
      <w:color w:val="44546A" w:themeColor="text2"/>
      <w:sz w:val="18"/>
      <w:szCs w:val="18"/>
    </w:rPr>
  </w:style>
  <w:style w:type="paragraph" w:styleId="Title">
    <w:name w:val="Title"/>
    <w:basedOn w:val="Normal"/>
    <w:next w:val="Normal"/>
    <w:link w:val="TitleChar"/>
    <w:uiPriority w:val="10"/>
    <w:qFormat/>
    <w:rsid w:val="003A628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6288"/>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897F9E"/>
    <w:pPr>
      <w:ind w:left="720"/>
      <w:contextualSpacing/>
    </w:pPr>
  </w:style>
  <w:style w:type="character" w:customStyle="1" w:styleId="Heading1Char">
    <w:name w:val="Heading 1 Char"/>
    <w:basedOn w:val="DefaultParagraphFont"/>
    <w:link w:val="Heading1"/>
    <w:uiPriority w:val="9"/>
    <w:rsid w:val="00F92667"/>
    <w:rPr>
      <w:rFonts w:asciiTheme="majorHAnsi" w:eastAsiaTheme="majorEastAsia" w:hAnsiTheme="majorHAnsi" w:cstheme="majorBidi"/>
      <w:color w:val="2F5496" w:themeColor="accent1" w:themeShade="BF"/>
      <w:sz w:val="32"/>
      <w:szCs w:val="32"/>
    </w:rPr>
  </w:style>
  <w:style w:type="paragraph" w:styleId="FootnoteText">
    <w:name w:val="footnote text"/>
    <w:basedOn w:val="Normal"/>
    <w:link w:val="FootnoteTextChar"/>
    <w:uiPriority w:val="99"/>
    <w:semiHidden/>
    <w:unhideWhenUsed/>
    <w:rsid w:val="004352B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352B9"/>
    <w:rPr>
      <w:sz w:val="20"/>
      <w:szCs w:val="20"/>
    </w:rPr>
  </w:style>
  <w:style w:type="character" w:styleId="FootnoteReference">
    <w:name w:val="footnote reference"/>
    <w:basedOn w:val="DefaultParagraphFont"/>
    <w:uiPriority w:val="99"/>
    <w:semiHidden/>
    <w:unhideWhenUsed/>
    <w:rsid w:val="004352B9"/>
    <w:rPr>
      <w:vertAlign w:val="superscript"/>
    </w:rPr>
  </w:style>
  <w:style w:type="paragraph" w:styleId="Header">
    <w:name w:val="header"/>
    <w:basedOn w:val="Normal"/>
    <w:link w:val="HeaderChar"/>
    <w:uiPriority w:val="99"/>
    <w:unhideWhenUsed/>
    <w:rsid w:val="00D7585E"/>
    <w:pPr>
      <w:tabs>
        <w:tab w:val="center" w:pos="4680"/>
        <w:tab w:val="right" w:pos="9360"/>
      </w:tabs>
      <w:spacing w:after="0" w:line="240" w:lineRule="auto"/>
    </w:pPr>
  </w:style>
  <w:style w:type="character" w:customStyle="1" w:styleId="HeaderChar">
    <w:name w:val="Header Char"/>
    <w:basedOn w:val="DefaultParagraphFont"/>
    <w:link w:val="Header"/>
    <w:uiPriority w:val="99"/>
    <w:rsid w:val="00D7585E"/>
  </w:style>
  <w:style w:type="paragraph" w:styleId="Footer">
    <w:name w:val="footer"/>
    <w:basedOn w:val="Normal"/>
    <w:link w:val="FooterChar"/>
    <w:uiPriority w:val="99"/>
    <w:unhideWhenUsed/>
    <w:rsid w:val="00D7585E"/>
    <w:pPr>
      <w:tabs>
        <w:tab w:val="center" w:pos="4680"/>
        <w:tab w:val="right" w:pos="9360"/>
      </w:tabs>
      <w:spacing w:after="0" w:line="240" w:lineRule="auto"/>
    </w:pPr>
  </w:style>
  <w:style w:type="character" w:customStyle="1" w:styleId="FooterChar">
    <w:name w:val="Footer Char"/>
    <w:basedOn w:val="DefaultParagraphFont"/>
    <w:link w:val="Footer"/>
    <w:uiPriority w:val="99"/>
    <w:rsid w:val="00D7585E"/>
  </w:style>
  <w:style w:type="character" w:styleId="PlaceholderText">
    <w:name w:val="Placeholder Text"/>
    <w:basedOn w:val="DefaultParagraphFont"/>
    <w:uiPriority w:val="99"/>
    <w:semiHidden/>
    <w:rsid w:val="00B90601"/>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67333668">
      <w:bodyDiv w:val="1"/>
      <w:marLeft w:val="0"/>
      <w:marRight w:val="0"/>
      <w:marTop w:val="0"/>
      <w:marBottom w:val="0"/>
      <w:divBdr>
        <w:top w:val="none" w:sz="0" w:space="0" w:color="auto"/>
        <w:left w:val="none" w:sz="0" w:space="0" w:color="auto"/>
        <w:bottom w:val="none" w:sz="0" w:space="0" w:color="auto"/>
        <w:right w:val="none" w:sz="0" w:space="0" w:color="auto"/>
      </w:divBdr>
      <w:divsChild>
        <w:div w:id="193242581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30CC4C-4F5E-45D3-9709-15701E18E3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3855</TotalTime>
  <Pages>18</Pages>
  <Words>5505</Words>
  <Characters>31384</Characters>
  <Application>Microsoft Office Word</Application>
  <DocSecurity>0</DocSecurity>
  <Lines>261</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Fan, Yao</dc:creator>
  <cp:keywords/>
  <dc:description/>
  <cp:lastModifiedBy>Fan, Yao</cp:lastModifiedBy>
  <cp:revision>78</cp:revision>
  <dcterms:created xsi:type="dcterms:W3CDTF">2019-04-07T19:49:00Z</dcterms:created>
  <dcterms:modified xsi:type="dcterms:W3CDTF">2019-04-17T15:38:00Z</dcterms:modified>
</cp:coreProperties>
</file>