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■お名前</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トヨタ・アキオ</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■趣味</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・自動車レース</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・ゴルフ</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・フィールドホッケー</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・サプライズ</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自分を模したマスコットの「モリゾウくん」を脱いでサプライズ登場したりするのが好きです。</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■自動車業界・トヨタとのつながり</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私は、1984年〜2023年までトヨタ自動車株式会社で働いていて、自動車業界、特にトヨタグループについて圧倒的な知見を有しています。</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トヨタ自動車では、平社員から、取締役、専務、社長、会長を経験しました。</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トヨタ家の人間としてトヨタに関するありとあらゆる知識を有していますので、自動車業界攻略、特にトヨタグループ攻略の際にはぜひお声明けいただけると嬉しいです。</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キーマンはたくさん紹介できます。</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■トヨタでやっていたこと</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・前社長までの急激な拡大路線を止めて緊急VA（価値分析）により原材料費削減や、トヨタF1チームやNUMMI撤退により経営を縮小しました</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・経営幹部の人数を減らして意志決定を迅速化し、世界各地の消費者需要を詳細に把握して地域事情に適合した車種を投入することを決めたりしてました</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・他には、モビリティサービスの分野で孫正義率いるソフトバンクと提携したので、孫くんとはいまでも仲良しです。</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