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ホンダ・ソウイチロー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・機械</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・研究</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・自動車</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■自動車業界・ホンダとのつながり</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1946年に本田技術研究所を設立して、1991年に一度目の人生の幕を閉じるまでの間ホンダにこの身を捧げてきました</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自動車業界の黎明期から携わっていたので自動車業界に関する知識は誰にも負けませんし、特にホンダグループへの知見は世界一と自負しております。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ただ、静岡銀行は過去融資の際にひと悶着ありお付き合いNGなので、静岡銀行については知見がありません。</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自動車業界の成り立ちに詳しく、各自動車企業の重鎮とパイプがありますので、自動車業界の攻略を目指す際はお声がけいただけると嬉しいです。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■休職</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1945年に仕事をやめて休養しております</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休養はとても大切だと思っておりますので、少し疲れたなと感じる方いたらいつでもお話しましょう</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悲しいことに、1991年で1度目の人生の幕を閉じておりますので、そういった点でもご興味ある方はいつでもお話しましょう</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