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0"/>
          <w:szCs w:val="40"/>
        </w:rPr>
      </w:pPr>
      <w:r w:rsidDel="00000000" w:rsidR="00000000" w:rsidRPr="00000000">
        <w:rPr>
          <w:b w:val="1"/>
          <w:bCs w:val="1"/>
          <w:sz w:val="40"/>
          <w:szCs w:val="40"/>
          <w:rtl w:val="0"/>
        </w:rPr>
        <w:t xml:space="preserve">Corestone</w:t>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24"/>
          <w:szCs w:val="24"/>
          <w:rtl w:val="0"/>
        </w:rPr>
        <w:t xml:space="preserve">Corestone</w:t>
      </w:r>
      <w:r w:rsidDel="00000000" w:rsidR="00000000" w:rsidRPr="00000000">
        <w:rPr>
          <w:sz w:val="24"/>
          <w:szCs w:val="24"/>
          <w:rtl w:val="0"/>
        </w:rPr>
        <w:t xml:space="preserve"> is a construction technology company focused on modernizing how contractors manage project execution and financial performance. The company provides an integrated software suite spanning project management, financials, estimating, and field operations, helping contractors streamline workflows and improve visibility across the project lifecycle.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Its platform is built on a strong foundation of operational and financial data, enabling reliable system-of-record capabilities across projects. As the industry shifts toward “the age of AI,” Corestone is evolving its strategy to embed intelligent, data-driven capabilities directly into its products—aiming to reduce manual effort, improve decision-making, and deliver measurable productivity gains for construction teams.</w:t>
      </w:r>
    </w:p>
    <w:p w:rsidR="00000000" w:rsidDel="00000000" w:rsidP="00000000" w:rsidRDefault="00000000" w:rsidRPr="00000000" w14:paraId="00000004">
      <w:pPr>
        <w:spacing w:after="240" w:lineRule="auto"/>
        <w:rPr>
          <w:sz w:val="24"/>
          <w:szCs w:val="24"/>
        </w:rPr>
      </w:pPr>
      <w:r w:rsidDel="00000000" w:rsidR="00000000" w:rsidRPr="00000000">
        <w:rPr>
          <w:sz w:val="24"/>
          <w:szCs w:val="24"/>
          <w:rtl w:val="0"/>
        </w:rPr>
        <w:t xml:space="preserve">Corestone primarily serves </w:t>
      </w:r>
      <w:r w:rsidDel="00000000" w:rsidR="00000000" w:rsidRPr="00000000">
        <w:rPr>
          <w:b w:val="1"/>
          <w:bCs w:val="1"/>
          <w:sz w:val="24"/>
          <w:szCs w:val="24"/>
          <w:rtl w:val="0"/>
        </w:rPr>
        <w:t xml:space="preserve">mid-sized to large general contractors and specialty trades</w:t>
      </w:r>
      <w:r w:rsidDel="00000000" w:rsidR="00000000" w:rsidRPr="00000000">
        <w:rPr>
          <w:sz w:val="24"/>
          <w:szCs w:val="24"/>
          <w:rtl w:val="0"/>
        </w:rPr>
        <w:t xml:space="preserve">, with a strong presence in commercial construction (e.g., MEP, civil, and building contractors). Its core users include </w:t>
      </w:r>
      <w:r w:rsidDel="00000000" w:rsidR="00000000" w:rsidRPr="00000000">
        <w:rPr>
          <w:b w:val="1"/>
          <w:bCs w:val="1"/>
          <w:sz w:val="24"/>
          <w:szCs w:val="24"/>
          <w:rtl w:val="0"/>
        </w:rPr>
        <w:t xml:space="preserve">project managers, estimators, and finance leaders (CFOs/controllers)</w:t>
      </w:r>
      <w:r w:rsidDel="00000000" w:rsidR="00000000" w:rsidRPr="00000000">
        <w:rPr>
          <w:sz w:val="24"/>
          <w:szCs w:val="24"/>
          <w:rtl w:val="0"/>
        </w:rPr>
        <w:t xml:space="preserve"> who are responsible for project execution, cost control, and margin performance. The company generates an estimated </w:t>
      </w:r>
      <w:r w:rsidDel="00000000" w:rsidR="00000000" w:rsidRPr="00000000">
        <w:rPr>
          <w:b w:val="1"/>
          <w:bCs w:val="1"/>
          <w:sz w:val="24"/>
          <w:szCs w:val="24"/>
          <w:rtl w:val="0"/>
        </w:rPr>
        <w:t xml:space="preserve">$300–500M in annual revenue</w:t>
      </w:r>
      <w:r w:rsidDel="00000000" w:rsidR="00000000" w:rsidRPr="00000000">
        <w:rPr>
          <w:sz w:val="24"/>
          <w:szCs w:val="24"/>
          <w:rtl w:val="0"/>
        </w:rPr>
        <w:t xml:space="preserve">, with a growing SaaS footprint complemented by legacy on-prem deployments. Corestone’s customer base values its </w:t>
      </w:r>
      <w:r w:rsidDel="00000000" w:rsidR="00000000" w:rsidRPr="00000000">
        <w:rPr>
          <w:b w:val="1"/>
          <w:bCs w:val="1"/>
          <w:sz w:val="24"/>
          <w:szCs w:val="24"/>
          <w:rtl w:val="0"/>
        </w:rPr>
        <w:t xml:space="preserve">deep financial controls and job costing capabilities</w:t>
      </w:r>
      <w:r w:rsidDel="00000000" w:rsidR="00000000" w:rsidRPr="00000000">
        <w:rPr>
          <w:sz w:val="24"/>
          <w:szCs w:val="24"/>
          <w:rtl w:val="0"/>
        </w:rPr>
        <w:t xml:space="preserve">, making it a trusted system of record for project financials.</w:t>
      </w:r>
    </w:p>
    <w:p w:rsidR="00000000" w:rsidDel="00000000" w:rsidP="00000000" w:rsidRDefault="00000000" w:rsidRPr="00000000" w14:paraId="00000005">
      <w:pPr>
        <w:spacing w:after="240" w:lineRule="auto"/>
        <w:rPr>
          <w:sz w:val="24"/>
          <w:szCs w:val="24"/>
        </w:rPr>
      </w:pPr>
      <w:r w:rsidDel="00000000" w:rsidR="00000000" w:rsidRPr="00000000">
        <w:rPr>
          <w:sz w:val="24"/>
          <w:szCs w:val="24"/>
          <w:rtl w:val="0"/>
        </w:rPr>
        <w:t xml:space="preserve">Corestone serves an estimated </w:t>
      </w:r>
      <w:r w:rsidDel="00000000" w:rsidR="00000000" w:rsidRPr="00000000">
        <w:rPr>
          <w:b w:val="1"/>
          <w:bCs w:val="1"/>
          <w:sz w:val="24"/>
          <w:szCs w:val="24"/>
          <w:rtl w:val="0"/>
        </w:rPr>
        <w:t xml:space="preserve">6,000–8,000 customers globally</w:t>
      </w:r>
      <w:r w:rsidDel="00000000" w:rsidR="00000000" w:rsidRPr="00000000">
        <w:rPr>
          <w:sz w:val="24"/>
          <w:szCs w:val="24"/>
          <w:rtl w:val="0"/>
        </w:rPr>
        <w:t xml:space="preserve">, with a strong concentration in North America and growing expansion into EMEA and APAC markets. The platform is used across </w:t>
      </w:r>
      <w:r w:rsidDel="00000000" w:rsidR="00000000" w:rsidRPr="00000000">
        <w:rPr>
          <w:b w:val="1"/>
          <w:bCs w:val="1"/>
          <w:sz w:val="24"/>
          <w:szCs w:val="24"/>
          <w:rtl w:val="0"/>
        </w:rPr>
        <w:t xml:space="preserve">tens of thousands of active construction projects annually</w:t>
      </w:r>
      <w:r w:rsidDel="00000000" w:rsidR="00000000" w:rsidRPr="00000000">
        <w:rPr>
          <w:sz w:val="24"/>
          <w:szCs w:val="24"/>
          <w:rtl w:val="0"/>
        </w:rPr>
        <w:t xml:space="preserve">, supporting both general contractors and specialty trades. Within its core segment (mid-market to upper mid-market contractors), Corestone holds an estimated </w:t>
      </w:r>
      <w:r w:rsidDel="00000000" w:rsidR="00000000" w:rsidRPr="00000000">
        <w:rPr>
          <w:b w:val="1"/>
          <w:bCs w:val="1"/>
          <w:sz w:val="24"/>
          <w:szCs w:val="24"/>
          <w:rtl w:val="0"/>
        </w:rPr>
        <w:t xml:space="preserve">10–15% market share</w:t>
      </w:r>
      <w:r w:rsidDel="00000000" w:rsidR="00000000" w:rsidRPr="00000000">
        <w:rPr>
          <w:sz w:val="24"/>
          <w:szCs w:val="24"/>
          <w:rtl w:val="0"/>
        </w:rPr>
        <w:t xml:space="preserve">, making it a top-tier but not dominant player compared to larger incumbents. The company reports </w:t>
      </w:r>
      <w:r w:rsidDel="00000000" w:rsidR="00000000" w:rsidRPr="00000000">
        <w:rPr>
          <w:b w:val="1"/>
          <w:bCs w:val="1"/>
          <w:sz w:val="24"/>
          <w:szCs w:val="24"/>
          <w:rtl w:val="0"/>
        </w:rPr>
        <w:t xml:space="preserve">high customer retention rates (~90%+)</w:t>
      </w:r>
      <w:r w:rsidDel="00000000" w:rsidR="00000000" w:rsidRPr="00000000">
        <w:rPr>
          <w:sz w:val="24"/>
          <w:szCs w:val="24"/>
          <w:rtl w:val="0"/>
        </w:rPr>
        <w:t xml:space="preserve">, driven by deep integration into financial and operational workflows, and average contract values (ACV) ranging from </w:t>
      </w:r>
      <w:r w:rsidDel="00000000" w:rsidR="00000000" w:rsidRPr="00000000">
        <w:rPr>
          <w:b w:val="1"/>
          <w:bCs w:val="1"/>
          <w:sz w:val="24"/>
          <w:szCs w:val="24"/>
          <w:rtl w:val="0"/>
        </w:rPr>
        <w:t xml:space="preserve">$25K to $150K+ annually</w:t>
      </w:r>
      <w:r w:rsidDel="00000000" w:rsidR="00000000" w:rsidRPr="00000000">
        <w:rPr>
          <w:sz w:val="24"/>
          <w:szCs w:val="24"/>
          <w:rtl w:val="0"/>
        </w:rPr>
        <w:t xml:space="preserve"> depending on customer size and product footprint.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