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Research Report: Auto-Pricing in Construction Change Orders</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Competitor Analysis</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BuildAI</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BuildAI is an AI-native startup focused on mid-market general contractors and specialty trades, particularly firms that are early adopters of new technology and willing to experiment with AI-driven workflows. Its core users include project managers and estimators who are burdened by manual pricing tasks and open to automation. The company is estimated to generate </w:t>
      </w:r>
      <w:r w:rsidDel="00000000" w:rsidR="00000000" w:rsidRPr="00000000">
        <w:rPr>
          <w:rFonts w:ascii="Times New Roman" w:cs="Times New Roman" w:eastAsia="Times New Roman" w:hAnsi="Times New Roman"/>
          <w:b w:val="1"/>
          <w:bCs w:val="1"/>
          <w:rtl w:val="0"/>
        </w:rPr>
        <w:t xml:space="preserve">$15–25M in annual revenue</w:t>
      </w:r>
      <w:r w:rsidDel="00000000" w:rsidR="00000000" w:rsidRPr="00000000">
        <w:rPr>
          <w:rFonts w:ascii="Times New Roman" w:cs="Times New Roman" w:eastAsia="Times New Roman" w:hAnsi="Times New Roman"/>
          <w:rtl w:val="0"/>
        </w:rPr>
        <w:t xml:space="preserve">, with a rapidly growing customer base of approximately </w:t>
      </w:r>
      <w:r w:rsidDel="00000000" w:rsidR="00000000" w:rsidRPr="00000000">
        <w:rPr>
          <w:rFonts w:ascii="Times New Roman" w:cs="Times New Roman" w:eastAsia="Times New Roman" w:hAnsi="Times New Roman"/>
          <w:b w:val="1"/>
          <w:bCs w:val="1"/>
          <w:rtl w:val="0"/>
        </w:rPr>
        <w:t xml:space="preserve">500–800 customers</w:t>
      </w:r>
      <w:r w:rsidDel="00000000" w:rsidR="00000000" w:rsidRPr="00000000">
        <w:rPr>
          <w:rFonts w:ascii="Times New Roman" w:cs="Times New Roman" w:eastAsia="Times New Roman" w:hAnsi="Times New Roman"/>
          <w:rtl w:val="0"/>
        </w:rPr>
        <w:t xml:space="preserve">, primarily in North America. Despite its relatively small scale, BuildAI has gained strong visibility in the market due to its differentiated AI-first positioning and speed of innovation. Its estimated market share remains low (</w:t>
      </w:r>
      <w:r w:rsidDel="00000000" w:rsidR="00000000" w:rsidRPr="00000000">
        <w:rPr>
          <w:rFonts w:ascii="Times New Roman" w:cs="Times New Roman" w:eastAsia="Times New Roman" w:hAnsi="Times New Roman"/>
          <w:b w:val="1"/>
          <w:bCs w:val="1"/>
          <w:rtl w:val="0"/>
        </w:rPr>
        <w:t xml:space="preserve">&lt;2%</w:t>
      </w:r>
      <w:r w:rsidDel="00000000" w:rsidR="00000000" w:rsidRPr="00000000">
        <w:rPr>
          <w:rFonts w:ascii="Times New Roman" w:cs="Times New Roman" w:eastAsia="Times New Roman" w:hAnsi="Times New Roman"/>
          <w:rtl w:val="0"/>
        </w:rPr>
        <w:t xml:space="preserve">), but it is disproportionately influential in shaping customer expectations around automation and instant outputs.</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BuildAI’s positioning is centered on being an </w:t>
      </w:r>
      <w:r w:rsidDel="00000000" w:rsidR="00000000" w:rsidRPr="00000000">
        <w:rPr>
          <w:rFonts w:ascii="Times New Roman" w:cs="Times New Roman" w:eastAsia="Times New Roman" w:hAnsi="Times New Roman"/>
          <w:b w:val="1"/>
          <w:bCs w:val="1"/>
          <w:rtl w:val="0"/>
        </w:rPr>
        <w:t xml:space="preserve">AI-first change order pricing engine</w:t>
      </w:r>
      <w:r w:rsidDel="00000000" w:rsidR="00000000" w:rsidRPr="00000000">
        <w:rPr>
          <w:rFonts w:ascii="Times New Roman" w:cs="Times New Roman" w:eastAsia="Times New Roman" w:hAnsi="Times New Roman"/>
          <w:rtl w:val="0"/>
        </w:rPr>
        <w:t xml:space="preserve">, with a core focus on eliminating manual pricing entirely. Its product experience emphasizes instant generation of change order cost breakdowns from minimal inputs such as photos, short descriptions, or voice notes. The platform leverages historical project data, generalized cost benchmarks, and pattern recognition models to produce a full pricing estimate within seconds. Its broader AI messaging highlights continuous learning, where pricing improves over time based on user edits and final project outcomes. However, BuildAI does not emphasize deep integration with ERP, financial systems, or formal cost controls, and its pricing outputs are often presented as recommendations without strong traceability or auditability.</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w:t>
      </w:r>
      <w:r w:rsidDel="00000000" w:rsidR="00000000" w:rsidRPr="00000000">
        <w:rPr>
          <w:rFonts w:ascii="Times New Roman" w:cs="Times New Roman" w:eastAsia="Times New Roman" w:hAnsi="Times New Roman"/>
          <w:rtl w:val="0"/>
        </w:rPr>
        <w:t xml:space="preserve"> BuildAI sets a new expectation for speed and automation in change order pricing, directly addressing the manual pricing pain point. However, its lack of integration, explainability, and financial trust mechanisms may limit adoption in high-stakes environments. It represents a strong signal that </w:t>
      </w:r>
      <w:r w:rsidDel="00000000" w:rsidR="00000000" w:rsidRPr="00000000">
        <w:rPr>
          <w:rFonts w:ascii="Times New Roman" w:cs="Times New Roman" w:eastAsia="Times New Roman" w:hAnsi="Times New Roman"/>
          <w:b w:val="1"/>
          <w:bCs w:val="1"/>
          <w:rtl w:val="0"/>
        </w:rPr>
        <w:t xml:space="preserve">auto-pricing is technically viable</w:t>
      </w:r>
      <w:r w:rsidDel="00000000" w:rsidR="00000000" w:rsidRPr="00000000">
        <w:rPr>
          <w:rFonts w:ascii="Times New Roman" w:cs="Times New Roman" w:eastAsia="Times New Roman" w:hAnsi="Times New Roman"/>
          <w:rtl w:val="0"/>
        </w:rPr>
        <w:t xml:space="preserve">, but not yet fully trusted or enterprise-ready.</w:t>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ConstructFlow</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ConstructFlow is a large, established construction software provider serving mid-market to enterprise contractors, with a strong foothold among financially complex organizations that prioritize control, compliance, and system integration. Its core personas include finance leaders (CFOs, controllers), project managers, and operations executives. The company generates an estimated </w:t>
      </w:r>
      <w:r w:rsidDel="00000000" w:rsidR="00000000" w:rsidRPr="00000000">
        <w:rPr>
          <w:rFonts w:ascii="Times New Roman" w:cs="Times New Roman" w:eastAsia="Times New Roman" w:hAnsi="Times New Roman"/>
          <w:b w:val="1"/>
          <w:bCs w:val="1"/>
          <w:rtl w:val="0"/>
        </w:rPr>
        <w:t xml:space="preserve">$800M–$1.2B in annual revenue</w:t>
      </w:r>
      <w:r w:rsidDel="00000000" w:rsidR="00000000" w:rsidRPr="00000000">
        <w:rPr>
          <w:rFonts w:ascii="Times New Roman" w:cs="Times New Roman" w:eastAsia="Times New Roman" w:hAnsi="Times New Roman"/>
          <w:rtl w:val="0"/>
        </w:rPr>
        <w:t xml:space="preserve">, with a global customer base of </w:t>
      </w:r>
      <w:r w:rsidDel="00000000" w:rsidR="00000000" w:rsidRPr="00000000">
        <w:rPr>
          <w:rFonts w:ascii="Times New Roman" w:cs="Times New Roman" w:eastAsia="Times New Roman" w:hAnsi="Times New Roman"/>
          <w:b w:val="1"/>
          <w:bCs w:val="1"/>
          <w:rtl w:val="0"/>
        </w:rPr>
        <w:t xml:space="preserve">10,000–15,000 contractors</w:t>
      </w:r>
      <w:r w:rsidDel="00000000" w:rsidR="00000000" w:rsidRPr="00000000">
        <w:rPr>
          <w:rFonts w:ascii="Times New Roman" w:cs="Times New Roman" w:eastAsia="Times New Roman" w:hAnsi="Times New Roman"/>
          <w:rtl w:val="0"/>
        </w:rPr>
        <w:t xml:space="preserve"> and an estimated </w:t>
      </w:r>
      <w:r w:rsidDel="00000000" w:rsidR="00000000" w:rsidRPr="00000000">
        <w:rPr>
          <w:rFonts w:ascii="Times New Roman" w:cs="Times New Roman" w:eastAsia="Times New Roman" w:hAnsi="Times New Roman"/>
          <w:b w:val="1"/>
          <w:bCs w:val="1"/>
          <w:rtl w:val="0"/>
        </w:rPr>
        <w:t xml:space="preserve">20–25% market share</w:t>
      </w:r>
      <w:r w:rsidDel="00000000" w:rsidR="00000000" w:rsidRPr="00000000">
        <w:rPr>
          <w:rFonts w:ascii="Times New Roman" w:cs="Times New Roman" w:eastAsia="Times New Roman" w:hAnsi="Times New Roman"/>
          <w:rtl w:val="0"/>
        </w:rPr>
        <w:t xml:space="preserve"> in its core segments. ConstructFlow’s platform is deeply embedded in customer operations, resulting in high retention rates and long contract lifecycles. Its move into AI-powered features, including Beta auto-pricing, reflects growing pressure to modernize its platform and defend its position against both peer incumbents and emerging AI-native competitors.</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ConstructFlow’s change-order positioning is centered on its </w:t>
      </w:r>
      <w:r w:rsidDel="00000000" w:rsidR="00000000" w:rsidRPr="00000000">
        <w:rPr>
          <w:rFonts w:ascii="Times New Roman" w:cs="Times New Roman" w:eastAsia="Times New Roman" w:hAnsi="Times New Roman"/>
          <w:b w:val="1"/>
          <w:bCs w:val="1"/>
          <w:rtl w:val="0"/>
        </w:rPr>
        <w:t xml:space="preserve">established workflow and financial management platform</w:t>
      </w:r>
      <w:r w:rsidDel="00000000" w:rsidR="00000000" w:rsidRPr="00000000">
        <w:rPr>
          <w:rFonts w:ascii="Times New Roman" w:cs="Times New Roman" w:eastAsia="Times New Roman" w:hAnsi="Times New Roman"/>
          <w:rtl w:val="0"/>
        </w:rPr>
        <w:t xml:space="preserve">, with recent expansion into AI-assisted capabilities. Its Beta auto-pricing feature introduces </w:t>
      </w:r>
      <w:r w:rsidDel="00000000" w:rsidR="00000000" w:rsidRPr="00000000">
        <w:rPr>
          <w:rFonts w:ascii="Times New Roman" w:cs="Times New Roman" w:eastAsia="Times New Roman" w:hAnsi="Times New Roman"/>
          <w:b w:val="1"/>
          <w:bCs w:val="1"/>
          <w:rtl w:val="0"/>
        </w:rPr>
        <w:t xml:space="preserve">suggested pricing ranges and cost components</w:t>
      </w:r>
      <w:r w:rsidDel="00000000" w:rsidR="00000000" w:rsidRPr="00000000">
        <w:rPr>
          <w:rFonts w:ascii="Times New Roman" w:cs="Times New Roman" w:eastAsia="Times New Roman" w:hAnsi="Times New Roman"/>
          <w:rtl w:val="0"/>
        </w:rPr>
        <w:t xml:space="preserve"> during change order creation, leveraging historical job cost data, cost codes, and existing estimates within the system. The feature is embedded directly into existing workflows, allowing users to review, adjust, and approve system-generated recommendations. ConstructFlow’s broader AI messaging focuses on augmenting user workflows rather than replacing them, emphasizing control, auditability, and alignment with financial systems. However, the current implementation of auto-pricing is limited in scope, often requiring significant manual refinement and lacking full contextual understanding of project-specific conditions.</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w:t>
      </w:r>
      <w:r w:rsidDel="00000000" w:rsidR="00000000" w:rsidRPr="00000000">
        <w:rPr>
          <w:rFonts w:ascii="Times New Roman" w:cs="Times New Roman" w:eastAsia="Times New Roman" w:hAnsi="Times New Roman"/>
          <w:rtl w:val="0"/>
        </w:rPr>
        <w:t xml:space="preserve"> ConstructFlow represents the incremental evolution of legacy systems toward AI-assisted pricing. Its strengths lie in trust, integration, and financial accuracy, but its Beta auto-pricing capability does not yet meaningfully reduce user effort. It signals that </w:t>
      </w:r>
      <w:r w:rsidDel="00000000" w:rsidR="00000000" w:rsidRPr="00000000">
        <w:rPr>
          <w:rFonts w:ascii="Times New Roman" w:cs="Times New Roman" w:eastAsia="Times New Roman" w:hAnsi="Times New Roman"/>
          <w:b w:val="1"/>
          <w:bCs w:val="1"/>
          <w:rtl w:val="0"/>
        </w:rPr>
        <w:t xml:space="preserve">incumbents recognize the pricing problem</w:t>
      </w:r>
      <w:r w:rsidDel="00000000" w:rsidR="00000000" w:rsidRPr="00000000">
        <w:rPr>
          <w:rFonts w:ascii="Times New Roman" w:cs="Times New Roman" w:eastAsia="Times New Roman" w:hAnsi="Times New Roman"/>
          <w:rtl w:val="0"/>
        </w:rPr>
        <w:t xml:space="preserve">, but are approaching it cautiously, prioritizing reliability over step-change automation.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5956300" cy="26670"/>
                <wp:effectExtent b="0" l="0" r="0" t="0"/>
                <wp:docPr id="1" name=""/>
                <a:graphic>
                  <a:graphicData uri="http://schemas.microsoft.com/office/word/2010/wordprocessingShape">
                    <wps:wsp>
                      <wps:cNvSpPr/>
                      <wps:cNvPr id="2" name="Shape 2"/>
                      <wps:spPr>
                        <a:xfrm>
                          <a:off x="2374200" y="3773015"/>
                          <a:ext cx="5943600"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6300"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6300"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Market Trends</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Trend 1: AI opportunity is moving from generic copilots toward domain-specific workflows</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 is shifting from broad “AI assistant” positioning toward use cases tied to specific construction tasks. Platforms like ConstructFlow are introducing AI agents to automate routine workflows across project and financial management, while BuildAI is focused on embedding AI directly into high-friction tasks such as pricing. Other emerging players are expanding AI capabilities into project data domains, including change orders and cost analysis. This suggests buyers will increasingly expect AI inside operational workflows, not as a standalone chatbot. For change orders, that raises the bar from “answer questions about changes” to “help me evaluate, price, and route this change with evidence.”</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Trend 2: Cost pressure and labor shortages increase the value of automating pricing work</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Contractors continue to face labor constraints, particularly in roles such as project managers, estimators, and cost controllers. As a result, there is growing willingness to adopt tools that reduce manual, time-intensive work. Both AI-native entrants like BuildAI and legacy platforms like ConstructFlow are positioning AI as a way to offload administrative and analytical burden. In this environment, automating change-order pricing becomes especially valuable, as it is one of the most resource-intensive and skill-dependent workflows in construction operations.</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Trend 3: The winning AI pattern will likely be “assistive and explainable,” not fully autonomous</w:t>
      </w:r>
    </w:p>
    <w:p w:rsidR="00000000" w:rsidDel="00000000" w:rsidP="00000000" w:rsidRDefault="00000000" w:rsidRPr="00000000" w14:paraId="00000013">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AI-native competitors are pushing toward fully automated outputs, market adoption is trending toward assistive, explainable AI. ConstructFlow’s approach emphasizes recommendations grounded in historical data with user validation, while BuildAI’s fully automated outputs highlight both the potential and the trust gap in the market. Customers require transparency, traceability, and control—especially in financially sensitive workflows like change-order pricing. As a result, the most viable near-term solutions are those that combine automation with clear rationale and user oversight, rather than fully autonomous decision-making.</w:t>
      </w:r>
    </w:p>
    <w:p w:rsidR="00000000" w:rsidDel="00000000" w:rsidP="00000000" w:rsidRDefault="00000000" w:rsidRPr="00000000" w14:paraId="0000001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dsjh5vs3tb9s" w:id="0"/>
      <w:bookmarkEnd w:id="0"/>
      <w:r w:rsidDel="00000000" w:rsidR="00000000" w:rsidRPr="00000000">
        <w:rPr>
          <w:rFonts w:ascii="Times New Roman" w:cs="Times New Roman" w:eastAsia="Times New Roman" w:hAnsi="Times New Roman"/>
          <w:b w:val="1"/>
          <w:bCs w:val="1"/>
          <w:color w:val="000000"/>
          <w:sz w:val="26"/>
          <w:szCs w:val="26"/>
          <w:rtl w:val="0"/>
        </w:rPr>
        <w:t xml:space="preserve">Trend 4: Increasing regulatory and contractual scrutiny requires auditability and defensibility</w:t>
      </w:r>
    </w:p>
    <w:p w:rsidR="00000000" w:rsidDel="00000000" w:rsidP="00000000" w:rsidRDefault="00000000" w:rsidRPr="00000000" w14:paraId="000000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workflows—particularly change orders—are subject to strict contractual, financial, and compliance requirements. As AI becomes more embedded in decision-making, there is growing pressure to ensure outputs are auditable, traceable, and defensible in the context of client disputes, audits, and regulatory reviews. Legacy platforms like ConstructFlow are prioritizing governance, controls, and alignment with financial systems, while AI-native players like BuildAI face challenges in meeting these requirements at scale. This trend reinforces that AI in construction cannot operate as a “black box”—it must produce outputs that users can justify and stand behind in formal project and financial processes.</w:t>
      </w:r>
    </w:p>
    <w:p w:rsidR="00000000" w:rsidDel="00000000" w:rsidP="00000000" w:rsidRDefault="00000000" w:rsidRPr="00000000" w14:paraId="00000016">
      <w:pPr>
        <w:spacing w:before="280" w:line="240" w:lineRule="auto"/>
        <w:rPr>
          <w:rFonts w:ascii="Times New Roman" w:cs="Times New Roman" w:eastAsia="Times New Roman" w:hAnsi="Times New Roman"/>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75C7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75C7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75C7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75C7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75C7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75C7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75C7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75C7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75C7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75C7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75C7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75C7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75C7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75C7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75C7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75C79"/>
    <w:rPr>
      <w:i w:val="1"/>
      <w:iCs w:val="1"/>
      <w:color w:val="404040" w:themeColor="text1" w:themeTint="0000BF"/>
    </w:rPr>
  </w:style>
  <w:style w:type="paragraph" w:styleId="ListParagraph">
    <w:name w:val="List Paragraph"/>
    <w:basedOn w:val="Normal"/>
    <w:uiPriority w:val="34"/>
    <w:qFormat w:val="1"/>
    <w:rsid w:val="00C75C79"/>
    <w:pPr>
      <w:ind w:left="720"/>
      <w:contextualSpacing w:val="1"/>
    </w:pPr>
  </w:style>
  <w:style w:type="character" w:styleId="IntenseEmphasis">
    <w:name w:val="Intense Emphasis"/>
    <w:basedOn w:val="DefaultParagraphFont"/>
    <w:uiPriority w:val="21"/>
    <w:qFormat w:val="1"/>
    <w:rsid w:val="00C75C79"/>
    <w:rPr>
      <w:i w:val="1"/>
      <w:iCs w:val="1"/>
      <w:color w:val="0f4761" w:themeColor="accent1" w:themeShade="0000BF"/>
    </w:rPr>
  </w:style>
  <w:style w:type="paragraph" w:styleId="IntenseQuote">
    <w:name w:val="Intense Quote"/>
    <w:basedOn w:val="Normal"/>
    <w:next w:val="Normal"/>
    <w:link w:val="IntenseQuoteChar"/>
    <w:uiPriority w:val="30"/>
    <w:qFormat w:val="1"/>
    <w:rsid w:val="00C75C7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75C79"/>
    <w:rPr>
      <w:i w:val="1"/>
      <w:iCs w:val="1"/>
      <w:color w:val="0f4761" w:themeColor="accent1" w:themeShade="0000BF"/>
    </w:rPr>
  </w:style>
  <w:style w:type="character" w:styleId="IntenseReference">
    <w:name w:val="Intense Reference"/>
    <w:basedOn w:val="DefaultParagraphFont"/>
    <w:uiPriority w:val="32"/>
    <w:qFormat w:val="1"/>
    <w:rsid w:val="00C75C79"/>
    <w:rPr>
      <w:b w:val="1"/>
      <w:bCs w:val="1"/>
      <w:smallCaps w:val="1"/>
      <w:color w:val="0f4761" w:themeColor="accent1" w:themeShade="0000BF"/>
      <w:spacing w:val="5"/>
    </w:rPr>
  </w:style>
  <w:style w:type="paragraph" w:styleId="NormalWeb">
    <w:name w:val="Normal (Web)"/>
    <w:basedOn w:val="Normal"/>
    <w:uiPriority w:val="99"/>
    <w:semiHidden w:val="1"/>
    <w:unhideWhenUsed w:val="1"/>
    <w:rsid w:val="00072497"/>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072497"/>
    <w:rPr>
      <w:b w:val="1"/>
      <w:bCs w:val="1"/>
    </w:rPr>
  </w:style>
  <w:style w:type="character" w:styleId="Hyperlink">
    <w:name w:val="Hyperlink"/>
    <w:basedOn w:val="DefaultParagraphFont"/>
    <w:uiPriority w:val="99"/>
    <w:semiHidden w:val="1"/>
    <w:unhideWhenUsed w:val="1"/>
    <w:rsid w:val="00072497"/>
    <w:rPr>
      <w:color w:val="0000ff"/>
      <w:u w:val="single"/>
    </w:rPr>
  </w:style>
  <w:style w:type="paragraph" w:styleId="Header">
    <w:name w:val="header"/>
    <w:basedOn w:val="Normal"/>
    <w:link w:val="HeaderChar"/>
    <w:uiPriority w:val="99"/>
    <w:unhideWhenUsed w:val="1"/>
    <w:rsid w:val="00E540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54029"/>
  </w:style>
  <w:style w:type="paragraph" w:styleId="Footer">
    <w:name w:val="footer"/>
    <w:basedOn w:val="Normal"/>
    <w:link w:val="FooterChar"/>
    <w:uiPriority w:val="99"/>
    <w:unhideWhenUsed w:val="1"/>
    <w:rsid w:val="00E540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5402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zNeEDrbt3abYdFwgwSfr/GKPA==">CgMxLjAyDmguZHNqaDV2czN0YjlzOAByITFjOEMzWHlzc1ptT25uTk1Ed291MGVCSnpZVHh2OXZubg==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2026-03-17T21:37:00Z</dcterms:created>
  <dc:creator>Yao Yu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Enabled">
    <vt:lpwstr>true</vt:lpwstr>
  </property>
  <property fmtid="{D5CDD505-2E9C-101B-9397-08002B2CF9AE}" pid="3" name="MSIP_Label_83303d7c-e5a3-4cc8-90eb-69bfd7570ac4_SetDate">
    <vt:lpwstr>2026-03-17T18:41:54Z</vt:lpwstr>
  </property>
  <property fmtid="{D5CDD505-2E9C-101B-9397-08002B2CF9AE}" pid="4" name="MSIP_Label_83303d7c-e5a3-4cc8-90eb-69bfd7570ac4_Method">
    <vt:lpwstr>Standard</vt:lpwstr>
  </property>
  <property fmtid="{D5CDD505-2E9C-101B-9397-08002B2CF9AE}" pid="5" name="MSIP_Label_83303d7c-e5a3-4cc8-90eb-69bfd7570ac4_Name">
    <vt:lpwstr>Client Confidential Information-SLV1</vt:lpwstr>
  </property>
  <property fmtid="{D5CDD505-2E9C-101B-9397-08002B2CF9AE}" pid="6" name="MSIP_Label_83303d7c-e5a3-4cc8-90eb-69bfd7570ac4_SiteId">
    <vt:lpwstr>cc8936bc-9382-4fff-87cb-6f55999549e7</vt:lpwstr>
  </property>
  <property fmtid="{D5CDD505-2E9C-101B-9397-08002B2CF9AE}" pid="7" name="MSIP_Label_83303d7c-e5a3-4cc8-90eb-69bfd7570ac4_ActionId">
    <vt:lpwstr>b0ec18ef-fb2c-4a55-acac-f3dd8c7a297e</vt:lpwstr>
  </property>
  <property fmtid="{D5CDD505-2E9C-101B-9397-08002B2CF9AE}" pid="8" name="MSIP_Label_83303d7c-e5a3-4cc8-90eb-69bfd7570ac4_ContentBits">
    <vt:lpwstr>0</vt:lpwstr>
  </property>
  <property fmtid="{D5CDD505-2E9C-101B-9397-08002B2CF9AE}" pid="9" name="MSIP_Label_83303d7c-e5a3-4cc8-90eb-69bfd7570ac4_Tag">
    <vt:lpwstr>50, 3, 0, 1</vt:lpwstr>
  </property>
  <property fmtid="{D5CDD505-2E9C-101B-9397-08002B2CF9AE}" pid="10" name="ContentTypeId">
    <vt:lpwstr>0x01010005E24C04A9300B448D84A026E3790246</vt:lpwstr>
  </property>
  <property fmtid="{D5CDD505-2E9C-101B-9397-08002B2CF9AE}" pid="11" name="_dlc_DocIdItemGuid">
    <vt:lpwstr>56a90c5b-3c05-47a5-8886-479e5f0f44f0</vt:lpwstr>
  </property>
  <property fmtid="{D5CDD505-2E9C-101B-9397-08002B2CF9AE}" pid="12" name="docLang">
    <vt:lpwstr>en</vt:lpwstr>
  </property>
  <property fmtid="{D5CDD505-2E9C-101B-9397-08002B2CF9AE}" pid="13" name="MediaServiceImageTags">
    <vt:lpwstr/>
  </property>
</Properties>
</file>