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Trimble Interview Guide: Architect/Engineer (Change Order Pricing)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Division: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AECO: CMS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Workflow Stage: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Discovery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Interviewee Role: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Architect / Engineer (Change Order Form Preparer)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Duration: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20 Minutes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Question Framing Mode: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Specific metric- and validation-driven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Elicit concrete metrics regarding the duration, accuracy, and validation requirements of the manual change order pricing process, identifying operational friction and required data traceability.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Interview Introduction (3 minutes)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"Hi, I’m [name], and I work on the team responsible for [area].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Thank you for taking the time to speak with us today.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goal of this conversation is to learn from your experience — specifically how your role operates today and where there are opportunities to improve how the work gets done.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Your perspective and concrete examples are very valuable to us, and we appreciate you sharing them.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With your permission, we’d like to record this session so we don’t miss anything."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Core Interview Questions (14 minutes)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 Context and Volume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(3 minutes)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Could you quantify the volume of change orders you personally price in a typical month, and the primary systems or data sources you use to generate those figures?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What percentage of your overall work week is dedicated exclusively to manually pricing change orders?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 what financial threshold or complexity level does a change order require your direct manual intervention versus standard rate application?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Cycle Time and Bottlenecks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(4 minutes)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exact duration in hours or days, from the initial request to a finalized price, for an average change order, and what specific steps consume the majority of that time?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How much of that duration is spent gathering data and reconstructing historical costs versus actively making pricing decisions?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How frequently does the pricing cycle stall due to missing documentation from the field, subcontractors, or suppliers?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Estimation Accuracy and Rework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(4 minutes)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percentage of your finalized change order estimates require subsequent revision or rework prior to approval, and what are the primary discrepancies driving those revisions?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What specific cost categories (e.g., specialized labor, materials, subcontractor fees) introduce the highest margin of error or risk during estimation?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How often do you discover discrepancies between your manual spreadsheet estimates and the actual costs recorded in the ERP system post-execution?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Trust and Traceability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(3 minutes)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utilizing historical job cost data to baseline a new change order price, what specific criteria must be present for you to trust that data without reverting to manual verification?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What level of auditability or traceability back to the original source data is required for you to defend a pricing model to an owner or finance leader?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Probe: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What specific manual workarounds or external spreadsheets do you rely on when existing system data is deemed outdated or unreliable?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Interview Conclusion (3 minutes)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"Before we wrap up, is there anything important about your role or day-to-day work that we didn’t cover but you think we should understand?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Would it be okay if we followed up with additional questions if needed?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Thank you again for your time."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Editor Notes (Optional)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Ensure the interviewer replaces "[name]" and "[area]" in the introduction script prior to the session.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Time allocations are strict to ensure all metric-driven questions are captured within the 20-minute boundary.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the interviewee diverges into general workflow complaints, guide them back to specific durations, percentages, and data sources.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