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PR-FAQ: Corestone AutoPrice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Press Release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Corestone Introduces AutoPrice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Westminster, CO — March 23, 2026</w:t>
      </w:r>
      <w:r w:rsidDel="00000000" w:rsidR="00000000" w:rsidRPr="00000000">
        <w:rPr>
          <w:rFonts w:ascii="Google Sans" w:cs="Google Sans" w:eastAsia="Google Sans" w:hAnsi="Google Sans"/>
          <w:rtl w:val="0"/>
        </w:rPr>
        <w:t xml:space="preserve"> — Today, Corestone announced the launch of AutoPrice AI, a natively embedded, assistive intelligence engine designed to eliminate the single biggest administrative bottleneck in construction project management: manual change order pricing.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Project Managers and Estimators, pricing a moderately complex change order is a notoriously frustrating process. When a change request comes in from the field, teams are forced to abandon their primary workflows to hunt down historical rates in disconnected Excel spreadsheets, call specialty subcontractors for new quotes, or manually dig through legacy ERP purchase orders. This fragmented, manual data-gathering process wastes an average of 8 to 15 hours per change order, stalling project momentum and delaying critical downstream billing.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Corestone AutoPrice AI fundamentally changes this workflow. Built directly into the existing Corestone Change Order dashboard, AutoPrice AI instantly interprets unstructured field data—like an RFI or an annotated job site photo—and automatically suggests granular unit costs, labor burdens, and material pricing.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generic AI tools that rely on scraped internet data or broad regional averages, AutoPrice AI queries explicitly against a contractor's </w:t>
      </w:r>
      <w:r w:rsidDel="00000000" w:rsidR="00000000" w:rsidRPr="00000000">
        <w:rPr>
          <w:rFonts w:ascii="Google Sans" w:cs="Google Sans" w:eastAsia="Google Sans" w:hAnsi="Google Sans"/>
          <w:i w:val="1"/>
          <w:iCs w:val="1"/>
          <w:rtl w:val="0"/>
        </w:rPr>
        <w:t xml:space="preserve">own</w:t>
      </w:r>
      <w:r w:rsidDel="00000000" w:rsidR="00000000" w:rsidRPr="00000000">
        <w:rPr>
          <w:rFonts w:ascii="Google Sans" w:cs="Google Sans" w:eastAsia="Google Sans" w:hAnsi="Google Sans"/>
          <w:rtl w:val="0"/>
        </w:rPr>
        <w:t xml:space="preserve"> historical ERP data and previously approved estimates.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 Managers are highly skilled builders, not administrative data-entry clerks," said [Spokesperson Name, Title] at Corestone. "AutoPrice AI gets them out of the spreadsheets and back to managing the build. Best of all, we’ve solved the 'black box' problem of modern AI. Every dollar value suggested by AutoPrice AI comes with a direct hyperlink to the historical invoice or estimate it was pulled from, giving teams total confidence in the numbers."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a single click, users can review the AI-generated draft, verify the historical source data, make localized edits, and route the fully priced change order for executive approval. When users do make manual adjustments, the localized AI model learns from those edits, ensuring institutional knowledge is captured and pricing becomes more accurate with every use.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Corestone AutoPrice AI empowers construction teams to relentlessly protect their margins and eliminate administrative bottlenecks without ever sacrificing financial control or trust.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Customer FAQ (End-User Focus)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Who is Corestone AutoPrice AI for?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tool is built directly for Project Managers (PMs) and Lead Estimators at mid-to-large General Contractors and heavy specialty trades (MEP, Civil). It is designed to relieve the heavy administrative burden on the people responsible for keeping project financials and schedules moving forward.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specific problem does this solve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eliminates the need to rebuild pricing context from scratch. Instead of spending 15 hours per change order cross-referencing outdated spreadsheets, calling vendors, and manually entering data into Corestone, AutoPrice AI surfaces your company's historical pricing for identical work instantly within your draft.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is this different from other AI tools like ChatGPT or generic estimating software?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Two major differences: Context and Trust. First, AutoPrice AI doesn't guess based on the open internet; it calculates costs based </w:t>
      </w:r>
      <w:r w:rsidDel="00000000" w:rsidR="00000000" w:rsidRPr="00000000">
        <w:rPr>
          <w:rFonts w:ascii="Google Sans" w:cs="Google Sans" w:eastAsia="Google Sans" w:hAnsi="Google Sans"/>
          <w:i w:val="1"/>
          <w:iCs w:val="1"/>
          <w:rtl w:val="0"/>
        </w:rPr>
        <w:t xml:space="preserve">exclusively</w:t>
      </w:r>
      <w:r w:rsidDel="00000000" w:rsidR="00000000" w:rsidRPr="00000000">
        <w:rPr>
          <w:rFonts w:ascii="Google Sans" w:cs="Google Sans" w:eastAsia="Google Sans" w:hAnsi="Google Sans"/>
          <w:rtl w:val="0"/>
        </w:rPr>
        <w:t xml:space="preserve"> on your company's proprietary historical job cost data inside your ERP. Second, it is not a "black box." Every AI-suggested cost comes with a confidence score and a hyperlink to the exact past project, change order, or purchase order it used to calculate the price.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happens if the AI suggests the wrong price or misses a complex labor burden?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remain in complete control. AutoPrice AI is an </w:t>
      </w:r>
      <w:r w:rsidDel="00000000" w:rsidR="00000000" w:rsidRPr="00000000">
        <w:rPr>
          <w:rFonts w:ascii="Google Sans" w:cs="Google Sans" w:eastAsia="Google Sans" w:hAnsi="Google Sans"/>
          <w:i w:val="1"/>
          <w:iCs w:val="1"/>
          <w:rtl w:val="0"/>
        </w:rPr>
        <w:t xml:space="preserve">assistive</w:t>
      </w:r>
      <w:r w:rsidDel="00000000" w:rsidR="00000000" w:rsidRPr="00000000">
        <w:rPr>
          <w:rFonts w:ascii="Google Sans" w:cs="Google Sans" w:eastAsia="Google Sans" w:hAnsi="Google Sans"/>
          <w:rtl w:val="0"/>
        </w:rPr>
        <w:t xml:space="preserve"> tool, not an autonomous one. If a suggested price is off, you can manually override the line item or click the "Revert to Manual" button to clear the suggestions instantly.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If I fix an AI error, will I have to fix it again next time?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AutoPrice AI features a continuous learning model isolated to your company. If you manually override an AI-suggested unit price of $45/sqft to $50/sqft to account for a specific site condition, the model immediately registers this correction to improve future predictions for your team.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 I need to log into a separate app or platform to use this?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AutoPrice AI is natively embedded directly into the Corestone Change Order screen you already use. There is zero context switching required.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 my company's pricing data being used to train a model for my competitors?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Absolutely not. Corestone AutoPrice AI uses strict tenant data isolation. Your proprietary pricing data, labor rates, and historical bids are ring-fenced and will </w:t>
      </w:r>
      <w:r w:rsidDel="00000000" w:rsidR="00000000" w:rsidRPr="00000000">
        <w:rPr>
          <w:rFonts w:ascii="Google Sans" w:cs="Google Sans" w:eastAsia="Google Sans" w:hAnsi="Google Sans"/>
          <w:i w:val="1"/>
          <w:iCs w:val="1"/>
          <w:rtl w:val="0"/>
        </w:rPr>
        <w:t xml:space="preserve">never</w:t>
      </w:r>
      <w:r w:rsidDel="00000000" w:rsidR="00000000" w:rsidRPr="00000000">
        <w:rPr>
          <w:rFonts w:ascii="Google Sans" w:cs="Google Sans" w:eastAsia="Google Sans" w:hAnsi="Google Sans"/>
          <w:rtl w:val="0"/>
        </w:rPr>
        <w:t xml:space="preserve"> be used to train the general model serving other contractors.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does this help my CFO and finance team?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you can process change orders in hours rather than weeks, the core financial ledger is updated much faster. This gives your CFO accurate, real-time visibility into pending liabilities and prevents unexpected margin hits at the end of the month. Furthermore, the hyperlinked audit trails satisfy strict compliance and accounting standards.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Internal Assumptions &amp; Open Questions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This section captures the core hypotheses and risks that the product team must validate during discovery and early beta phases.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Hypotheses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Value Hypothesis:</w:t>
      </w:r>
      <w:r w:rsidDel="00000000" w:rsidR="00000000" w:rsidRPr="00000000">
        <w:rPr>
          <w:rFonts w:ascii="Google Sans" w:cs="Google Sans" w:eastAsia="Google Sans" w:hAnsi="Google Sans"/>
          <w:rtl w:val="0"/>
        </w:rPr>
        <w:t xml:space="preserve"> By surfacing historical unit costs directly within the change order UI, we can reduce PM administrative cycle time by over 70% (from 8-15 hours down to 2-4 hours).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Trust/Risk Hypothesis:</w:t>
      </w:r>
      <w:r w:rsidDel="00000000" w:rsidR="00000000" w:rsidRPr="00000000">
        <w:rPr>
          <w:rFonts w:ascii="Google Sans" w:cs="Google Sans" w:eastAsia="Google Sans" w:hAnsi="Google Sans"/>
          <w:rtl w:val="0"/>
        </w:rPr>
        <w:t xml:space="preserve"> Finance leaders and estimators will reject automated pricing out of risk/trust concerns </w:t>
      </w:r>
      <w:r w:rsidDel="00000000" w:rsidR="00000000" w:rsidRPr="00000000">
        <w:rPr>
          <w:rFonts w:ascii="Google Sans" w:cs="Google Sans" w:eastAsia="Google Sans" w:hAnsi="Google Sans"/>
          <w:i w:val="1"/>
          <w:iCs w:val="1"/>
          <w:rtl w:val="0"/>
        </w:rPr>
        <w:t xml:space="preserve">unless</w:t>
      </w:r>
      <w:r w:rsidDel="00000000" w:rsidR="00000000" w:rsidRPr="00000000">
        <w:rPr>
          <w:rFonts w:ascii="Google Sans" w:cs="Google Sans" w:eastAsia="Google Sans" w:hAnsi="Google Sans"/>
          <w:rtl w:val="0"/>
        </w:rPr>
        <w:t xml:space="preserve"> the outputs include transparent, hyperlinked audit trails back to the underlying ERP data.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Adoption Hypothesis:</w:t>
      </w:r>
      <w:r w:rsidDel="00000000" w:rsidR="00000000" w:rsidRPr="00000000">
        <w:rPr>
          <w:rFonts w:ascii="Google Sans" w:cs="Google Sans" w:eastAsia="Google Sans" w:hAnsi="Google Sans"/>
          <w:rtl w:val="0"/>
        </w:rPr>
        <w:t xml:space="preserve"> A localized continuous learning model that adapts to manual user overrides will steadily reduce the "Edit Rate" (target &lt;30% in 18 months), thereby scaling fragmented institutional knowledge into an enterprise asset.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Validation Gaps (To be answered in Beta)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Cleanliness:</w:t>
      </w:r>
      <w:r w:rsidDel="00000000" w:rsidR="00000000" w:rsidRPr="00000000">
        <w:rPr>
          <w:rFonts w:ascii="Google Sans" w:cs="Google Sans" w:eastAsia="Google Sans" w:hAnsi="Google Sans"/>
          <w:rtl w:val="0"/>
        </w:rPr>
        <w:t xml:space="preserve"> How well will the AI perform if the customer's historical ERP data is poorly categorized, heavily siloed, or riddled with legacy errors?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Compute Economics:</w:t>
      </w:r>
      <w:r w:rsidDel="00000000" w:rsidR="00000000" w:rsidRPr="00000000">
        <w:rPr>
          <w:rFonts w:ascii="Google Sans" w:cs="Google Sans" w:eastAsia="Google Sans" w:hAnsi="Google Sans"/>
          <w:rtl w:val="0"/>
        </w:rPr>
        <w:t xml:space="preserve"> Can we maintain the target 80% gross margin on the AI premium tier while processing heavy, unstructured field inputs (like photos and complex RFI texts) through the LLM?</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User Behavior:</w:t>
      </w:r>
      <w:r w:rsidDel="00000000" w:rsidR="00000000" w:rsidRPr="00000000">
        <w:rPr>
          <w:rFonts w:ascii="Google Sans" w:cs="Google Sans" w:eastAsia="Google Sans" w:hAnsi="Google Sans"/>
          <w:rtl w:val="0"/>
        </w:rPr>
        <w:t xml:space="preserve"> Will Project Managers actually click the "audit trail" hyperlinks to verify data, or will they default to blind trust/blind rejection based on their current workload?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