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DB" w:rsidRPr="009E75DB" w:rsidRDefault="009E75DB" w:rsidP="009E75DB">
      <w:pPr>
        <w:widowControl/>
        <w:shd w:val="clear" w:color="auto" w:fill="FFFFFF"/>
        <w:jc w:val="center"/>
        <w:outlineLvl w:val="0"/>
        <w:rPr>
          <w:rFonts w:ascii="Arial" w:eastAsia="微软雅黑" w:hAnsi="Arial" w:cs="Arial"/>
          <w:b/>
          <w:bCs/>
          <w:color w:val="000000"/>
          <w:kern w:val="36"/>
          <w:sz w:val="38"/>
          <w:szCs w:val="38"/>
        </w:rPr>
      </w:pPr>
      <w:r w:rsidRPr="009E75DB">
        <w:rPr>
          <w:rFonts w:ascii="Arial" w:eastAsia="微软雅黑" w:hAnsi="Arial" w:cs="Arial"/>
          <w:b/>
          <w:bCs/>
          <w:color w:val="000000"/>
          <w:kern w:val="36"/>
          <w:sz w:val="38"/>
          <w:szCs w:val="38"/>
        </w:rPr>
        <w:t>合格投资者认定</w:t>
      </w:r>
    </w:p>
    <w:p w:rsidR="009E75DB" w:rsidRPr="009E75DB" w:rsidRDefault="009E75DB" w:rsidP="009E75DB">
      <w:pPr>
        <w:widowControl/>
        <w:shd w:val="clear" w:color="auto" w:fill="FFFFFF"/>
        <w:spacing w:before="100" w:beforeAutospacing="1" w:after="100" w:afterAutospacing="1" w:line="315" w:lineRule="atLeast"/>
        <w:jc w:val="left"/>
        <w:rPr>
          <w:rFonts w:ascii="微软雅黑" w:eastAsia="微软雅黑" w:hAnsi="微软雅黑" w:cs="Arial"/>
          <w:color w:val="303030"/>
          <w:kern w:val="0"/>
          <w:sz w:val="20"/>
          <w:szCs w:val="20"/>
        </w:rPr>
      </w:pPr>
      <w:r w:rsidRPr="009E75DB">
        <w:rPr>
          <w:rFonts w:ascii="微软雅黑" w:eastAsia="微软雅黑" w:hAnsi="微软雅黑" w:cs="Arial" w:hint="eastAsia"/>
          <w:color w:val="303030"/>
          <w:kern w:val="0"/>
          <w:sz w:val="20"/>
          <w:szCs w:val="20"/>
        </w:rPr>
        <w:t>根据《中华人民共和国证券投资基金法》、</w:t>
      </w:r>
      <w:r w:rsidR="00677515">
        <w:rPr>
          <w:rFonts w:ascii="微软雅黑" w:eastAsia="微软雅黑" w:hAnsi="微软雅黑" w:cs="Arial" w:hint="eastAsia"/>
          <w:color w:val="303030"/>
          <w:kern w:val="0"/>
          <w:sz w:val="20"/>
          <w:szCs w:val="20"/>
        </w:rPr>
        <w:t>《证券</w:t>
      </w:r>
      <w:r w:rsidR="00677515">
        <w:rPr>
          <w:rFonts w:ascii="微软雅黑" w:eastAsia="微软雅黑" w:hAnsi="微软雅黑" w:cs="Arial"/>
          <w:color w:val="303030"/>
          <w:kern w:val="0"/>
          <w:sz w:val="20"/>
          <w:szCs w:val="20"/>
        </w:rPr>
        <w:t>期货经营机构私募资产管理业务运作管理暂行规定</w:t>
      </w:r>
      <w:r w:rsidR="00677515">
        <w:rPr>
          <w:rFonts w:ascii="微软雅黑" w:eastAsia="微软雅黑" w:hAnsi="微软雅黑" w:cs="Arial" w:hint="eastAsia"/>
          <w:color w:val="303030"/>
          <w:kern w:val="0"/>
          <w:sz w:val="20"/>
          <w:szCs w:val="20"/>
        </w:rPr>
        <w:t>》、</w:t>
      </w:r>
      <w:r w:rsidR="00677515">
        <w:rPr>
          <w:rFonts w:ascii="微软雅黑" w:eastAsia="微软雅黑" w:hAnsi="微软雅黑" w:cs="Arial"/>
          <w:color w:val="303030"/>
          <w:kern w:val="0"/>
          <w:sz w:val="20"/>
          <w:szCs w:val="20"/>
        </w:rPr>
        <w:t>《</w:t>
      </w:r>
      <w:r w:rsidR="00677515">
        <w:rPr>
          <w:rFonts w:ascii="微软雅黑" w:eastAsia="微软雅黑" w:hAnsi="微软雅黑" w:cs="Arial" w:hint="eastAsia"/>
          <w:color w:val="303030"/>
          <w:kern w:val="0"/>
          <w:sz w:val="20"/>
          <w:szCs w:val="20"/>
        </w:rPr>
        <w:t>私募</w:t>
      </w:r>
      <w:r w:rsidR="00677515">
        <w:rPr>
          <w:rFonts w:ascii="微软雅黑" w:eastAsia="微软雅黑" w:hAnsi="微软雅黑" w:cs="Arial"/>
          <w:color w:val="303030"/>
          <w:kern w:val="0"/>
          <w:sz w:val="20"/>
          <w:szCs w:val="20"/>
        </w:rPr>
        <w:t>投资基金募集行为管理办法》</w:t>
      </w:r>
      <w:r w:rsidRPr="009E75DB">
        <w:rPr>
          <w:rFonts w:ascii="微软雅黑" w:eastAsia="微软雅黑" w:hAnsi="微软雅黑" w:cs="Arial" w:hint="eastAsia"/>
          <w:color w:val="303030"/>
          <w:kern w:val="0"/>
          <w:sz w:val="20"/>
          <w:szCs w:val="20"/>
        </w:rPr>
        <w:t>及《私募投资基金监督管理暂行办法》等相关法律法规规定， 在继续浏览本公司网站前，请您</w:t>
      </w:r>
      <w:proofErr w:type="gramStart"/>
      <w:r w:rsidRPr="009E75DB">
        <w:rPr>
          <w:rFonts w:ascii="微软雅黑" w:eastAsia="微软雅黑" w:hAnsi="微软雅黑" w:cs="Arial" w:hint="eastAsia"/>
          <w:color w:val="303030"/>
          <w:kern w:val="0"/>
          <w:sz w:val="20"/>
          <w:szCs w:val="20"/>
        </w:rPr>
        <w:t>确认您</w:t>
      </w:r>
      <w:proofErr w:type="gramEnd"/>
      <w:r w:rsidRPr="009E75DB">
        <w:rPr>
          <w:rFonts w:ascii="微软雅黑" w:eastAsia="微软雅黑" w:hAnsi="微软雅黑" w:cs="Arial" w:hint="eastAsia"/>
          <w:color w:val="303030"/>
          <w:kern w:val="0"/>
          <w:sz w:val="20"/>
          <w:szCs w:val="20"/>
        </w:rPr>
        <w:t>或您所代表的</w:t>
      </w:r>
      <w:r w:rsidR="00677515">
        <w:rPr>
          <w:rFonts w:ascii="微软雅黑" w:eastAsia="微软雅黑" w:hAnsi="微软雅黑" w:cs="Arial" w:hint="eastAsia"/>
          <w:color w:val="303030"/>
          <w:kern w:val="0"/>
          <w:sz w:val="20"/>
          <w:szCs w:val="20"/>
        </w:rPr>
        <w:t>单位为</w:t>
      </w:r>
      <w:r w:rsidRPr="009E75DB">
        <w:rPr>
          <w:rFonts w:ascii="微软雅黑" w:eastAsia="微软雅黑" w:hAnsi="微软雅黑" w:cs="Arial" w:hint="eastAsia"/>
          <w:color w:val="303030"/>
          <w:kern w:val="0"/>
          <w:sz w:val="20"/>
          <w:szCs w:val="20"/>
        </w:rPr>
        <w:t>“合格投资者”。 “合格投资者”指根据任何国家和地区的证券和投资法规所规定的有资格投资于私募证券投资基金的专业投资者。 根据我国《私募投资基金监督管理暂行办法(征求意见稿)》的规定，合格投资者的标准如下：</w:t>
      </w:r>
    </w:p>
    <w:p w:rsidR="009E75DB" w:rsidRPr="009E75DB" w:rsidRDefault="009E75DB" w:rsidP="009E75DB">
      <w:pPr>
        <w:widowControl/>
        <w:shd w:val="clear" w:color="auto" w:fill="FFFFFF"/>
        <w:spacing w:before="100" w:beforeAutospacing="1" w:after="100" w:afterAutospacing="1" w:line="315" w:lineRule="atLeast"/>
        <w:jc w:val="left"/>
        <w:rPr>
          <w:rFonts w:ascii="微软雅黑" w:eastAsia="微软雅黑" w:hAnsi="微软雅黑" w:cs="Arial" w:hint="eastAsia"/>
          <w:color w:val="303030"/>
          <w:kern w:val="0"/>
          <w:sz w:val="20"/>
          <w:szCs w:val="20"/>
        </w:rPr>
      </w:pPr>
      <w:r w:rsidRPr="009E75DB">
        <w:rPr>
          <w:rFonts w:ascii="微软雅黑" w:eastAsia="微软雅黑" w:hAnsi="微软雅黑" w:cs="Arial" w:hint="eastAsia"/>
          <w:color w:val="303030"/>
          <w:kern w:val="0"/>
          <w:sz w:val="20"/>
          <w:szCs w:val="20"/>
        </w:rPr>
        <w:t>一、具备相应风险识别能力和风险承担能力，投资于单只私募基金的金额不低于100万元且符合下列相关标准的单位和个人：</w:t>
      </w:r>
      <w:r w:rsidRPr="009E75DB">
        <w:rPr>
          <w:rFonts w:ascii="微软雅黑" w:eastAsia="微软雅黑" w:hAnsi="微软雅黑" w:cs="Arial" w:hint="eastAsia"/>
          <w:color w:val="303030"/>
          <w:kern w:val="0"/>
          <w:sz w:val="20"/>
          <w:szCs w:val="20"/>
        </w:rPr>
        <w:br/>
        <w:t>1、净资产不低于1000万元的单位；</w:t>
      </w:r>
      <w:r w:rsidRPr="009E75DB">
        <w:rPr>
          <w:rFonts w:ascii="微软雅黑" w:eastAsia="微软雅黑" w:hAnsi="微软雅黑" w:cs="Arial" w:hint="eastAsia"/>
          <w:color w:val="303030"/>
          <w:kern w:val="0"/>
          <w:sz w:val="20"/>
          <w:szCs w:val="20"/>
        </w:rPr>
        <w:br/>
        <w:t>2、个人金融资产不低于300万元或者最近三年个人年均收入不低于50万元</w:t>
      </w:r>
      <w:r>
        <w:rPr>
          <w:rFonts w:ascii="微软雅黑" w:eastAsia="微软雅黑" w:hAnsi="微软雅黑" w:cs="Arial" w:hint="eastAsia"/>
          <w:color w:val="303030"/>
          <w:kern w:val="0"/>
          <w:sz w:val="20"/>
          <w:szCs w:val="20"/>
        </w:rPr>
        <w:t>且</w:t>
      </w:r>
      <w:r>
        <w:rPr>
          <w:rFonts w:ascii="微软雅黑" w:eastAsia="微软雅黑" w:hAnsi="微软雅黑" w:cs="Arial"/>
          <w:color w:val="303030"/>
          <w:kern w:val="0"/>
          <w:sz w:val="20"/>
          <w:szCs w:val="20"/>
        </w:rPr>
        <w:t>具有</w:t>
      </w:r>
      <w:r>
        <w:rPr>
          <w:rFonts w:ascii="微软雅黑" w:eastAsia="微软雅黑" w:hAnsi="微软雅黑" w:cs="Arial" w:hint="eastAsia"/>
          <w:color w:val="303030"/>
          <w:kern w:val="0"/>
          <w:sz w:val="20"/>
          <w:szCs w:val="20"/>
        </w:rPr>
        <w:t>2年</w:t>
      </w:r>
      <w:r>
        <w:rPr>
          <w:rFonts w:ascii="微软雅黑" w:eastAsia="微软雅黑" w:hAnsi="微软雅黑" w:cs="Arial"/>
          <w:color w:val="303030"/>
          <w:kern w:val="0"/>
          <w:sz w:val="20"/>
          <w:szCs w:val="20"/>
        </w:rPr>
        <w:t>以上投资经验</w:t>
      </w:r>
      <w:r w:rsidRPr="009E75DB">
        <w:rPr>
          <w:rFonts w:ascii="微软雅黑" w:eastAsia="微软雅黑" w:hAnsi="微软雅黑" w:cs="Arial" w:hint="eastAsia"/>
          <w:color w:val="303030"/>
          <w:kern w:val="0"/>
          <w:sz w:val="20"/>
          <w:szCs w:val="20"/>
        </w:rPr>
        <w:t>。 （</w:t>
      </w:r>
      <w:r>
        <w:rPr>
          <w:rFonts w:ascii="微软雅黑" w:eastAsia="微软雅黑" w:hAnsi="微软雅黑" w:cs="Arial" w:hint="eastAsia"/>
          <w:color w:val="303030"/>
          <w:kern w:val="0"/>
          <w:sz w:val="20"/>
          <w:szCs w:val="20"/>
        </w:rPr>
        <w:t>上述</w:t>
      </w:r>
      <w:r w:rsidRPr="009E75DB">
        <w:rPr>
          <w:rFonts w:ascii="微软雅黑" w:eastAsia="微软雅黑" w:hAnsi="微软雅黑" w:cs="Arial" w:hint="eastAsia"/>
          <w:color w:val="303030"/>
          <w:kern w:val="0"/>
          <w:sz w:val="20"/>
          <w:szCs w:val="20"/>
        </w:rPr>
        <w:t>金融资产包括银行存款、股票、债券、基金份额、资产管理计划、银行理财产品、信托计划、保险产品、期货权益等。）</w:t>
      </w:r>
    </w:p>
    <w:p w:rsidR="009E75DB" w:rsidRPr="009E75DB" w:rsidRDefault="009E75DB" w:rsidP="009E75DB">
      <w:pPr>
        <w:widowControl/>
        <w:shd w:val="clear" w:color="auto" w:fill="FFFFFF"/>
        <w:spacing w:before="100" w:beforeAutospacing="1" w:after="100" w:afterAutospacing="1" w:line="315" w:lineRule="atLeast"/>
        <w:jc w:val="left"/>
        <w:rPr>
          <w:rFonts w:ascii="微软雅黑" w:eastAsia="微软雅黑" w:hAnsi="微软雅黑" w:cs="Arial" w:hint="eastAsia"/>
          <w:color w:val="303030"/>
          <w:kern w:val="0"/>
          <w:sz w:val="20"/>
          <w:szCs w:val="20"/>
        </w:rPr>
      </w:pPr>
      <w:r w:rsidRPr="009E75DB">
        <w:rPr>
          <w:rFonts w:ascii="微软雅黑" w:eastAsia="微软雅黑" w:hAnsi="微软雅黑" w:cs="Arial" w:hint="eastAsia"/>
          <w:color w:val="303030"/>
          <w:kern w:val="0"/>
          <w:sz w:val="20"/>
          <w:szCs w:val="20"/>
        </w:rPr>
        <w:t>二、下列投资者视为合格投资者：</w:t>
      </w:r>
      <w:r w:rsidRPr="009E75DB">
        <w:rPr>
          <w:rFonts w:ascii="微软雅黑" w:eastAsia="微软雅黑" w:hAnsi="微软雅黑" w:cs="Arial" w:hint="eastAsia"/>
          <w:color w:val="303030"/>
          <w:kern w:val="0"/>
          <w:sz w:val="20"/>
          <w:szCs w:val="20"/>
        </w:rPr>
        <w:br/>
        <w:t>1、社会保障基金、企业年金、慈善基金；</w:t>
      </w:r>
      <w:r w:rsidRPr="009E75DB">
        <w:rPr>
          <w:rFonts w:ascii="微软雅黑" w:eastAsia="微软雅黑" w:hAnsi="微软雅黑" w:cs="Arial" w:hint="eastAsia"/>
          <w:color w:val="303030"/>
          <w:kern w:val="0"/>
          <w:sz w:val="20"/>
          <w:szCs w:val="20"/>
        </w:rPr>
        <w:br/>
        <w:t>2、依法设立并受国务院金融监督管理机构监管的投资计划；</w:t>
      </w:r>
      <w:r w:rsidRPr="009E75DB">
        <w:rPr>
          <w:rFonts w:ascii="微软雅黑" w:eastAsia="微软雅黑" w:hAnsi="微软雅黑" w:cs="Arial" w:hint="eastAsia"/>
          <w:color w:val="303030"/>
          <w:kern w:val="0"/>
          <w:sz w:val="20"/>
          <w:szCs w:val="20"/>
        </w:rPr>
        <w:br/>
        <w:t>3、投资于所管理私募基金的私募基金管理人及其从业人员；</w:t>
      </w:r>
      <w:r w:rsidRPr="009E75DB">
        <w:rPr>
          <w:rFonts w:ascii="微软雅黑" w:eastAsia="微软雅黑" w:hAnsi="微软雅黑" w:cs="Arial" w:hint="eastAsia"/>
          <w:color w:val="303030"/>
          <w:kern w:val="0"/>
          <w:sz w:val="20"/>
          <w:szCs w:val="20"/>
        </w:rPr>
        <w:br/>
        <w:t>4、中国证监会规定的其他投资者。</w:t>
      </w:r>
    </w:p>
    <w:p w:rsidR="009E75DB" w:rsidRPr="009E75DB" w:rsidRDefault="009E75DB" w:rsidP="009E75DB">
      <w:pPr>
        <w:widowControl/>
        <w:shd w:val="clear" w:color="auto" w:fill="FFFFFF"/>
        <w:spacing w:before="100" w:beforeAutospacing="1" w:after="100" w:afterAutospacing="1" w:line="315" w:lineRule="atLeast"/>
        <w:jc w:val="left"/>
        <w:rPr>
          <w:rFonts w:ascii="微软雅黑" w:eastAsia="微软雅黑" w:hAnsi="微软雅黑" w:cs="Arial" w:hint="eastAsia"/>
          <w:color w:val="303030"/>
          <w:kern w:val="0"/>
          <w:sz w:val="20"/>
          <w:szCs w:val="20"/>
        </w:rPr>
      </w:pPr>
      <w:r w:rsidRPr="009E75DB">
        <w:rPr>
          <w:rFonts w:ascii="微软雅黑" w:eastAsia="微软雅黑" w:hAnsi="微软雅黑" w:cs="Arial" w:hint="eastAsia"/>
          <w:color w:val="303030"/>
          <w:kern w:val="0"/>
          <w:sz w:val="20"/>
          <w:szCs w:val="20"/>
        </w:rPr>
        <w:lastRenderedPageBreak/>
        <w:t>    本网站的各种信息和数据等仅供参考， 并不构成产品的广告、销售要约、或买入任何投资产品份额的建议。  在继续浏览本公司网站前，请您细阅此重要提示，根据您的具体情况进行选择。</w:t>
      </w:r>
      <w:bookmarkStart w:id="0" w:name="_GoBack"/>
      <w:bookmarkEnd w:id="0"/>
    </w:p>
    <w:p w:rsidR="005B516C" w:rsidRPr="009E75DB" w:rsidRDefault="005B516C"/>
    <w:sectPr w:rsidR="005B516C" w:rsidRPr="009E75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5DB"/>
    <w:rsid w:val="005B516C"/>
    <w:rsid w:val="00677515"/>
    <w:rsid w:val="009E75DB"/>
    <w:rsid w:val="00BF4E96"/>
    <w:rsid w:val="00E07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522CC-9A4C-42C5-8BE7-D55CC2814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013146">
      <w:bodyDiv w:val="1"/>
      <w:marLeft w:val="0"/>
      <w:marRight w:val="0"/>
      <w:marTop w:val="0"/>
      <w:marBottom w:val="0"/>
      <w:divBdr>
        <w:top w:val="none" w:sz="0" w:space="0" w:color="auto"/>
        <w:left w:val="none" w:sz="0" w:space="0" w:color="auto"/>
        <w:bottom w:val="none" w:sz="0" w:space="0" w:color="auto"/>
        <w:right w:val="none" w:sz="0" w:space="0" w:color="auto"/>
      </w:divBdr>
      <w:divsChild>
        <w:div w:id="639042895">
          <w:marLeft w:val="0"/>
          <w:marRight w:val="0"/>
          <w:marTop w:val="0"/>
          <w:marBottom w:val="0"/>
          <w:divBdr>
            <w:top w:val="none" w:sz="0" w:space="0" w:color="auto"/>
            <w:left w:val="none" w:sz="0" w:space="0" w:color="auto"/>
            <w:bottom w:val="none" w:sz="0" w:space="0" w:color="auto"/>
            <w:right w:val="none" w:sz="0" w:space="0" w:color="auto"/>
          </w:divBdr>
          <w:divsChild>
            <w:div w:id="633873918">
              <w:marLeft w:val="0"/>
              <w:marRight w:val="0"/>
              <w:marTop w:val="0"/>
              <w:marBottom w:val="0"/>
              <w:divBdr>
                <w:top w:val="none" w:sz="0" w:space="0" w:color="auto"/>
                <w:left w:val="none" w:sz="0" w:space="0" w:color="auto"/>
                <w:bottom w:val="none" w:sz="0" w:space="0" w:color="auto"/>
                <w:right w:val="none" w:sz="0" w:space="0" w:color="auto"/>
              </w:divBdr>
              <w:divsChild>
                <w:div w:id="1988897846">
                  <w:marLeft w:val="0"/>
                  <w:marRight w:val="0"/>
                  <w:marTop w:val="0"/>
                  <w:marBottom w:val="0"/>
                  <w:divBdr>
                    <w:top w:val="single" w:sz="6" w:space="15" w:color="CCCCCC"/>
                    <w:left w:val="single" w:sz="6" w:space="15" w:color="CCCCCC"/>
                    <w:bottom w:val="single" w:sz="6" w:space="15" w:color="CCCCCC"/>
                    <w:right w:val="single" w:sz="6" w:space="15" w:color="CCCCCC"/>
                  </w:divBdr>
                  <w:divsChild>
                    <w:div w:id="168107871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90</Words>
  <Characters>518</Characters>
  <Application>Microsoft Office Word</Application>
  <DocSecurity>0</DocSecurity>
  <Lines>4</Lines>
  <Paragraphs>1</Paragraphs>
  <ScaleCrop>false</ScaleCrop>
  <Company>微软中国</Company>
  <LinksUpToDate>false</LinksUpToDate>
  <CharactersWithSpaces>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1</cp:revision>
  <dcterms:created xsi:type="dcterms:W3CDTF">2018-08-30T07:30:00Z</dcterms:created>
  <dcterms:modified xsi:type="dcterms:W3CDTF">2018-08-30T08:16:00Z</dcterms:modified>
</cp:coreProperties>
</file>