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line in each chapter, and the companion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 </w:t>
      </w:r>
      <w:r>
        <w:t xml:space="preserve">file for the current per-case validation status. Validate on real hardware before treating any</w:t>
      </w:r>
      <w:r>
        <w:t xml:space="preserve"> </w:t>
      </w:r>
      <w:r>
        <w:t xml:space="preserve">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 the companion document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(shipped alongside this whitepaper, not included in this compiled PDF) 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A repo-wide search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turns</w:t>
      </w:r>
      <w:r>
        <w:t xml:space="preserve"> </w:t>
      </w:r>
      <w:r>
        <w:t xml:space="preserve">up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 templates, the SGLang backend,</w:t>
      </w:r>
      <w:r>
        <w:t xml:space="preserve"> </w:t>
      </w:r>
      <w:r>
        <w:t xml:space="preserve">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turn up 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 NVIDIA GPU (decode)</w:t>
      </w:r>
      <w:r>
        <w:t xml:space="preserve"> </w:t>
      </w:r>
      <w:r>
        <w:t xml:space="preserve">disaggregation, written up in full in Chapter 3. Chapter 4 distinguishes 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 GAIE, multi-node</w:t>
      </w:r>
      <w:r>
        <w:t xml:space="preserve"> </w:t>
      </w:r>
      <w:r>
        <w:t xml:space="preserve">disaggregation, GMS/failover — all with no hard hardware blocker found) from the one</w:t>
      </w:r>
      <w:r>
        <w:t xml:space="preserve"> </w:t>
      </w:r>
      <w:r>
        <w:rPr>
          <w:bCs/>
          <w:b/>
        </w:rPr>
        <w:t xml:space="preserve">genuine</w:t>
      </w:r>
      <w:r>
        <w:rPr>
          <w:bCs/>
          <w:b/>
        </w:rPr>
        <w:t xml:space="preserve"> </w:t>
      </w:r>
      <w:r>
        <w:rPr>
          <w:bCs/>
          <w:b/>
        </w:rPr>
        <w:t xml:space="preserve">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7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</w:t>
      </w:r>
      <w:r>
        <w:t xml:space="preserve"> </w:t>
      </w:r>
      <w:r>
        <w:t xml:space="preserve">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(In Progress)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(In Progress)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(gap analysis, not a deployment case — the Verified/In Progress/N/A labels above don’t apply)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in this directory are separate, continuously-updated tracking</w:t>
      </w:r>
      <w:r>
        <w:t xml:space="preserve"> </w:t>
      </w:r>
      <w:r>
        <w:t xml:space="preserve">documents — useful when browsing the repository directly, but they are not chapters of this</w:t>
      </w:r>
      <w:r>
        <w:t xml:space="preserve"> </w:t>
      </w:r>
      <w:r>
        <w:t xml:space="preserve">whitepaper and are not included in the compiled PDF/Word export.</w:t>
      </w:r>
    </w:p>
    <w:bookmarkEnd w:id="37"/>
    <w:bookmarkEnd w:id="38"/>
    <w:bookmarkStart w:id="47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2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39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(see 0.1.1 below).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Start w:id="41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dynamo repo itself — this is a cluster-level, vendor-provided component that must</w:t>
      </w:r>
      <w:r>
        <w:t xml:space="preserve"> </w:t>
      </w:r>
      <w:r>
        <w:t xml:space="preserve">be installed once per cluster before any of the templates in this whitepaper. Install via its</w:t>
      </w:r>
      <w:r>
        <w:t xml:space="preserve"> </w:t>
      </w:r>
      <w:r>
        <w:t xml:space="preserve">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0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1"/>
    <w:bookmarkEnd w:id="42"/>
    <w:bookmarkStart w:id="43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dynamo-system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match a version from the repo's releases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fetch https://helm.ngc.nvidia.com/nvidia/ai-dynamo/charts/dynamo-platform-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dynamo-crds</w:t>
      </w:r>
      <w:r>
        <w:t xml:space="preserve"> </w:t>
      </w:r>
      <w:r>
        <w:t xml:space="preserve">Helm chart is deprecated as of v1.0.0 — CRDs are now installed and</w:t>
      </w:r>
      <w:r>
        <w:t xml:space="preserve"> </w:t>
      </w:r>
      <w:r>
        <w:t xml:space="preserve">managed by the Dynamo Operator itself as part of the</w:t>
      </w:r>
      <w:r>
        <w:t xml:space="preserve"> </w:t>
      </w:r>
      <w:r>
        <w:rPr>
          <w:rStyle w:val="VerbatimChar"/>
        </w:rPr>
        <w:t xml:space="preserve">dynamo-platform</w:t>
      </w:r>
      <w:r>
        <w:t xml:space="preserve"> </w:t>
      </w:r>
      <w:r>
        <w:t xml:space="preserve">chart above. No separate</w:t>
      </w:r>
      <w:r>
        <w:t xml:space="preserve"> </w:t>
      </w:r>
      <w:r>
        <w:t xml:space="preserve">CRD install step is needed on current releases.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3"/>
    <w:bookmarkStart w:id="44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4"/>
    <w:bookmarkStart w:id="45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5"/>
    <w:bookmarkStart w:id="46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Chapter 0.4 created hf-token-secret in the platform namespace (dynamo-system) — every</w:t>
      </w:r>
      <w:r>
        <w:br/>
      </w:r>
      <w:r>
        <w:rPr>
          <w:rStyle w:val="CommentTok"/>
        </w:rPr>
        <w:t xml:space="preserve"># DynamoGraphDeployment template also expects it in its own workload namespace, so re-create it</w:t>
      </w:r>
      <w:r>
        <w:br/>
      </w:r>
      <w:r>
        <w:rPr>
          <w:rStyle w:val="CommentTok"/>
        </w:rPr>
        <w:t xml:space="preserve"># here (repeat this for every other namespace you use in Chapters 1-9):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8"/>
    <w:bookmarkStart w:id="49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the ZMQ-published KV events that §1.3 uses, the router predicts</w:t>
      </w:r>
      <w:r>
        <w:t xml:space="preserve"> </w:t>
      </w:r>
      <w:r>
        <w:t xml:space="preserve">cache state locally from its own routing decisions with TTL-based expiration/pruning. The</w:t>
      </w:r>
      <w:r>
        <w:t xml:space="preserve"> </w:t>
      </w:r>
      <w:r>
        <w:t xml:space="preserve">template’s own comments describe this as avoiding a</w:t>
      </w:r>
      <w:r>
        <w:t xml:space="preserve"> </w:t>
      </w:r>
      <w:r>
        <w:t xml:space="preserve">“</w:t>
      </w:r>
      <w:r>
        <w:t xml:space="preserve">NATS or JetStream</w:t>
      </w:r>
      <w:r>
        <w:t xml:space="preserve">”</w:t>
      </w:r>
      <w:r>
        <w:t xml:space="preserve"> </w:t>
      </w:r>
      <w:r>
        <w:t xml:space="preserve">dependency — that</w:t>
      </w:r>
      <w:r>
        <w:t xml:space="preserve"> </w:t>
      </w:r>
      <w:r>
        <w:t xml:space="preserve">appears to refer to an alternate/older KV-event distribution path, since §1.3’s actual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uses a ZMQ publisher, not NATS; either way, this mode has no external</w:t>
      </w:r>
      <w:r>
        <w:t xml:space="preserve"> </w:t>
      </w:r>
      <w:r>
        <w:t xml:space="preserve">message-bus dependency of its own. Benefit: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is set identically on both</w:t>
      </w:r>
      <w:r>
        <w:t xml:space="preserve"> </w:t>
      </w:r>
      <w:r>
        <w:t xml:space="preserve">sides (</w:t>
      </w:r>
      <w:r>
        <w:rPr>
          <w:rStyle w:val="VerbatimChar"/>
        </w:rPr>
        <w:t xml:space="preserve">kv_role</w:t>
      </w:r>
      <w:r>
        <w:t xml:space="preserve"> </w:t>
      </w:r>
      <w:r>
        <w:t xml:space="preserve">itself differs by design:</w:t>
      </w:r>
      <w:r>
        <w:t xml:space="preserve"> </w:t>
      </w:r>
      <w:r>
        <w:rPr>
          <w:rStyle w:val="VerbatimChar"/>
        </w:rPr>
        <w:t xml:space="preserve">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kv_consumer</w:t>
      </w:r>
      <w:r>
        <w:t xml:space="preserve"> </w:t>
      </w:r>
      <w:r>
        <w:t xml:space="preserve">on decode).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3"/>
    <w:bookmarkStart w:id="54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Deployment (</w:t>
      </w:r>
      <w:r>
        <w:rPr>
          <w:rStyle w:val="VerbatimChar"/>
        </w:rPr>
        <w:t xml:space="preserve">gp-ctrl-frontend</w:t>
      </w:r>
      <w:r>
        <w:t xml:space="preserve">, following the</w:t>
      </w:r>
      <w:r>
        <w:t xml:space="preserve"> </w:t>
      </w:r>
      <w:r>
        <w:rPr>
          <w:rStyle w:val="VerbatimChar"/>
        </w:rPr>
        <w:t xml:space="preserve">{DynamoGraphDeployment name}-frontend</w:t>
      </w:r>
      <w:r>
        <w:t xml:space="preserve"> </w:t>
      </w:r>
      <w:r>
        <w:t xml:space="preserve">pattern from §1.1) and send completion requests as in</w:t>
      </w:r>
      <w:r>
        <w:t xml:space="preserve"> </w:t>
      </w:r>
      <w:r>
        <w:t xml:space="preserve">§1.1: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deployment/gp-ctrl-frontend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max_tokens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:20}"</w:t>
      </w:r>
    </w:p>
    <w:p>
      <w:pPr>
        <w:pStyle w:val="FirstParagraph"/>
      </w:pPr>
      <w:r>
        <w:t xml:space="preserve">Observe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7" w:name="X953b5b3e522467aa69e3ef96fcfe45d8cd55abc"/>
    <w:p>
      <w:pPr>
        <w:pStyle w:val="Heading1"/>
      </w:pPr>
      <w:r>
        <w:t xml:space="preserve">Chapter 3 — Recipe: Qwen3-VL-32B-FP8 Heterogeneous Hardware Disaggregation (Intel XPU Encode + NVIDIA GPU Decode)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</w:p>
    <w:bookmarkStart w:id="5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7"/>
    <w:bookmarkStart w:id="58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8"/>
    <w:bookmarkStart w:id="59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59"/>
    <w:bookmarkStart w:id="60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/recipes/qwen3-vl-32b-fp8   </w:t>
      </w:r>
      <w:r>
        <w:rPr>
          <w:rStyle w:val="CommentTok"/>
        </w:rPr>
        <w:t xml:space="preserve"># all relative paths below are from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0"/>
    <w:bookmarkStart w:id="61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1"/>
    <w:bookmarkStart w:id="62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2"/>
    <w:bookmarkStart w:id="63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3"/>
    <w:bookmarkStart w:id="64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4"/>
    <w:bookmarkStart w:id="65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5"/>
    <w:bookmarkStart w:id="66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66"/>
    <w:bookmarkEnd w:id="67"/>
    <w:bookmarkStart w:id="75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71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(EPP/InferencePool) already proven hardware-agnostic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NVIDIA Triton Inference Server has historically been NVIDIA-GPU-centric, but no explicit hard-blocker statement found in the repo — flagged as unconfirmed rather than a confirmed lock-in</w:t>
            </w:r>
          </w:p>
        </w:tc>
      </w:tr>
    </w:tbl>
    <w:p>
      <w:pPr>
        <w:pStyle w:val="BodyText"/>
      </w:pPr>
      <w:r>
        <w:t xml:space="preserve">None of these have been hands-on tested on Intel XPU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</w:t>
      </w:r>
      <w:r>
        <w:t xml:space="preserve"> </w:t>
      </w:r>
      <w:r>
        <w:t xml:space="preserve">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 of candidate work, not a</w:t>
      </w:r>
      <w:r>
        <w:t xml:space="preserve"> </w:t>
      </w:r>
      <w:r>
        <w:t xml:space="preserve">completed case.</w:t>
      </w:r>
    </w:p>
    <w:bookmarkEnd w:id="71"/>
    <w:bookmarkStart w:id="72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</w:tbl>
    <w:bookmarkEnd w:id="72"/>
    <w:bookmarkStart w:id="73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3"/>
    <w:bookmarkStart w:id="74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4"/>
    <w:bookmarkEnd w:id="75"/>
    <w:bookmarkStart w:id="76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76"/>
    <w:bookmarkStart w:id="77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0" Target="https://github.com/ai-dynamo/dynamo/issues/9313" TargetMode="External" /><Relationship Type="http://schemas.openxmlformats.org/officeDocument/2006/relationships/hyperlink" Id="rId69" Target="https://github.com/ai-dynamo/dynamo/pull/10520" TargetMode="External" /><Relationship Type="http://schemas.openxmlformats.org/officeDocument/2006/relationships/hyperlink" Id="rId68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Relationship Type="http://schemas.openxmlformats.org/officeDocument/2006/relationships/hyperlink" Id="rId40" Target="https://github.com/intel/intel-resource-drivers-for-kubernetes/blob/main/doc/gpu/USA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70" Target="https://github.com/ai-dynamo/dynamo/issues/9313" TargetMode="External" /><Relationship Type="http://schemas.openxmlformats.org/officeDocument/2006/relationships/hyperlink" Id="rId69" Target="https://github.com/ai-dynamo/dynamo/pull/10520" TargetMode="External" /><Relationship Type="http://schemas.openxmlformats.org/officeDocument/2006/relationships/hyperlink" Id="rId68" Target="https://github.com/ai-dynamo/dynamo/pull/7946" TargetMode="External" /><Relationship Type="http://schemas.openxmlformats.org/officeDocument/2006/relationships/hyperlink" Id="rId39" Target="https://github.com/intel/intel-resource-drivers-for-kubernetes" TargetMode="External" /><Relationship Type="http://schemas.openxmlformats.org/officeDocument/2006/relationships/hyperlink" Id="rId40" Target="https://github.com/intel/intel-resource-drivers-for-kubernetes/blob/main/doc/gpu/USA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2026-07-21T02:20:56Z</dcterms:created>
  <dcterms:modified xsi:type="dcterms:W3CDTF">2026-07-21T02:20:56Z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