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X3af63aadc00bf665ca9d1cbd1b25f30874ae57f"/>
    <w:p>
      <w:pPr>
        <w:pStyle w:val="Heading1"/>
      </w:pPr>
      <w:r>
        <w:t xml:space="preserve">Dynamo vLLM Backend (Kubernetes</w:t>
      </w:r>
      <w:r>
        <w:t xml:space="preserve"> </w:t>
      </w:r>
      <w:r>
        <w:rPr>
          <w:rStyle w:val="VerbatimChar"/>
        </w:rPr>
        <w:t xml:space="preserve">DynamoGraphDeployment</w:t>
      </w:r>
      <w:r>
        <w:t xml:space="preserve">): Intel XPU Support Gap Analysis</w:t>
      </w:r>
    </w:p>
    <w:p>
      <w:pPr>
        <w:pStyle w:val="BlockText"/>
      </w:pPr>
      <w:r>
        <w:t xml:space="preserve">Scope:</w:t>
      </w:r>
      <w:r>
        <w:t xml:space="preserve"> </w:t>
      </w:r>
      <w:r>
        <w:rPr>
          <w:bCs/>
          <w:b/>
        </w:rPr>
        <w:t xml:space="preserve">Kubernetes deployment only</w:t>
      </w:r>
      <w:r>
        <w:t xml:space="preserve"> </w:t>
      </w:r>
      <w:r>
        <w:t xml:space="preserve">(</w:t>
      </w:r>
      <w:r>
        <w:rPr>
          <w:rStyle w:val="VerbatimChar"/>
        </w:rPr>
        <w:t xml:space="preserve">examples/backends/vllm/deploy/</w:t>
      </w:r>
      <w:r>
        <w:t xml:space="preserve">). The bash/CLI</w:t>
      </w:r>
      <w:r>
        <w:t xml:space="preserve"> </w:t>
      </w:r>
      <w:r>
        <w:rPr>
          <w:rStyle w:val="VerbatimChar"/>
        </w:rPr>
        <w:t xml:space="preserve">launch/</w:t>
      </w:r>
      <w:r>
        <w:t xml:space="preserve"> </w:t>
      </w:r>
      <w:r>
        <w:t xml:space="preserve">scripts are out of scope for this document per request.</w:t>
      </w:r>
    </w:p>
    <w:p>
      <w:pPr>
        <w:pStyle w:val="BlockText"/>
      </w:pPr>
      <w:r>
        <w:t xml:space="preserve">Source: original Confluence-pasted list (</w:t>
      </w:r>
      <w:r>
        <w:rPr>
          <w:rStyle w:val="VerbatimChar"/>
        </w:rPr>
        <w:t xml:space="preserve">to_fi_original_raw.md</w:t>
      </w:r>
      <w:r>
        <w:t xml:space="preserve">, table formatting lost — see</w:t>
      </w:r>
      <w:r>
        <w:t xml:space="preserve"> </w:t>
      </w:r>
      <w:r>
        <w:t xml:space="preserve">that file for the raw paste) cross-checked directly against the</w:t>
      </w:r>
      <w:r>
        <w:t xml:space="preserve"> </w:t>
      </w:r>
      <w:r>
        <w:rPr>
          <w:rStyle w:val="VerbatimChar"/>
        </w:rPr>
        <w:t xml:space="preserve">dynamo</w:t>
      </w:r>
      <w:r>
        <w:t xml:space="preserve"> </w:t>
      </w:r>
      <w:r>
        <w:t xml:space="preserve">repo clone at</w:t>
      </w:r>
      <w:r>
        <w:t xml:space="preserve"> </w:t>
      </w:r>
      <w:r>
        <w:rPr>
          <w:rStyle w:val="VerbatimChar"/>
        </w:rPr>
        <w:t xml:space="preserve">examples/backends/vllm/deploy/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examples/backends/vllm/deploy/xpu/</w:t>
      </w:r>
      <w:r>
        <w:t xml:space="preserve">.</w:t>
      </w:r>
    </w:p>
    <w:bookmarkStart w:id="20" w:name="already-supported-on-intel-xpu-today"/>
    <w:p>
      <w:pPr>
        <w:pStyle w:val="Heading2"/>
      </w:pPr>
      <w:r>
        <w:t xml:space="preserve">✅ Already supported on Intel XPU today</w:t>
      </w:r>
    </w:p>
    <w:p>
      <w:pPr>
        <w:pStyle w:val="FirstParagraph"/>
      </w:pPr>
      <w:r>
        <w:t xml:space="preserve">These 8 have a real, shipped</w:t>
      </w:r>
      <w:r>
        <w:t xml:space="preserve"> </w:t>
      </w:r>
      <w:r>
        <w:rPr>
          <w:rStyle w:val="VerbatimChar"/>
        </w:rPr>
        <w:t xml:space="preserve">deploy/xpu/*.yaml</w:t>
      </w:r>
      <w:r>
        <w:t xml:space="preserve"> </w:t>
      </w:r>
      <w:r>
        <w:t xml:space="preserve">Kubernetes DRA template in the repo — documented</w:t>
      </w:r>
      <w:r>
        <w:t xml:space="preserve"> </w:t>
      </w:r>
      <w:r>
        <w:t xml:space="preserve">in full in</w:t>
      </w:r>
      <w:r>
        <w:t xml:space="preserve"> </w:t>
      </w:r>
      <w:r>
        <w:rPr>
          <w:rStyle w:val="VerbatimChar"/>
        </w:rPr>
        <w:t xml:space="preserve">whitepaper/dynamo/01-aggregated.md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08-disaggregated-kv-router.md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Aggregated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deploy/xpu/agg_xpu_dra.yaml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Aggregated + Tracing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deploy/xpu/agg_tracing_xpu_dra.yaml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Aggregated + KV Router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deploy/xpu/agg_router_xpu_dra.yaml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Aggregated + KV Router (no KV events)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deploy/xpu/agg_router_kv_approx_xpu_dra.yaml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Disaggregated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deploy/xpu/disagg_xpu_dra.yaml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Disaggregated + Tracing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deploy/xpu/disagg_tracing_xpu_dra.yaml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Disaggregated + Planner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deploy/xpu/disagg_planner_xpu_dra.yaml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Disaggregated + KV Router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deploy/xpu/disagg_router_xpu_dra.yaml</w:t>
            </w:r>
          </w:p>
        </w:tc>
      </w:tr>
    </w:tbl>
    <w:p>
      <w:pPr>
        <w:pStyle w:val="BodyText"/>
      </w:pPr>
      <w:r>
        <w:t xml:space="preserve">Plus, outside this specific directory: Global Planner (</w:t>
      </w:r>
      <w:r>
        <w:rPr>
          <w:rStyle w:val="VerbatimChar"/>
        </w:rPr>
        <w:t xml:space="preserve">examples/global_planner/</w:t>
      </w:r>
      <w:r>
        <w:t xml:space="preserve">) and the</w:t>
      </w:r>
      <w:r>
        <w:t xml:space="preserve"> </w:t>
      </w:r>
      <w:r>
        <w:t xml:space="preserve">heterogeneous Qwen3-VL Intel XPU + NVIDIA GPU recipe (</w:t>
      </w:r>
      <w:r>
        <w:rPr>
          <w:rStyle w:val="VerbatimChar"/>
        </w:rPr>
        <w:t xml:space="preserve">recipes/qwen3-vl-32b-fp8/</w:t>
      </w:r>
      <w:r>
        <w:t xml:space="preserve">) — see</w:t>
      </w:r>
      <w:r>
        <w:t xml:space="preserve"> </w:t>
      </w:r>
      <w:r>
        <w:rPr>
          <w:rStyle w:val="VerbatimChar"/>
        </w:rPr>
        <w:t xml:space="preserve">whitepaper/dynamo/09-global-planner.md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10-recipe-qwen3-vl-hetero-xpu-gpu.md</w:t>
      </w:r>
      <w:r>
        <w:t xml:space="preserve">.</w:t>
      </w:r>
    </w:p>
    <w:bookmarkEnd w:id="20"/>
    <w:bookmarkStart w:id="23" w:name="X4e1136685d78cc6cb587b86916a8f013962eec5"/>
    <w:p>
      <w:pPr>
        <w:pStyle w:val="Heading2"/>
      </w:pPr>
      <w:r>
        <w:t xml:space="preserve">❌ Not supported — no</w:t>
      </w:r>
      <w:r>
        <w:t xml:space="preserve"> </w:t>
      </w:r>
      <w:r>
        <w:rPr>
          <w:rStyle w:val="VerbatimChar"/>
        </w:rPr>
        <w:t xml:space="preserve">deploy/xpu/</w:t>
      </w:r>
      <w:r>
        <w:t xml:space="preserve"> </w:t>
      </w:r>
      <w:r>
        <w:t xml:space="preserve">Kubernetes template exists for any of these</w:t>
      </w:r>
    </w:p>
    <w:p>
      <w:pPr>
        <w:pStyle w:val="FirstParagraph"/>
      </w:pPr>
      <w:r>
        <w:t xml:space="preserve">None of the 16 cases below have a Kubernetes XPU template today. None are blocked by DRA itself —</w:t>
      </w:r>
      <w:r>
        <w:t xml:space="preserve"> </w:t>
      </w:r>
      <w:r>
        <w:t xml:space="preserve">Intel already has its own DRA driver (</w:t>
      </w:r>
      <w:r>
        <w:rPr>
          <w:rStyle w:val="VerbatimChar"/>
        </w:rPr>
        <w:t xml:space="preserve">gpu.intel.com</w:t>
      </w:r>
      <w:r>
        <w:t xml:space="preserve">), used by all 8 supported XPU templates.</w:t>
      </w:r>
      <w:r>
        <w:t xml:space="preserve"> </w:t>
      </w:r>
      <w:r>
        <w:t xml:space="preserve">They split into two groups by</w:t>
      </w:r>
      <w:r>
        <w:t xml:space="preserve"> </w:t>
      </w:r>
      <w:r>
        <w:rPr>
          <w:iCs/>
          <w:i/>
        </w:rPr>
        <w:t xml:space="preserve">why</w:t>
      </w:r>
      <w:r>
        <w:t xml:space="preserve">.</w:t>
      </w:r>
    </w:p>
    <w:bookmarkStart w:id="21" w:name="group-a-in-progress-not-a-vendor-lock-in"/>
    <w:p>
      <w:pPr>
        <w:pStyle w:val="Heading3"/>
      </w:pPr>
      <w:r>
        <w:t xml:space="preserve">Group A — in progress, not a vendor lock-in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not supported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agg_failover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 the GMS (GPU Memory Service) sidecar. GMS’s own design doc (</w:t>
            </w:r>
            <w:r>
              <w:rPr>
                <w:rStyle w:val="VerbatimChar"/>
              </w:rPr>
              <w:t xml:space="preserve">lib/gpu_memory_service/GMS_MULTI_DEVICE.md</w:t>
            </w:r>
            <w:r>
              <w:t xml:space="preserve">) shows CUDA support done and an Intel XPU backend (</w:t>
            </w:r>
            <w:r>
              <w:rPr>
                <w:rStyle w:val="VerbatimChar"/>
              </w:rPr>
              <w:t xml:space="preserve">XpuVMM</w:t>
            </w:r>
            <w:r>
              <w:t xml:space="preserve">) planned as</w:t>
            </w:r>
            <w:r>
              <w:t xml:space="preserve"> </w:t>
            </w:r>
            <w:r>
              <w:t xml:space="preserve">“</w:t>
            </w:r>
            <w:r>
              <w:t xml:space="preserve">Phase 2,</w:t>
            </w:r>
            <w:r>
              <w:t xml:space="preserve">”</w:t>
            </w:r>
            <w:r>
              <w:t xml:space="preserve"> </w:t>
            </w:r>
            <w:r>
              <w:t xml:space="preserve">just not implemented yet. Not a hardware lock-in, just unfinished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agg_gms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root cause as</w:t>
            </w:r>
            <w:r>
              <w:t xml:space="preserve"> </w:t>
            </w:r>
            <w:r>
              <w:rPr>
                <w:rStyle w:val="VerbatimChar"/>
              </w:rPr>
              <w:t xml:space="preserve">agg_failover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gms-failover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root cause, inter-pod failover variant</w:t>
            </w:r>
          </w:p>
        </w:tc>
      </w:tr>
    </w:tbl>
    <w:bookmarkEnd w:id="21"/>
    <w:bookmarkStart w:id="22" w:name="X42efc15b213d3421dba1790e5d40a34a00807f3"/>
    <w:p>
      <w:pPr>
        <w:pStyle w:val="Heading3"/>
      </w:pPr>
      <w:r>
        <w:t xml:space="preserve">Group B — no hardware blocker found; simply not yet built (real gap, worth closing)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not supported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agg_kvbm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 XPU support for KVBM is real, active work — not yet merged. Two open GitHub PRs (#7946, #10520, both unmerged as of this writing) add SYCL/Level-Zero KVBM XPU support, tracked by DEP issue #9313 (</w:t>
            </w:r>
            <w:r>
              <w:t xml:space="preserve">“</w:t>
            </w:r>
            <w:r>
              <w:t xml:space="preserve">kvbm-v2 xpu-sycl enablement</w:t>
            </w:r>
            <w:r>
              <w:t xml:space="preserve">”</w:t>
            </w:r>
            <w:r>
              <w:t xml:space="preserve">), still in design-discussion stage. Once merged, this K8s template gap should close quickly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disagg_kvbm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KVBM caveat as above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disagg_kvbm_2p2d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KVBM caveat as above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disagg_kvbm_tp2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KVBM caveat as above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disagg-multinode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the same NIXL prefill/decode split already proven working on Intel XPU single-node (</w:t>
            </w:r>
            <w:r>
              <w:rPr>
                <w:rStyle w:val="VerbatimChar"/>
              </w:rPr>
              <w:t xml:space="preserve">deploy/xpu/disagg_xpu_dra.yaml</w:t>
            </w:r>
            <w:r>
              <w:t xml:space="preserve">) — just spread across nodes. No hardware-specific field found; nobody has built the multi-node XPU variant yet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agg_lora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K8s XPU template exists,</w:t>
            </w:r>
            <w:r>
              <w:t xml:space="preserve"> </w:t>
            </w:r>
            <w:r>
              <w:rPr>
                <w:bCs/>
                <w:b/>
              </w:rPr>
              <w:t xml:space="preserve">but</w:t>
            </w:r>
            <w:r>
              <w:t xml:space="preserve"> </w:t>
            </w:r>
            <w:r>
              <w:t xml:space="preserve">the equivalent bash launch script already runs on Intel XPU (</w:t>
            </w:r>
            <w:r>
              <w:rPr>
                <w:rStyle w:val="VerbatimChar"/>
              </w:rPr>
              <w:t xml:space="preserve">examples/backends/vllm/launch/lora/xpu/agg_lora_xpu.sh</w:t>
            </w:r>
            <w:r>
              <w:t xml:space="preserve">) — strong evidence this is a pure templating gap, not a hardware limitation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agg_qwen_lora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reasoning as</w:t>
            </w:r>
            <w:r>
              <w:t xml:space="preserve"> </w:t>
            </w:r>
            <w:r>
              <w:rPr>
                <w:rStyle w:val="VerbatimChar"/>
              </w:rPr>
              <w:t xml:space="preserve">agg_lora</w:t>
            </w:r>
            <w:r>
              <w:t xml:space="preserve"> </w:t>
            </w:r>
            <w:r>
              <w:t xml:space="preserve">(multimodal LoRA variant) — no XPU-specific dependency identified, just not templated for K8s yet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lora-model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</w:t>
            </w:r>
            <w:r>
              <w:t xml:space="preserve"> </w:t>
            </w:r>
            <w:r>
              <w:rPr>
                <w:rStyle w:val="VerbatimChar"/>
              </w:rPr>
              <w:t xml:space="preserve">DynamoModel</w:t>
            </w:r>
            <w:r>
              <w:t xml:space="preserve"> </w:t>
            </w:r>
            <w:r>
              <w:t xml:space="preserve">CRD for registering a LoRA adapter — hardware-agnostic manifest, no accelerator-specific field; simply hasn’t been paired with an XPU deployment 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minio-secret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Kubernetes</w:t>
            </w:r>
            <w:r>
              <w:t xml:space="preserve"> </w:t>
            </w:r>
            <w:r>
              <w:rPr>
                <w:rStyle w:val="VerbatimChar"/>
              </w:rPr>
              <w:t xml:space="preserve">Secret</w:t>
            </w:r>
            <w:r>
              <w:t xml:space="preserve"> </w:t>
            </w:r>
            <w:r>
              <w:t xml:space="preserve">for MinIO credentials — hardware-agnostic, works identically regardless of accelerator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sync-lora-job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Kubernetes</w:t>
            </w:r>
            <w:r>
              <w:t xml:space="preserve"> </w:t>
            </w:r>
            <w:r>
              <w:rPr>
                <w:rStyle w:val="VerbatimChar"/>
              </w:rPr>
              <w:t xml:space="preserve">Job</w:t>
            </w:r>
            <w:r>
              <w:t xml:space="preserve"> </w:t>
            </w:r>
            <w:r>
              <w:t xml:space="preserve">that downloads/uploads adapter weights — hardware-agnostic, no GPU/accelerator step in the job itself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gaie/agg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 API Inference Extension (EPP/InferencePool) integration — this routing-layer pattern is already proven hardware-agnostic elsewhere; no XPU-specific field found, just not built for this integration point yet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gaie/disagg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reasoning as</w:t>
            </w:r>
            <w:r>
              <w:t xml:space="preserve"> </w:t>
            </w:r>
            <w:r>
              <w:rPr>
                <w:rStyle w:val="VerbatimChar"/>
              </w:rPr>
              <w:t xml:space="preserve">gaie/agg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gaie/http-route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Kubernetes Gateway API</w:t>
            </w:r>
            <w:r>
              <w:t xml:space="preserve"> </w:t>
            </w:r>
            <w:r>
              <w:rPr>
                <w:rStyle w:val="VerbatimChar"/>
              </w:rPr>
              <w:t xml:space="preserve">HTTPRoute</w:t>
            </w:r>
            <w:r>
              <w:t xml:space="preserve"> </w:t>
            </w:r>
            <w:r>
              <w:t xml:space="preserve">manifest — contains no hardware reference at all; trivially reusable with any backend</w:t>
            </w:r>
          </w:p>
        </w:tc>
      </w:tr>
    </w:tbl>
    <w:bookmarkEnd w:id="22"/>
    <w:bookmarkEnd w:id="23"/>
    <w:bookmarkStart w:id="24" w:name="summary"/>
    <w:p>
      <w:pPr>
        <w:pStyle w:val="Heading2"/>
      </w:pPr>
      <w:r>
        <w:t xml:space="preserve">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 Already supported (real</w:t>
            </w:r>
            <w:r>
              <w:t xml:space="preserve"> </w:t>
            </w:r>
            <w:r>
              <w:rPr>
                <w:rStyle w:val="VerbatimChar"/>
              </w:rPr>
              <w:t xml:space="preserve">deploy/xpu/</w:t>
            </w:r>
            <w:r>
              <w:t xml:space="preserve"> </w:t>
            </w:r>
            <w:r>
              <w:t xml:space="preserve">template exists)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❌ Not supported — in progress (GMS/</w:t>
            </w:r>
            <w:r>
              <w:rPr>
                <w:rStyle w:val="VerbatimChar"/>
              </w:rPr>
              <w:t xml:space="preserve">XpuVMM</w:t>
            </w:r>
            <w:r>
              <w:t xml:space="preserve">, planned but not yet built)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</w:t>
            </w:r>
            <w:r>
              <w:rPr>
                <w:rStyle w:val="VerbatimChar"/>
              </w:rPr>
              <w:t xml:space="preserve">agg_failover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agg_gms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gms-failover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❌ Not supported — no blocker found, just not built yet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</w:tbl>
    <w:bookmarkEnd w:id="24"/>
    <w:bookmarkStart w:id="25" w:name="X3101787b104de7fd67441e42548508752392010"/>
    <w:p>
      <w:pPr>
        <w:pStyle w:val="Heading2"/>
      </w:pPr>
      <w:r>
        <w:t xml:space="preserve">Additional gap found on review:</w:t>
      </w:r>
      <w:r>
        <w:t xml:space="preserve"> </w:t>
      </w:r>
      <w:r>
        <w:rPr>
          <w:rStyle w:val="VerbatimChar"/>
        </w:rPr>
        <w:t xml:space="preserve">v1beta1</w:t>
      </w:r>
      <w:r>
        <w:t xml:space="preserve"> </w:t>
      </w:r>
      <w:r>
        <w:t xml:space="preserve">CRD migration is incomplete for Intel XPU</w:t>
      </w:r>
    </w:p>
    <w:p>
      <w:pPr>
        <w:pStyle w:val="FirstParagraph"/>
      </w:pPr>
      <w:r>
        <w:t xml:space="preserve">The repo is mid-migration from the</w:t>
      </w:r>
      <w:r>
        <w:t xml:space="preserve"> </w:t>
      </w:r>
      <w:r>
        <w:rPr>
          <w:rStyle w:val="VerbatimChar"/>
        </w:rPr>
        <w:t xml:space="preserve">nvidia.com/v1alpha1</w:t>
      </w:r>
      <w:r>
        <w:t xml:space="preserve"> </w:t>
      </w:r>
      <w:r>
        <w:t xml:space="preserve">CRD schema (</w:t>
      </w:r>
      <w:r>
        <w:rPr>
          <w:rStyle w:val="VerbatimChar"/>
        </w:rPr>
        <w:t xml:space="preserve">services:</w:t>
      </w:r>
      <w:r>
        <w:t xml:space="preserve"> </w:t>
      </w:r>
      <w:r>
        <w:t xml:space="preserve">map) to</w:t>
      </w:r>
      <w:r>
        <w:t xml:space="preserve"> </w:t>
      </w:r>
      <w:r>
        <w:rPr>
          <w:rStyle w:val="VerbatimChar"/>
        </w:rPr>
        <w:t xml:space="preserve">nvidia.com/v1beta1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components:</w:t>
      </w:r>
      <w:r>
        <w:t xml:space="preserve"> </w:t>
      </w:r>
      <w:r>
        <w:t xml:space="preserve">list — a real structural change, not just a version bump).</w:t>
      </w:r>
      <w:r>
        <w:t xml:space="preserve"> </w:t>
      </w:r>
      <w:r>
        <w:rPr>
          <w:rStyle w:val="VerbatimChar"/>
        </w:rPr>
        <w:t xml:space="preserve">deploy/README.md</w:t>
      </w:r>
      <w:r>
        <w:t xml:space="preserve"> </w:t>
      </w:r>
      <w:r>
        <w:t xml:space="preserve">states plainly:</w:t>
      </w:r>
      <w:r>
        <w:t xml:space="preserve"> </w:t>
      </w:r>
      <w:r>
        <w:t xml:space="preserve">“</w:t>
      </w:r>
      <w:r>
        <w:t xml:space="preserve">Equivalent</w:t>
      </w:r>
      <w:r>
        <w:t xml:space="preserve"> </w:t>
      </w:r>
      <w:r>
        <w:rPr>
          <w:rStyle w:val="VerbatimChar"/>
        </w:rPr>
        <w:t xml:space="preserve">nvidia.com/v1beta1</w:t>
      </w:r>
      <w:r>
        <w:t xml:space="preserve"> </w:t>
      </w:r>
      <w:r>
        <w:t xml:space="preserve">templates are available under</w:t>
      </w:r>
      <w:r>
        <w:t xml:space="preserve"> </w:t>
      </w:r>
      <w:r>
        <w:rPr>
          <w:rStyle w:val="VerbatimChar"/>
        </w:rPr>
        <w:t xml:space="preserve">v1beta1/</w:t>
      </w:r>
      <w:r>
        <w:t xml:space="preserve">”</w:t>
      </w:r>
      <w:r>
        <w:t xml:space="preserve"> </w:t>
      </w:r>
      <w:r>
        <w:t xml:space="preserve">— implying full parity.</w:t>
      </w:r>
      <w:r>
        <w:t xml:space="preserve"> </w:t>
      </w:r>
      <w:r>
        <w:rPr>
          <w:bCs/>
          <w:b/>
        </w:rPr>
        <w:t xml:space="preserve">For Intel XPU specifically, this is not true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API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XPU templates 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v1alpha1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deploy/xpu/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8 (agg, agg_tracing, agg_router, agg_router_kv_approx, disagg, disagg_tracing, disagg_planner, disagg_router)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v1beta1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deploy/v1beta1/xpu/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2 (</w:t>
            </w:r>
            <w:r>
              <w:rPr>
                <w:rStyle w:val="VerbatimChar"/>
              </w:rPr>
              <w:t xml:space="preserve">agg_xpu_dra.yaml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disagg_xpu_dra.yaml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The other 6 Intel XPU templates have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been ported to the newer</w:t>
      </w:r>
      <w:r>
        <w:t xml:space="preserve"> </w:t>
      </w:r>
      <w:r>
        <w:rPr>
          <w:rStyle w:val="VerbatimChar"/>
        </w:rPr>
        <w:t xml:space="preserve">v1beta1</w:t>
      </w:r>
      <w:r>
        <w:t xml:space="preserve"> </w:t>
      </w:r>
      <w:r>
        <w:t xml:space="preserve">schema yet. This</w:t>
      </w:r>
      <w:r>
        <w:t xml:space="preserve"> </w:t>
      </w:r>
      <w:r>
        <w:t xml:space="preserve">whitepaper’s Chapter 1 (</w:t>
      </w:r>
      <w:r>
        <w:rPr>
          <w:rStyle w:val="VerbatimChar"/>
        </w:rPr>
        <w:t xml:space="preserve">whitepaper/dynamo/01-aggregated.md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08-disaggregated-kv-router.md</w:t>
      </w:r>
      <w:r>
        <w:t xml:space="preserve">)</w:t>
      </w:r>
      <w:r>
        <w:t xml:space="preserve"> </w:t>
      </w:r>
      <w:r>
        <w:t xml:space="preserve">documents the</w:t>
      </w:r>
      <w:r>
        <w:t xml:space="preserve"> </w:t>
      </w:r>
      <w:r>
        <w:rPr>
          <w:rStyle w:val="VerbatimChar"/>
        </w:rPr>
        <w:t xml:space="preserve">v1alpha1</w:t>
      </w:r>
      <w:r>
        <w:t xml:space="preserve"> </w:t>
      </w:r>
      <w:r>
        <w:t xml:space="preserve">versions (matching what the repo actually ships for all 8 patterns) and</w:t>
      </w:r>
      <w:r>
        <w:t xml:space="preserve"> </w:t>
      </w:r>
      <w:r>
        <w:t xml:space="preserve">did not previously call out this schema-migration gap — worth a short note there so readers on</w:t>
      </w:r>
      <w:r>
        <w:t xml:space="preserve"> </w:t>
      </w:r>
      <w:r>
        <w:t xml:space="preserve">newer Dynamo Platform versions know</w:t>
      </w:r>
      <w:r>
        <w:t xml:space="preserve"> </w:t>
      </w:r>
      <w:r>
        <w:rPr>
          <w:rStyle w:val="VerbatimChar"/>
        </w:rPr>
        <w:t xml:space="preserve">v1beta1</w:t>
      </w:r>
      <w:r>
        <w:t xml:space="preserve"> </w:t>
      </w:r>
      <w:r>
        <w:t xml:space="preserve">XPU coverage is currently partial.</w:t>
      </w:r>
    </w:p>
    <w:p>
      <w:pPr>
        <w:pStyle w:val="BodyText"/>
      </w:pPr>
      <w:r>
        <w:t xml:space="preserve">Also noted in passing:</w:t>
      </w:r>
      <w:r>
        <w:t xml:space="preserve"> </w:t>
      </w:r>
      <w:r>
        <w:rPr>
          <w:rStyle w:val="VerbatimChar"/>
        </w:rPr>
        <w:t xml:space="preserve">lora/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lora/multimodal/</w:t>
      </w:r>
      <w:r>
        <w:t xml:space="preserve"> </w:t>
      </w:r>
      <w:r>
        <w:t xml:space="preserve">each ship their own separate</w:t>
      </w:r>
      <w:r>
        <w:t xml:space="preserve"> </w:t>
      </w:r>
      <w:r>
        <w:rPr>
          <w:rStyle w:val="VerbatimChar"/>
        </w:rPr>
        <w:t xml:space="preserve">minio-secret.yaml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sync-lora-job.yaml</w:t>
      </w:r>
      <w:r>
        <w:t xml:space="preserve"> </w:t>
      </w:r>
      <w:r>
        <w:t xml:space="preserve">(not shared) — both still fall under the same</w:t>
      </w:r>
      <w:r>
        <w:t xml:space="preserve"> </w:t>
      </w:r>
      <w:r>
        <w:t xml:space="preserve">“</w:t>
      </w:r>
      <w:r>
        <w:t xml:space="preserve">hardware-agnostic, just not paired with an XPU example</w:t>
      </w:r>
      <w:r>
        <w:t xml:space="preserve">”</w:t>
      </w:r>
      <w:r>
        <w:t xml:space="preserve"> </w:t>
      </w:r>
      <w:r>
        <w:t xml:space="preserve">reasoning as the single rows already</w:t>
      </w:r>
      <w:r>
        <w:t xml:space="preserve"> </w:t>
      </w:r>
      <w:r>
        <w:t xml:space="preserve">listed above, so this doesn’t change the Group B classification, just the file count.</w:t>
      </w:r>
    </w:p>
    <w:bookmarkEnd w:id="25"/>
    <w:bookmarkStart w:id="26" w:name="follow-up"/>
    <w:p>
      <w:pPr>
        <w:pStyle w:val="Heading2"/>
      </w:pPr>
      <w:r>
        <w:t xml:space="preserve">Follow-up</w:t>
      </w:r>
    </w:p>
    <w:p>
      <w:pPr>
        <w:pStyle w:val="FirstParagraph"/>
      </w:pPr>
      <w:r>
        <w:t xml:space="preserve">The 13</w:t>
      </w:r>
      <w:r>
        <w:t xml:space="preserve"> </w:t>
      </w:r>
      <w:r>
        <w:t xml:space="preserve">“</w:t>
      </w:r>
      <w:r>
        <w:t xml:space="preserve">Group B</w:t>
      </w:r>
      <w:r>
        <w:t xml:space="preserve">”</w:t>
      </w:r>
      <w:r>
        <w:t xml:space="preserve"> </w:t>
      </w:r>
      <w:r>
        <w:t xml:space="preserve">cases are the actionable backlog: building and validating any of them on real</w:t>
      </w:r>
      <w:r>
        <w:t xml:space="preserve"> </w:t>
      </w:r>
      <w:r>
        <w:t xml:space="preserve">Intel XPU hardware, then contributing a</w:t>
      </w:r>
      <w:r>
        <w:t xml:space="preserve"> </w:t>
      </w:r>
      <w:r>
        <w:rPr>
          <w:rStyle w:val="VerbatimChar"/>
        </w:rPr>
        <w:t xml:space="preserve">deploy/xpu/</w:t>
      </w:r>
      <w:r>
        <w:t xml:space="preserve"> </w:t>
      </w:r>
      <w:r>
        <w:t xml:space="preserve">template upstream, would close a real gap.</w:t>
      </w:r>
      <w:r>
        <w:t xml:space="preserve"> </w:t>
      </w:r>
      <w:r>
        <w:t xml:space="preserve">The LoRA cases (</w:t>
      </w:r>
      <w:r>
        <w:rPr>
          <w:rStyle w:val="VerbatimChar"/>
        </w:rPr>
        <w:t xml:space="preserve">agg_lora</w:t>
      </w:r>
      <w:r>
        <w:t xml:space="preserve">,</w:t>
      </w:r>
      <w:r>
        <w:t xml:space="preserve"> </w:t>
      </w:r>
      <w:r>
        <w:rPr>
          <w:rStyle w:val="VerbatimChar"/>
        </w:rPr>
        <w:t xml:space="preserve">agg_qwen_lora</w:t>
      </w:r>
      <w:r>
        <w:t xml:space="preserve">) are the lowest-risk starting point since the</w:t>
      </w:r>
      <w:r>
        <w:t xml:space="preserve"> </w:t>
      </w:r>
      <w:r>
        <w:t xml:space="preserve">underlying capability is already proven working on Intel XPU via the bash launch-script path.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2026-07-20T02:12:55Z</dcterms:created>
  <dcterms:modified xsi:type="dcterms:W3CDTF">2026-07-20T02:12:55Z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