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20" w:name="why-the-old-wiki-bkm-no-longer-applies"/>
    <w:p>
      <w:pPr>
        <w:pStyle w:val="Heading2"/>
      </w:pPr>
      <w:r>
        <w:t xml:space="preserve">Why the old wiki BKM no longer applies</w:t>
      </w:r>
    </w:p>
    <w:p>
      <w:pPr>
        <w:pStyle w:val="FirstParagraph"/>
      </w:pPr>
      <w:r>
        <w:t xml:space="preserve">llm-d went through an architecture change that directly affects how this whitepaper is written.</w:t>
      </w:r>
      <w:r>
        <w:t xml:space="preserve"> </w:t>
      </w:r>
      <w:r>
        <w:t xml:space="preserve">The table below lists the key differences so readers understand why the old wiki content</w:t>
      </w:r>
      <w:r>
        <w:t xml:space="preserve"> </w:t>
      </w:r>
      <w:r>
        <w:t xml:space="preserve">(and the reference document this project started from) is out of date: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Old approach (wiki BKM / earlier reference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approach (main branch)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One-shot</w:t>
            </w:r>
            <w:r>
              <w:t xml:space="preserve"> </w:t>
            </w:r>
            <w:r>
              <w:rPr>
                <w:rStyle w:val="VerbatimChar"/>
              </w:rPr>
              <w:t xml:space="preserve">helmfile apply -e xpu</w:t>
            </w:r>
            <w:r>
              <w:t xml:space="preserve"> </w:t>
            </w:r>
            <w:r>
              <w:t xml:space="preserve">deploying</w:t>
            </w:r>
            <w:r>
              <w:t xml:space="preserve"> </w:t>
            </w:r>
            <w:r>
              <w:rPr>
                <w:rStyle w:val="VerbatimChar"/>
              </w:rPr>
              <w:t xml:space="preserve">infra-pd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gaie-pd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ms-pd</w:t>
            </w:r>
            <w:r>
              <w:t xml:space="preserve"> </w:t>
            </w:r>
            <w:r>
              <w:t xml:space="preserve">charts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</w:t>
            </w:r>
            <w:r>
              <w:t xml:space="preserve"> </w:t>
            </w:r>
            <w:r>
              <w:rPr>
                <w:rStyle w:val="VerbatimChar"/>
              </w:rPr>
              <w:t xml:space="preserve">helm install</w:t>
            </w:r>
            <w:r>
              <w:t xml:space="preserve"> </w:t>
            </w:r>
            <w:r>
              <w:t xml:space="preserve">(Router) +</w:t>
            </w:r>
            <w:r>
              <w:t xml:space="preserve"> </w:t>
            </w:r>
            <w:r>
              <w:rPr>
                <w:rStyle w:val="VerbatimChar"/>
              </w:rPr>
              <w:t xml:space="preserve">kubectl apply -k</w:t>
            </w:r>
            <w:r>
              <w:t xml:space="preserve"> </w:t>
            </w:r>
            <w:r>
              <w:t xml:space="preserve">(Kustomize model-server overlay) 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Gateway/CRD prerequisites under</w:t>
            </w:r>
            <w:r>
              <w:t xml:space="preserve"> </w:t>
            </w:r>
            <w:r>
              <w:rPr>
                <w:rStyle w:val="VerbatimChar"/>
              </w:rPr>
              <w:t xml:space="preserve">guides/prereq/gateway-provider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to</w:t>
            </w:r>
            <w:r>
              <w:t xml:space="preserve"> </w:t>
            </w:r>
            <w:r>
              <w:rPr>
                <w:rStyle w:val="VerbatimChar"/>
              </w:rPr>
              <w:t xml:space="preserve">docs/infrastructure/gateway/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declared via</w:t>
            </w:r>
            <w:r>
              <w:t xml:space="preserve"> </w:t>
            </w:r>
            <w:r>
              <w:rPr>
                <w:rStyle w:val="VerbatimChar"/>
              </w:rPr>
              <w:t xml:space="preserve">resources.limits."gpu.intel.com/xe"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via Kubernetes</w:t>
            </w:r>
            <w:r>
              <w:t xml:space="preserve"> </w:t>
            </w:r>
            <w:r>
              <w:rPr>
                <w:bCs/>
                <w:b/>
              </w:rPr>
              <w:t xml:space="preserve">DRA</w:t>
            </w:r>
            <w:r>
              <w:t xml:space="preserve"> </w:t>
            </w:r>
            <w:r>
              <w:rPr>
                <w:rStyle w:val="VerbatimChar"/>
              </w:rPr>
              <w:t xml:space="preserve">ResourceClaimTemplate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deviceClassName: gpu.intel.com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single, guide-specific</w:t>
            </w:r>
            <w:r>
              <w:t xml:space="preserve"> </w:t>
            </w:r>
            <w:r>
              <w:rPr>
                <w:rStyle w:val="VerbatimChar"/>
              </w:rPr>
              <w:t xml:space="preserve">values_xpu.yaml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Kustomize overlay directory per guide (</w:t>
            </w:r>
            <w:r>
              <w:rPr>
                <w:rStyle w:val="VerbatimChar"/>
              </w:rPr>
              <w:t xml:space="preserve">modelserver/xpu/vllm/</w:t>
            </w:r>
            <w:r>
              <w:t xml:space="preserve">) with</w:t>
            </w:r>
            <w:r>
              <w:t xml:space="preserve"> </w:t>
            </w:r>
            <w:r>
              <w:rPr>
                <w:rStyle w:val="VerbatimChar"/>
              </w:rPr>
              <w:t xml:space="preserve">patch-vllm.yaml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patch-decode.yaml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patch-prefill.yaml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resource-claim-template(s).yaml</w:t>
            </w:r>
          </w:p>
        </w:tc>
      </w:tr>
    </w:tbl>
    <w:p>
      <w:pPr>
        <w:pStyle w:val="BodyText"/>
      </w:pPr>
      <w:r>
        <w:rPr>
          <w:bCs/>
          <w:b/>
        </w:rPr>
        <w:t xml:space="preserve">Bottom line:</w:t>
      </w:r>
      <w:r>
        <w:t xml:space="preserve"> </w:t>
      </w:r>
      <w:r>
        <w:t xml:space="preserve">any old BKM referencing</w:t>
      </w:r>
      <w:r>
        <w:t xml:space="preserve"> </w:t>
      </w:r>
      <w:r>
        <w:rPr>
          <w:rStyle w:val="VerbatimChar"/>
        </w:rPr>
        <w:t xml:space="preserve">helmfile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values_xpu.yaml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gpu.intel.com/i915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gpu.intel.com/xe</w:t>
      </w:r>
      <w:r>
        <w:t xml:space="preserve"> </w:t>
      </w:r>
      <w:r>
        <w:t xml:space="preserve">resource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is obsolete. This whitepaper is</w:t>
      </w:r>
      <w:r>
        <w:t xml:space="preserve"> </w:t>
      </w:r>
      <w:r>
        <w:t xml:space="preserve">written entirely from the current state of the repository.</w:t>
      </w:r>
    </w:p>
    <w:p>
      <w:r>
        <w:pict>
          <v:rect style="width:0;height:1.5pt" o:hralign="center" o:hrstd="t" o:hr="t"/>
        </w:pict>
      </w:r>
    </w:p>
    <w:bookmarkEnd w:id="20"/>
    <w:bookmarkStart w:id="42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icons: ✅ verified working / 🚧 documented from official sources but not yet run hands-on /</w:t>
      </w:r>
      <w:r>
        <w:t xml:space="preserve"> </w:t>
      </w:r>
      <w:r>
        <w:t xml:space="preserve">📝 outline only, full deployment steps not yet written / ➖ not applicable (no Intel XPU backend exists upstream)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(deployment configs verified to exist in-repo)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 ✅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 ✅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 ✅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 ✅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 ✅</w:t>
      </w:r>
    </w:p>
    <w:p>
      <w:pPr>
        <w:numPr>
          <w:ilvl w:val="1"/>
          <w:numId w:val="1002"/>
        </w:numPr>
        <w:pStyle w:val="Compact"/>
      </w:pPr>
      <w:hyperlink r:id="rId27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 ✅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 — 🚧 fully written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1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  <w:r>
        <w:t xml:space="preserve"> </w:t>
      </w:r>
      <w:r>
        <w:t xml:space="preserve">— 🚧 fully written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3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  <w:r>
        <w:t xml:space="preserve"> </w:t>
      </w:r>
      <w:r>
        <w:t xml:space="preserve">— 🚧 fully written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5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6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🚧 (NVIDIA-only upstream; this chapter documents the exact Intel XPU substitution)</w:t>
      </w:r>
    </w:p>
    <w:p>
      <w:pPr>
        <w:numPr>
          <w:ilvl w:val="1"/>
          <w:numId w:val="1006"/>
        </w:numPr>
        <w:pStyle w:val="Compact"/>
      </w:pPr>
      <w:hyperlink r:id="rId37">
        <w:r>
          <w:rPr>
            <w:rStyle w:val="Hyperlink"/>
          </w:rPr>
          <w:t xml:space="preserve">16-encode-disaggregation.md</w:t>
        </w:r>
      </w:hyperlink>
      <w:r>
        <w:t xml:space="preserve"> </w:t>
      </w:r>
      <w:r>
        <w:t xml:space="preserve">— 5.2 Encode Disaggregation (Multimodal) ➖ (confirmed no Intel XPU backend exists)</w:t>
      </w:r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9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numPr>
          <w:ilvl w:val="0"/>
          <w:numId w:val="1001"/>
        </w:numPr>
        <w:pStyle w:val="Compact"/>
      </w:pPr>
      <w:hyperlink r:id="rId40">
        <w:r>
          <w:rPr>
            <w:rStyle w:val="Hyperlink"/>
          </w:rPr>
          <w:t xml:space="preserve">tracking.md</w:t>
        </w:r>
      </w:hyperlink>
      <w:r>
        <w:t xml:space="preserve"> </w:t>
      </w:r>
      <w:r>
        <w:t xml:space="preserve">— Appendix C. Case Verification Status (live tracker)</w:t>
      </w:r>
    </w:p>
    <w:bookmarkStart w:id="41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1, and are the only cases with complete,</w:t>
      </w:r>
      <w:r>
        <w:t xml:space="preserve"> </w:t>
      </w:r>
      <w:r>
        <w:t xml:space="preserve">fully-written deployment chapters today.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own. All nine now have fully-written deployment chapters (Chapters 2–5, 🚧).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 specific, with the Intel XPU</w:t>
      </w:r>
      <w:r>
        <w:t xml:space="preserve"> </w:t>
      </w:r>
      <w:r>
        <w:t xml:space="preserve">substitution spelled out in full in its chapter — it is not a maintained, first-class Intel XPU</w:t>
      </w:r>
      <w:r>
        <w:t xml:space="preserve"> </w:t>
      </w:r>
      <w:r>
        <w:t xml:space="preserve">path upstream, but the chapter is complete.</w:t>
      </w:r>
      <w:r>
        <w:t xml:space="preserve"> </w:t>
      </w:r>
      <w:r>
        <w:rPr>
          <w:rStyle w:val="VerbatimChar"/>
        </w:rPr>
        <w:t xml:space="preserve">encode-disaggregation</w:t>
      </w:r>
      <w:r>
        <w:t xml:space="preserve"> </w:t>
      </w:r>
      <w:r>
        <w:t xml:space="preserve">(also discovered via this</w:t>
      </w:r>
      <w:r>
        <w:t xml:space="preserve"> </w:t>
      </w:r>
      <w:r>
        <w:t xml:space="preserve">search, under</w:t>
      </w:r>
      <w:r>
        <w:t xml:space="preserve"> </w:t>
      </w:r>
      <w:r>
        <w:rPr>
          <w:rStyle w:val="VerbatimChar"/>
        </w:rPr>
        <w:t xml:space="preserve">multimodal-serving/e-disaggregation/</w:t>
      </w:r>
      <w:r>
        <w:t xml:space="preserve">)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Intel XPU backend at all —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 — so it is documented as ➖ not applicable</w:t>
      </w:r>
      <w:r>
        <w:t xml:space="preserve"> </w:t>
      </w:r>
      <w:r>
        <w:t xml:space="preserve">rather than given deployment steps. All case-by-case detail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41"/>
    <w:bookmarkEnd w:id="42"/>
    <w:bookmarkEnd w:id="43"/>
    <w:bookmarkStart w:id="50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5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recommended) with nodes exposing Intel Data Center GPU Max series or</w:t>
      </w:r>
      <w:r>
        <w:t xml:space="preserve"> </w:t>
      </w:r>
      <w:r>
        <w:t xml:space="preserve">Intel Arc Pro GPUs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device plugin / DRA driver</w:t>
      </w:r>
      <w:r>
        <w:t xml:space="preserve"> </w:t>
      </w:r>
      <w:r>
        <w:t xml:space="preserve">installed, so that</w:t>
      </w:r>
      <w:r>
        <w:t xml:space="preserve"> </w:t>
      </w:r>
      <w:r>
        <w:rPr>
          <w:rStyle w:val="VerbatimChar"/>
        </w:rPr>
        <w:t xml:space="preserve">kubectl get resourceclasses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4">
        <w:r>
          <w:rPr>
            <w:rStyle w:val="VerbatimChar"/>
          </w:rPr>
          <w:t xml:space="preserve">helpers/client-setup/README.md</w:t>
        </w:r>
      </w:hyperlink>
    </w:p>
    <w:bookmarkEnd w:id="45"/>
    <w:bookmarkStart w:id="46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6"/>
    <w:bookmarkStart w:id="47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guides/prereq/gateway-provider</w:t>
      </w:r>
      <w:r>
        <w:t xml:space="preserve"> </w:t>
      </w:r>
      <w:r>
        <w:t xml:space="preserve">directory has been removed. CRD installation is now a</w:t>
      </w:r>
      <w:r>
        <w:t xml:space="preserve"> </w:t>
      </w:r>
      <w:r>
        <w:t xml:space="preserve">single command; Gateway Provider installation (Istio / GKE / 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7"/>
    <w:bookmarkStart w:id="48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48"/>
    <w:bookmarkStart w:id="49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9" w:name="optimized-baseline"/>
    <w:p>
      <w:pPr>
        <w:pStyle w:val="Heading1"/>
      </w:pPr>
      <w:r>
        <w:t xml:space="preserve">1.1 Optimized Baseline ✅</w:t>
      </w:r>
    </w:p>
    <w:bookmarkStart w:id="5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1"/>
    <w:bookmarkStart w:id="52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2"/>
    <w:bookmarkStart w:id="53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3"/>
    <w:bookmarkStart w:id="54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4"/>
    <w:bookmarkStart w:id="55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5"/>
    <w:bookmarkStart w:id="56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6"/>
    <w:bookmarkStart w:id="57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7"/>
    <w:bookmarkStart w:id="58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9" w:name="pd-disaggregation"/>
    <w:p>
      <w:pPr>
        <w:pStyle w:val="Heading1"/>
      </w:pPr>
      <w:r>
        <w:t xml:space="preserve">1.2 P/D Disaggregation ✅</w:t>
      </w:r>
    </w:p>
    <w:bookmarkStart w:id="60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60"/>
    <w:bookmarkStart w:id="61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1"/>
    <w:bookmarkStart w:id="62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2"/>
    <w:bookmarkStart w:id="63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3"/>
    <w:bookmarkStart w:id="64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4"/>
    <w:bookmarkStart w:id="66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6"/>
    <w:bookmarkStart w:id="67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7"/>
    <w:bookmarkStart w:id="68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8" w:name="precise-prefix-cache-routing"/>
    <w:p>
      <w:pPr>
        <w:pStyle w:val="Heading1"/>
      </w:pPr>
      <w:r>
        <w:t xml:space="preserve">1.3 Precise Prefix Cache Routing ✅</w:t>
      </w:r>
    </w:p>
    <w:bookmarkStart w:id="70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70"/>
    <w:bookmarkStart w:id="71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1"/>
    <w:bookmarkStart w:id="72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2"/>
    <w:bookmarkStart w:id="73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3"/>
    <w:bookmarkStart w:id="74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4"/>
    <w:bookmarkStart w:id="75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5"/>
    <w:bookmarkStart w:id="76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6"/>
    <w:bookmarkStart w:id="77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87" w:name="tiered-prefix-cache"/>
    <w:p>
      <w:pPr>
        <w:pStyle w:val="Heading1"/>
      </w:pPr>
      <w:r>
        <w:t xml:space="preserve">1.4 Tiered Prefix Cache ✅</w:t>
      </w:r>
    </w:p>
    <w:bookmarkStart w:id="79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79"/>
    <w:bookmarkStart w:id="80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80"/>
    <w:bookmarkStart w:id="81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1"/>
    <w:bookmarkStart w:id="82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2"/>
    <w:bookmarkStart w:id="83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3"/>
    <w:bookmarkStart w:id="84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4"/>
    <w:bookmarkStart w:id="85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5"/>
    <w:bookmarkStart w:id="86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End w:id="87"/>
    <w:bookmarkStart w:id="97" w:name="wide-expert-parallelism"/>
    <w:p>
      <w:pPr>
        <w:pStyle w:val="Heading1"/>
      </w:pPr>
      <w:r>
        <w:t xml:space="preserve">1.5 Wide Expert Parallelism ✅</w:t>
      </w:r>
    </w:p>
    <w:bookmarkStart w:id="88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88"/>
    <w:bookmarkStart w:id="90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plus:</w:t>
      </w:r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Hyperlink"/>
          </w:rPr>
          <w:t xml:space="preserve">Intel Resource Drivers for Kubernetes</w:t>
        </w:r>
      </w:hyperlink>
      <w:r>
        <w:t xml:space="preserve"> </w:t>
      </w:r>
      <w:r>
        <w:t xml:space="preserve">installed, with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verified available</w:t>
      </w:r>
    </w:p>
    <w:bookmarkEnd w:id="90"/>
    <w:bookmarkStart w:id="91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1"/>
    <w:bookmarkStart w:id="92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2"/>
    <w:bookmarkStart w:id="93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3"/>
    <w:bookmarkStart w:id="94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4"/>
    <w:bookmarkStart w:id="95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5"/>
    <w:bookmarkStart w:id="96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End w:id="97"/>
    <w:bookmarkStart w:id="106" w:name="multimodal-serving-aggregated"/>
    <w:p>
      <w:pPr>
        <w:pStyle w:val="Heading1"/>
      </w:pPr>
      <w:r>
        <w:t xml:space="preserve">1.6 Multimodal Serving (Aggregated) ✅</w:t>
      </w:r>
    </w:p>
    <w:bookmarkStart w:id="98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98"/>
    <w:bookmarkStart w:id="99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99"/>
    <w:bookmarkStart w:id="100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100"/>
    <w:bookmarkStart w:id="101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1"/>
    <w:bookmarkStart w:id="102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2"/>
    <w:bookmarkStart w:id="103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3"/>
    <w:bookmarkStart w:id="104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4"/>
    <w:bookmarkStart w:id="105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15" w:name="flow-control"/>
    <w:p>
      <w:pPr>
        <w:pStyle w:val="Heading1"/>
      </w:pPr>
      <w:r>
        <w:t xml:space="preserve">2.1 Flow Control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same steps apply on Intel XPU as any other accelerator.</w:t>
      </w:r>
    </w:p>
    <w:bookmarkStart w:id="107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7"/>
    <w:bookmarkStart w:id="108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08"/>
    <w:bookmarkStart w:id="109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2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09"/>
    <w:bookmarkStart w:id="110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10"/>
    <w:bookmarkStart w:id="111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1"/>
    <w:bookmarkStart w:id="112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2"/>
    <w:bookmarkStart w:id="113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3"/>
    <w:bookmarkStart w:id="114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4"/>
    <w:bookmarkEnd w:id="115"/>
    <w:bookmarkStart w:id="124" w:name="predicted-latency-based-routing"/>
    <w:p>
      <w:pPr>
        <w:pStyle w:val="Heading1"/>
      </w:pPr>
      <w:r>
        <w:t xml:space="preserve">2.2 Predicted Latency-Based Routing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at</w:t>
      </w:r>
      <w:r>
        <w:t xml:space="preserve"> </w:t>
      </w:r>
      <w:r>
        <w:t xml:space="preserve">the routing layer; the GPU/TPU-specific model-server paths shown upstream do not include an</w:t>
      </w:r>
      <w:r>
        <w:t xml:space="preserve"> </w:t>
      </w:r>
      <w:r>
        <w:t xml:space="preserve">Intel XPU variant of their own — Intel XPU deployers reuse the Optimized Baseline overlay exactly</w:t>
      </w:r>
      <w:r>
        <w:t xml:space="preserve"> </w:t>
      </w:r>
      <w:r>
        <w:t xml:space="preserve">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bookmarkStart w:id="116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6"/>
    <w:bookmarkStart w:id="117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7"/>
    <w:bookmarkStart w:id="118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18"/>
    <w:bookmarkStart w:id="119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19"/>
    <w:bookmarkStart w:id="120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20"/>
    <w:bookmarkStart w:id="121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1"/>
    <w:bookmarkStart w:id="122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2"/>
    <w:bookmarkStart w:id="123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3"/>
    <w:bookmarkEnd w:id="124"/>
    <w:bookmarkStart w:id="134" w:name="workload-autoscaling"/>
    <w:p>
      <w:pPr>
        <w:pStyle w:val="Heading1"/>
      </w:pPr>
      <w:r>
        <w:t xml:space="preserve">2.3 Workload Autoscaling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scales whatever model-server Deployment you already run (including the Intel XPU Optimized</w:t>
      </w:r>
      <w:r>
        <w:t xml:space="preserve"> </w:t>
      </w:r>
      <w:r>
        <w:t xml:space="preserve">Baseline overlay); no accelerator-specific autoscaling logic exists.</w:t>
      </w:r>
    </w:p>
    <w:bookmarkStart w:id="125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Both paths require KEDA is the recommended metrics adapter (Prometheus Adapter is deprecated).</w:t>
      </w:r>
    </w:p>
    <w:bookmarkEnd w:id="125"/>
    <w:bookmarkStart w:id="127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6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7"/>
    <w:bookmarkStart w:id="128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28"/>
    <w:bookmarkStart w:id="129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29"/>
    <w:bookmarkStart w:id="130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2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30"/>
    <w:bookmarkStart w:id="131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1"/>
    <w:bookmarkStart w:id="132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2"/>
    <w:bookmarkStart w:id="133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3"/>
    <w:bookmarkEnd w:id="134"/>
    <w:bookmarkStart w:id="146" w:name="rollouts"/>
    <w:p>
      <w:pPr>
        <w:pStyle w:val="Heading1"/>
      </w:pPr>
      <w:r>
        <w:t xml:space="preserve">2.4 Rollouts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directly useful for migrating an existing NVIDIA deployment to Intel XPU (or vice versa) with</w:t>
      </w:r>
      <w:r>
        <w:t xml:space="preserve"> </w:t>
      </w:r>
      <w:r>
        <w:t xml:space="preserve">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as of this writing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</w:t>
      </w:r>
      <w:r>
        <w:t xml:space="preserve"> </w:t>
      </w:r>
      <w:r>
        <w:t xml:space="preserve">documentation reorganization (</w:t>
      </w:r>
      <w:r>
        <w:t xml:space="preserve">“</w:t>
      </w:r>
      <w:r>
        <w:t xml:space="preserve">Reorganize part 2: create two new pillars, operations and</w:t>
      </w:r>
      <w:r>
        <w:t xml:space="preserve"> </w:t>
      </w:r>
      <w:r>
        <w:t xml:space="preserve">infrastructure</w:t>
      </w:r>
      <w:r>
        <w:t xml:space="preserve">”</w:t>
      </w:r>
      <w:r>
        <w:t xml:space="preserve">). This is exactly the kind of stale-path issue that made the original wiki BKM</w:t>
      </w:r>
      <w:r>
        <w:t xml:space="preserve"> </w:t>
      </w:r>
      <w:r>
        <w:t xml:space="preserve">obsolete (see the whitepaper’s opening scope note) — always verify a guide’s current path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/</w:t>
      </w:r>
      <w:r>
        <w:rPr>
          <w:rStyle w:val="VerbatimChar"/>
        </w:rPr>
        <w:t xml:space="preserve">find</w:t>
      </w:r>
      <w:r>
        <w:t xml:space="preserve"> </w:t>
      </w:r>
      <w:r>
        <w:t xml:space="preserve">before trusting a README link. This chapter is written against the</w:t>
      </w:r>
      <w:r>
        <w:t xml:space="preserve"> </w:t>
      </w:r>
      <w:r>
        <w:t xml:space="preserve">current path.</w:t>
      </w:r>
    </w:p>
    <w:bookmarkStart w:id="135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5"/>
    <w:bookmarkStart w:id="136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6"/>
    <w:bookmarkStart w:id="140" w:name="deployment-steps-8"/>
    <w:p>
      <w:pPr>
        <w:pStyle w:val="Heading2"/>
      </w:pPr>
      <w:r>
        <w:t xml:space="preserve">Deployment Steps</w:t>
      </w:r>
    </w:p>
    <w:bookmarkStart w:id="137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7"/>
    <w:bookmarkStart w:id="138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38"/>
    <w:bookmarkStart w:id="139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39"/>
    <w:bookmarkEnd w:id="140"/>
    <w:bookmarkStart w:id="141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1"/>
    <w:bookmarkStart w:id="142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2"/>
    <w:bookmarkStart w:id="143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3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3"/>
    <w:bookmarkStart w:id="144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4"/>
    <w:bookmarkStart w:id="145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5"/>
    <w:bookmarkEnd w:id="146"/>
    <w:bookmarkStart w:id="155" w:name="agentic-serving"/>
    <w:p>
      <w:pPr>
        <w:pStyle w:val="Heading1"/>
      </w:pPr>
      <w:r>
        <w:t xml:space="preserve">3.1 Agentic Serving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This is a</w:t>
      </w:r>
      <w:r>
        <w:t xml:space="preserve"> </w:t>
      </w:r>
      <w:r>
        <w:rPr>
          <w:bCs/>
          <w:b/>
        </w:rPr>
        <w:t xml:space="preserve">workload</w:t>
      </w:r>
      <w:r>
        <w:rPr>
          <w:bCs/>
          <w:b/>
        </w:rPr>
        <w:t xml:space="preserve"> </w:t>
      </w:r>
      <w:r>
        <w:rPr>
          <w:bCs/>
          <w:b/>
        </w:rPr>
        <w:t xml:space="preserve">composition guide</w:t>
      </w:r>
      <w:r>
        <w:t xml:space="preserve">, not a standalone deployable overlay — its two ready-made hardware-specific</w:t>
      </w:r>
      <w:r>
        <w:t xml:space="preserve"> </w:t>
      </w:r>
      <w:r>
        <w:t xml:space="preserve">deployments (NVIDIA H200, Google TPU v7) do not include an Intel XPU variant; Intel XPU users</w:t>
      </w:r>
      <w:r>
        <w:t xml:space="preserve"> </w:t>
      </w:r>
      <w:r>
        <w:t xml:space="preserve">compose the same building blocks manually as described below.</w:t>
      </w:r>
    </w:p>
    <w:bookmarkStart w:id="147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7"/>
    <w:bookmarkStart w:id="148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48"/>
    <w:bookmarkStart w:id="149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49"/>
    <w:bookmarkStart w:id="150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50"/>
    <w:bookmarkStart w:id="151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1"/>
    <w:bookmarkStart w:id="152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4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2"/>
    <w:bookmarkStart w:id="153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3"/>
    <w:bookmarkStart w:id="154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4"/>
    <w:bookmarkEnd w:id="155"/>
    <w:bookmarkStart w:id="165" w:name="multi-model-routing"/>
    <w:p>
      <w:pPr>
        <w:pStyle w:val="Heading1"/>
      </w:pPr>
      <w:r>
        <w:t xml:space="preserve">3.2 Multi-Model Routing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the Inference Payload Processor (IPP) and HTTPRoute-based routing operate purely at the Gateway</w:t>
      </w:r>
      <w:r>
        <w:t xml:space="preserve"> </w:t>
      </w:r>
      <w:r>
        <w:t xml:space="preserve">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 deployment.</w:t>
      </w:r>
    </w:p>
    <w:bookmarkStart w:id="156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6"/>
    <w:bookmarkStart w:id="157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7"/>
    <w:bookmarkStart w:id="158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use --set provider.name=gke on GKE, or omit provider.name for standalone (no Gateway)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58"/>
    <w:bookmarkStart w:id="159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59"/>
    <w:bookmarkStart w:id="161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60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60"/>
    <w:bookmarkEnd w:id="161"/>
    <w:bookmarkStart w:id="162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2"/>
    <w:bookmarkStart w:id="163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3"/>
    <w:bookmarkStart w:id="164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4"/>
    <w:bookmarkEnd w:id="165"/>
    <w:bookmarkStart w:id="175" w:name="asynchronous-processing"/>
    <w:p>
      <w:pPr>
        <w:pStyle w:val="Heading1"/>
      </w:pPr>
      <w:r>
        <w:t xml:space="preserve">4.1 Asynchronous Processing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the Async Processor dispatches to whatever llm-d Router endpoint you give it; the backing model</w:t>
      </w:r>
      <w:r>
        <w:t xml:space="preserve"> </w:t>
      </w:r>
      <w:r>
        <w:t xml:space="preserve">server can be any Optimized Baseline overlay, including Intel XPU.</w:t>
      </w:r>
    </w:p>
    <w:bookmarkStart w:id="167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hyperlink r:id="rId166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7"/>
    <w:bookmarkStart w:id="168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t xml:space="preserve">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68"/>
    <w:bookmarkStart w:id="169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69"/>
    <w:bookmarkStart w:id="170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70"/>
    <w:bookmarkStart w:id="171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1"/>
    <w:bookmarkStart w:id="172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2"/>
    <w:bookmarkStart w:id="173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3"/>
    <w:bookmarkStart w:id="174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4"/>
    <w:bookmarkEnd w:id="175"/>
    <w:bookmarkStart w:id="187" w:name="batch-gateway"/>
    <w:p>
      <w:pPr>
        <w:pStyle w:val="Heading1"/>
      </w:pPr>
      <w:r>
        <w:t xml:space="preserve">4.2 Batch Gateway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Batch Gateway dispatches to an existing llm-d Router endpoint; the backing model server can be</w:t>
      </w:r>
      <w:r>
        <w:t xml:space="preserve"> </w:t>
      </w:r>
      <w:r>
        <w:t xml:space="preserve">any Optimized Baseline overlay, including Intel XPU.</w:t>
      </w:r>
    </w:p>
    <w:bookmarkStart w:id="177" w:name="overview-13"/>
    <w:p>
      <w:pPr>
        <w:pStyle w:val="Heading2"/>
      </w:pPr>
      <w:r>
        <w:t xml:space="preserve">Overview</w:t>
      </w:r>
    </w:p>
    <w:p>
      <w:pPr>
        <w:pStyle w:val="FirstParagraph"/>
      </w:pPr>
      <w:hyperlink r:id="rId176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7"/>
    <w:bookmarkStart w:id="178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78"/>
    <w:bookmarkStart w:id="180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79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80"/>
    <w:bookmarkStart w:id="181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bookmarkEnd w:id="181"/>
    <w:bookmarkStart w:id="182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2"/>
    <w:bookmarkStart w:id="184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3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4"/>
    <w:bookmarkStart w:id="185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5"/>
    <w:bookmarkStart w:id="186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6"/>
    <w:bookmarkEnd w:id="187"/>
    <w:bookmarkStart w:id="197" w:name="no-kubernetes-deployment"/>
    <w:p>
      <w:pPr>
        <w:pStyle w:val="Heading1"/>
      </w:pPr>
      <w:r>
        <w:t xml:space="preserve">5.1 No-Kubernetes Deployment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</w:t>
      </w:r>
      <w:r>
        <w:t xml:space="preserve"> </w:t>
      </w:r>
      <w:r>
        <w:rPr>
          <w:bCs/>
          <w:b/>
        </w:rPr>
        <w:t xml:space="preserve">This guide targets</w:t>
      </w:r>
      <w:r>
        <w:rPr>
          <w:bCs/>
          <w:b/>
        </w:rPr>
        <w:t xml:space="preserve"> </w:t>
      </w:r>
      <w:r>
        <w:rPr>
          <w:bCs/>
          <w:b/>
        </w:rPr>
        <w:t xml:space="preserve">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</w:t>
      </w:r>
      <w:r>
        <w:t xml:space="preserve"> </w:t>
      </w:r>
      <w:r>
        <w:t xml:space="preserve">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 first-class Intel XPU</w:t>
      </w:r>
      <w:r>
        <w:t xml:space="preserve"> </w:t>
      </w:r>
      <w:r>
        <w:t xml:space="preserve">path today; Intel XPU is explicitly left to the reader as a manual substitution. This chapter</w:t>
      </w:r>
      <w:r>
        <w:t xml:space="preserve"> </w:t>
      </w:r>
      <w:r>
        <w:t xml:space="preserve">documents the guide as-is and explains exactly what to substitute for Intel XPU, rather than</w:t>
      </w:r>
      <w:r>
        <w:t xml:space="preserve"> </w:t>
      </w:r>
      <w:r>
        <w:t xml:space="preserve">presenting an untested Intel XPU procedure as if it were upstream-supported.</w:t>
      </w:r>
    </w:p>
    <w:bookmarkStart w:id="188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88"/>
    <w:bookmarkStart w:id="189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89"/>
    <w:bookmarkStart w:id="190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90"/>
    <w:bookmarkStart w:id="191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1"/>
    <w:bookmarkStart w:id="192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2"/>
    <w:bookmarkStart w:id="193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3"/>
    <w:bookmarkStart w:id="194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4"/>
    <w:bookmarkStart w:id="195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5"/>
    <w:bookmarkStart w:id="196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6"/>
    <w:bookmarkEnd w:id="197"/>
    <w:bookmarkStart w:id="202" w:name="encode-disaggregation-multimodal"/>
    <w:p>
      <w:pPr>
        <w:pStyle w:val="Heading1"/>
      </w:pPr>
      <w:r>
        <w:t xml:space="preserve">5.2 Encode Disaggregation (Multimodal) ➖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➖ not applicable — confirmed</w:t>
      </w:r>
      <w:r>
        <w:t xml:space="preserve"> </w:t>
      </w:r>
      <w:r>
        <w:rPr>
          <w:bCs/>
          <w:b/>
        </w:rPr>
        <w:t xml:space="preserve">no Intel XPU backend exists</w:t>
      </w:r>
      <w:r>
        <w:t xml:space="preserve"> </w:t>
      </w:r>
      <w:r>
        <w:t xml:space="preserve">for this guide.</w:t>
      </w:r>
    </w:p>
    <w:bookmarkStart w:id="198" w:name="overview-15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is an experimental guide deploying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encode disaggregation</w:t>
      </w:r>
      <w:r>
        <w:t xml:space="preserve">: offloading the multimodal encoding</w:t>
      </w:r>
      <w:r>
        <w:t xml:space="preserve"> </w:t>
      </w:r>
      <w:r>
        <w:t xml:space="preserve">stage (converting raw images/video/audio into embeddings) to dedicated Encode workers, consumed by</w:t>
      </w:r>
      <w:r>
        <w:t xml:space="preserve"> </w:t>
      </w:r>
      <w:r>
        <w:t xml:space="preserve">prefill/decode workers alongside text tokens. Two topologies are supported:</w:t>
      </w:r>
      <w:r>
        <w:t xml:space="preserve"> </w:t>
      </w:r>
      <w:r>
        <w:rPr>
          <w:bCs/>
          <w:b/>
        </w:rPr>
        <w:t xml:space="preserve">E/PD</w:t>
      </w:r>
      <w:r>
        <w:t xml:space="preserve"> </w:t>
      </w:r>
      <w:r>
        <w:t xml:space="preserve">(Encode</w:t>
      </w:r>
      <w:r>
        <w:t xml:space="preserve"> </w:t>
      </w:r>
      <w:r>
        <w:t xml:space="preserve">separated from combined Prefill+Decode) and</w:t>
      </w:r>
      <w:r>
        <w:t xml:space="preserve"> </w:t>
      </w:r>
      <w:r>
        <w:rPr>
          <w:bCs/>
          <w:b/>
        </w:rPr>
        <w:t xml:space="preserve">E/P/D</w:t>
      </w:r>
      <w:r>
        <w:t xml:space="preserve"> </w:t>
      </w:r>
      <w:r>
        <w:t xml:space="preserve">(full three-stage pipeline). Source:</w:t>
      </w:r>
      <w:r>
        <w:t xml:space="preserve"> </w:t>
      </w:r>
      <w:r>
        <w:rPr>
          <w:rStyle w:val="VerbatimChar"/>
        </w:rPr>
        <w:t xml:space="preserve">guides/multimodal-serving/e-disaggregation/README.md</w:t>
      </w:r>
      <w:r>
        <w:t xml:space="preserve">.</w:t>
      </w:r>
    </w:p>
    <w:p>
      <w:pPr>
        <w:pStyle w:val="BodyText"/>
      </w:pPr>
      <w:r>
        <w:t xml:space="preserve">This is distinct from the</w:t>
      </w:r>
      <w:r>
        <w:t xml:space="preserve"> </w:t>
      </w:r>
      <w:r>
        <w:rPr>
          <w:bCs/>
          <w:b/>
        </w:rPr>
        <w:t xml:space="preserve">Multimodal Serving (Aggregated)</w:t>
      </w:r>
      <w:r>
        <w:t xml:space="preserve"> </w:t>
      </w:r>
      <w:r>
        <w:t xml:space="preserve">case already covered in</w:t>
      </w:r>
      <w:r>
        <w:t xml:space="preserve"> </w:t>
      </w:r>
      <w:hyperlink r:id="rId27">
        <w:r>
          <w:rPr>
            <w:rStyle w:val="Hyperlink"/>
          </w:rPr>
          <w:t xml:space="preserve">Chapter 1.6</w:t>
        </w:r>
      </w:hyperlink>
      <w:r>
        <w:t xml:space="preserve">, which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have a dedicated Intel XPU overlay. Encode</w:t>
      </w:r>
      <w:r>
        <w:t xml:space="preserve"> </w:t>
      </w:r>
      <w:r>
        <w:t xml:space="preserve">Disaggregation is the more advanced, encode-stage-separated sibling of that guide.</w:t>
      </w:r>
    </w:p>
    <w:bookmarkEnd w:id="198"/>
    <w:bookmarkStart w:id="199" w:name="Xb9be454ac1ef17536917dfddec4b873cbf2b204"/>
    <w:p>
      <w:pPr>
        <w:pStyle w:val="Heading2"/>
      </w:pPr>
      <w:r>
        <w:t xml:space="preserve">Why this chapter is empty of deployment steps</w:t>
      </w:r>
    </w:p>
    <w:p>
      <w:pPr>
        <w:pStyle w:val="FirstParagraph"/>
      </w:pPr>
      <w:r>
        <w:t xml:space="preserve">The guide’s own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exactly one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(vLLM)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modelserver/gpu/vllm/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with encode disaggregation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(or any other non-NVIDIA) entry. Unlike the router-layer/composite</w:t>
      </w:r>
      <w:r>
        <w:t xml:space="preserve"> </w:t>
      </w:r>
      <w:r>
        <w:t xml:space="preserve">guides in Chapters 2–3 (which are hardware-agnostic and simply reuse whichever model-server</w:t>
      </w:r>
      <w:r>
        <w:t xml:space="preserve"> </w:t>
      </w:r>
      <w:r>
        <w:t xml:space="preserve">overlay you deploy), Encode Disaggregation’s model-server manifests themselves are NVIDIA-specific</w:t>
      </w:r>
      <w:r>
        <w:t xml:space="preserve"> </w:t>
      </w:r>
      <w:r>
        <w:t xml:space="preserve">and there is no accelerator-agnostic substitution path documented upstream, unlike</w:t>
      </w:r>
      <w:r>
        <w:t xml:space="preserve"> </w:t>
      </w:r>
      <w:hyperlink r:id="rId36">
        <w:r>
          <w:rPr>
            <w:rStyle w:val="Hyperlink"/>
          </w:rPr>
          <w:t xml:space="preserve">No-Kubernetes Deployment</w:t>
        </w:r>
      </w:hyperlink>
      <w:r>
        <w:t xml:space="preserve"> </w:t>
      </w:r>
      <w:r>
        <w:t xml:space="preserve">where the substitution is</w:t>
      </w:r>
      <w:r>
        <w:t xml:space="preserve"> </w:t>
      </w:r>
      <w:r>
        <w:t xml:space="preserve">straightforward. Writing speculative Intel XPU steps here would not be traceable to any real</w:t>
      </w:r>
      <w:r>
        <w:t xml:space="preserve"> </w:t>
      </w:r>
      <w:r>
        <w:t xml:space="preserve">repository content, so this chapter intentionally stops at the scope note.</w:t>
      </w:r>
    </w:p>
    <w:bookmarkEnd w:id="199"/>
    <w:bookmarkStart w:id="200" w:name="if-intel-xpu-support-is-added-upstream"/>
    <w:p>
      <w:pPr>
        <w:pStyle w:val="Heading2"/>
      </w:pPr>
      <w:r>
        <w:t xml:space="preserve">If Intel XPU support is added upstream</w:t>
      </w:r>
    </w:p>
    <w:p>
      <w:pPr>
        <w:pStyle w:val="FirstParagraph"/>
      </w:pPr>
      <w:r>
        <w:t xml:space="preserve">Follow the same chapter template as</w:t>
      </w:r>
      <w:r>
        <w:t xml:space="preserve"> </w:t>
      </w:r>
      <w:hyperlink r:id="rId27">
        <w:r>
          <w:rPr>
            <w:rStyle w:val="Hyperlink"/>
          </w:rPr>
          <w:t xml:space="preserve">Chapter 1.6</w:t>
        </w:r>
      </w:hyperlink>
      <w:r>
        <w:t xml:space="preserve"> </w:t>
      </w:r>
      <w:r>
        <w:t xml:space="preserve">once a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appears for this guide — 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for updates, and update this chapter’s status from ➖ to 🚧/✅ accordingly.</w:t>
      </w:r>
    </w:p>
    <w:bookmarkEnd w:id="200"/>
    <w:bookmarkStart w:id="201" w:name="config-reference-9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E/PD (2 encode + 8× TP2 combined prefill/decode), E/P/D (2 encode + 2× TP4 prefill + 2× TP4 decode)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➖ not applicable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Related, Intel-XPU-supported case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Multimodal Serving (Aggregated)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simpler topology, has a real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 </w:t>
            </w:r>
            <w:r>
              <w:t xml:space="preserve">overlay</w:t>
            </w:r>
          </w:p>
        </w:tc>
      </w:tr>
    </w:tbl>
    <w:bookmarkEnd w:id="201"/>
    <w:bookmarkEnd w:id="202"/>
    <w:bookmarkStart w:id="203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3"/>
    <w:bookmarkStart w:id="204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5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4"/>
    <w:bookmarkStart w:id="208" w:name="X51b233df273d9358a807fde31db2ad6c9a908c0"/>
    <w:p>
      <w:pPr>
        <w:pStyle w:val="Heading1"/>
      </w:pPr>
      <w:r>
        <w:t xml:space="preserve">llm-d Whitepaper — Case Verification Status Tracker</w:t>
      </w:r>
    </w:p>
    <w:p>
      <w:pPr>
        <w:pStyle w:val="FirstParagraph"/>
      </w:pPr>
      <w:r>
        <w:t xml:space="preserve">Status legend: ✅ verified working / 🚧 documented from official sources, not yet run hands-on /</w:t>
      </w:r>
      <w:r>
        <w:t xml:space="preserve"> </w:t>
      </w:r>
      <w:r>
        <w:t xml:space="preserve">📝 outline only / ⛔ blocked / ➖ not applicable (no dedicated Intel XPU path exists)</w:t>
      </w:r>
    </w:p>
    <w:bookmarkStart w:id="205" w:name="X321957547fa81b7359b053838dedddee7118ec3"/>
    <w:p>
      <w:pPr>
        <w:pStyle w:val="Heading2"/>
      </w:pPr>
      <w:r>
        <w:t xml:space="preserve">Chapter 1 — Guides with a real Intel XPU Kustomize overlay in-repo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installation (k8s + GAIE CRD + Router)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docs/infrastructure/gateway/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Rewritten against current docs; pending hands-on validation on a real Intel XPU 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guides/optimized-baseline</w:t>
            </w:r>
            <w:r>
              <w:t xml:space="preserve"> </w:t>
            </w:r>
            <w:r>
              <w:t xml:space="preserve">(xpu: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Has a dedicated Intel XPU E2E CI workflow upstream — highest-confidence case to validate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P/D Disaggregation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guides/pd-disaggregation</w:t>
            </w:r>
            <w:r>
              <w:t xml:space="preserve"> </w:t>
            </w:r>
            <w:r>
              <w:t xml:space="preserve">(xpu: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First deep-dive case, rewritten from current repo, pending hands-on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Precise Prefix Cache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guides/precise-prefix-cache-routing</w:t>
            </w:r>
            <w:r>
              <w:t xml:space="preserve"> </w:t>
            </w:r>
            <w:r>
              <w:t xml:space="preserve">(xpu: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Rewritten from current repo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Tiered Prefix Cache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guides/tiered-prefix-cache</w:t>
            </w:r>
            <w:r>
              <w:t xml:space="preserve"> </w:t>
            </w:r>
            <w:r>
              <w:t xml:space="preserve">(xpu: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modelserver/xpu/vllm/base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.../lmcache-connector/cpu/base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privileged: true</w:t>
            </w:r>
            <w:r>
              <w:t xml:space="preserve"> </w:t>
            </w:r>
            <w:r>
              <w:t xml:space="preserve">— check cluster PSA policy before validating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guides/wide-ep-lws</w:t>
            </w:r>
            <w:r>
              <w:t xml:space="preserve"> </w:t>
            </w:r>
            <w:r>
              <w:t xml:space="preserve">(xpu: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Validated Intel XPU shape documented upstream (DeepSeek-V2-Lite-Chat, 4 XPUs)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Multimodal Serving (Aggregated)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guides/multimodal-serving/aggregation</w:t>
            </w:r>
            <w:r>
              <w:t xml:space="preserve"> </w:t>
            </w:r>
            <w:r>
              <w:t xml:space="preserve">(xpu: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Targets Intel Arc Pro B60</w:t>
            </w:r>
          </w:p>
        </w:tc>
      </w:tr>
    </w:tbl>
    <w:bookmarkEnd w:id="205"/>
    <w:bookmarkStart w:id="206" w:name="X7f1a6d3c20f31d4afd0970f1b498fc593a79b9f"/>
    <w:p>
      <w:pPr>
        <w:pStyle w:val="Heading2"/>
      </w:pPr>
      <w:r>
        <w:t xml:space="preserve">Chapter 2-5 — Router-layer / composite features (accelerator-agnostic, no dedicated XPU overlay)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guides/flow-control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Fully written; reuses Optimized Baseline Intel XPU overlay via</w:t>
            </w:r>
            <w:r>
              <w:t xml:space="preserve"> </w:t>
            </w:r>
            <w:r>
              <w:rPr>
                <w:rStyle w:val="VerbatimChar"/>
              </w:rPr>
              <w:t xml:space="preserve">sed</w:t>
            </w:r>
            <w:r>
              <w:t xml:space="preserve"> </w:t>
            </w:r>
            <w:r>
              <w:t xml:space="preserve">relabeling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Latency-Based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guides/predicted-latency-routing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Fully written; reuses Optimized Baseline overlay directly, no relabeling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Autoscaling (4 sub-modes)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guides/workload-autoscaling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Fully written;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README.hpa-epp.md</w:t>
            </w:r>
            <w:r>
              <w:t xml:space="preserve"> </w:t>
            </w:r>
            <w:r>
              <w:t xml:space="preserve">KEDA+EPP path detailed with real commands, WVA path referenced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docs/operations/rollouts</w:t>
            </w:r>
            <w:r>
              <w:t xml:space="preserve"> </w:t>
            </w:r>
            <w:r>
              <w:t xml:space="preserve">(moved from</w:t>
            </w:r>
            <w:r>
              <w:t xml:space="preserve"> </w:t>
            </w:r>
            <w:r>
              <w:rPr>
                <w:rStyle w:val="VerbatimChar"/>
              </w:rPr>
              <w:t xml:space="preserve">guides/rollouts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Fully written; includes Blue-Green Update example reframed as Intel XPU node/accelerator migration; flags the stale-path repo reorg as a real-world example of the BKM-drift problem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Agentic Serving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guides/agentic-serving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Fully written; no ready-made upstream Intel XPU deployment (H200/TPU only) — chapter shows manual composition of Chapter 1 building blocks, explicitly caveated as not 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Multi-Model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guides/multi-model-routing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Fully written; IPP + HTTPRoute header-based routing, includes LoRA adapter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guides/asynchronous-processing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Fully written; Async Processor via GCP Pub/Sub or Redis, dispatches to any Optimized Baseline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Gateway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guides/batch-gateway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Fully written; OpenAI-compatible Batch API, full JSONL upload/submit/monitor/download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No-Kubernetes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guides/no-kubernetes-deployment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Fully written; explicitly NVIDIA + vLLM specific upstream, chapter documents the exact Intel XPU substitution (image,</w:t>
            </w:r>
            <w:r>
              <w:t xml:space="preserve"> </w:t>
            </w:r>
            <w:r>
              <w:rPr>
                <w:rStyle w:val="VerbatimChar"/>
              </w:rPr>
              <w:t xml:space="preserve">--device=/dev/dri</w:t>
            </w:r>
            <w:r>
              <w:t xml:space="preserve">, XCCL) rather than presenting it as a maintained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 Disaggregation (Multimodal)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guides/multimodal-serving/e-disaggregation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➖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Newly discovered guide;</w:t>
            </w:r>
            <w:r>
              <w:t xml:space="preserve"> </w:t>
            </w:r>
            <w:r>
              <w:t xml:space="preserve">“</w:t>
            </w:r>
            <w:r>
              <w:t xml:space="preserve">Supported Hardware Backends</w:t>
            </w:r>
            <w:r>
              <w:t xml:space="preserve">”</w:t>
            </w:r>
            <w:r>
              <w:t xml:space="preserve"> </w:t>
            </w:r>
            <w:r>
              <w:t xml:space="preserve">table lists NVIDIA GPU (vLLM) only, no Intel XPU entry — documented as 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 (verl integration)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verl-integration.md</w:t>
            </w:r>
            <w:r>
              <w:t xml:space="preserve"> </w:t>
            </w:r>
            <w:r>
              <w:t xml:space="preserve">has zero hardware-specific references (no CUDA/NVIDIA/XPU mentions); overrides verl’s routing via the llm-d scheduler over</w:t>
            </w:r>
            <w:r>
              <w:t xml:space="preserve"> </w:t>
            </w:r>
            <w:r>
              <w:t xml:space="preserve">“</w:t>
            </w:r>
            <w:r>
              <w:t xml:space="preserve">vLLM/SGLang actors on Ray</w:t>
            </w:r>
            <w:r>
              <w:t xml:space="preserve">”</w:t>
            </w:r>
            <w:r>
              <w:t xml:space="preserve"> </w:t>
            </w:r>
            <w:r>
              <w:t xml:space="preserve">— same pattern as Flow Control / Multi-Model Routing, both confirmed hardware-agnostic. Feasible-but-untemplated for Intel XPU, not yet written as a full chapter</w:t>
            </w:r>
          </w:p>
        </w:tc>
      </w:tr>
    </w:tbl>
    <w:bookmarkEnd w:id="206"/>
    <w:bookmarkStart w:id="207" w:name="recommended-next-steps"/>
    <w:p>
      <w:pPr>
        <w:pStyle w:val="Heading2"/>
      </w:pPr>
      <w:r>
        <w:t xml:space="preserve">Recommended next steps</w:t>
      </w:r>
    </w:p>
    <w:p>
      <w:pPr>
        <w:numPr>
          <w:ilvl w:val="0"/>
          <w:numId w:val="1036"/>
        </w:numPr>
        <w:pStyle w:val="Compact"/>
      </w:pPr>
      <w:r>
        <w:t xml:space="preserve">Validate Chapter 1 cases on a real Intel XPU cluster, starting with</w:t>
      </w:r>
      <w:r>
        <w:t xml:space="preserve"> </w:t>
      </w:r>
      <w:r>
        <w:rPr>
          <w:bCs/>
          <w:b/>
        </w:rPr>
        <w:t xml:space="preserve">Optimized Baseline</w:t>
      </w:r>
      <w:r>
        <w:t xml:space="preserve"> </w:t>
      </w:r>
      <w:r>
        <w:t xml:space="preserve">(has upstream CI coverage) and</w:t>
      </w:r>
      <w:r>
        <w:t xml:space="preserve"> </w:t>
      </w:r>
      <w:r>
        <w:rPr>
          <w:bCs/>
          <w:b/>
        </w:rPr>
        <w:t xml:space="preserve">P/D Disaggregation</w:t>
      </w:r>
      <w:r>
        <w:t xml:space="preserve"> </w:t>
      </w:r>
      <w:r>
        <w:t xml:space="preserve">(already deep-dived).</w:t>
      </w:r>
    </w:p>
    <w:p>
      <w:pPr>
        <w:numPr>
          <w:ilvl w:val="0"/>
          <w:numId w:val="1036"/>
        </w:numPr>
        <w:pStyle w:val="Compact"/>
      </w:pPr>
      <w:r>
        <w:t xml:space="preserve">Hands-on validate the now-fully-written Chapter 2–5 cases on a real Intel XPU cluster,</w:t>
      </w:r>
      <w:r>
        <w:t xml:space="preserve"> </w:t>
      </w:r>
      <w:r>
        <w:t xml:space="preserve">confirming the</w:t>
      </w:r>
      <w:r>
        <w:t xml:space="preserve"> </w:t>
      </w:r>
      <w:r>
        <w:t xml:space="preserve">“</w:t>
      </w:r>
      <w:r>
        <w:t xml:space="preserve">compose on top of Optimized Baseline</w:t>
      </w:r>
      <w:r>
        <w:t xml:space="preserve">”</w:t>
      </w:r>
      <w:r>
        <w:t xml:space="preserve"> </w:t>
      </w:r>
      <w:r>
        <w:t xml:space="preserve">pattern actually works end-to-end for</w:t>
      </w:r>
      <w:r>
        <w:t xml:space="preserve"> </w:t>
      </w:r>
      <w:r>
        <w:t xml:space="preserve">each (Flow Control, Predicted Latency Routing, Workload Autoscaling, Rollouts, Agentic Serving,</w:t>
      </w:r>
      <w:r>
        <w:t xml:space="preserve"> </w:t>
      </w:r>
      <w:r>
        <w:t xml:space="preserve">Multi-Model Routing, Asynchronous Processing, Batch Gateway, No-Kubernetes Deployment).</w:t>
      </w:r>
    </w:p>
    <w:p>
      <w:pPr>
        <w:numPr>
          <w:ilvl w:val="0"/>
          <w:numId w:val="1036"/>
        </w:numPr>
        <w:pStyle w:val="Compact"/>
      </w:pPr>
      <w:r>
        <w:t xml:space="preserve">Confirm scope for</w:t>
      </w:r>
      <w:r>
        <w:t xml:space="preserve"> </w:t>
      </w:r>
      <w:r>
        <w:rPr>
          <w:rStyle w:val="VerbatimChar"/>
        </w:rPr>
        <w:t xml:space="preserve">guides/rl</w:t>
      </w:r>
      <w:r>
        <w:t xml:space="preserve"> </w:t>
      </w:r>
      <w:r>
        <w:t xml:space="preserve">with stakeholders before investing further writing time.</w:t>
      </w:r>
    </w:p>
    <w:p>
      <w:pPr>
        <w:numPr>
          <w:ilvl w:val="0"/>
          <w:numId w:val="1036"/>
        </w:numPr>
        <w:pStyle w:val="Compact"/>
      </w:pPr>
      <w:r>
        <w:t xml:space="preserve">Re-check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periodically for an added Intel XPU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overlay; upgrade Case 16 from ➖ to 🚧/✅ if one appears.</w:t>
      </w:r>
    </w:p>
    <w:bookmarkEnd w:id="207"/>
    <w:bookmarkEnd w:id="2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00-common-installation.md" TargetMode="External" /><Relationship Type="http://schemas.openxmlformats.org/officeDocument/2006/relationships/hyperlink" Id="rId22" Target="01-optimized-baseline.md" TargetMode="External" /><Relationship Type="http://schemas.openxmlformats.org/officeDocument/2006/relationships/hyperlink" Id="rId23" Target="02-pd-disaggregation.md" TargetMode="External" /><Relationship Type="http://schemas.openxmlformats.org/officeDocument/2006/relationships/hyperlink" Id="rId24" Target="03-precise-prefix-cache-routing.md" TargetMode="External" /><Relationship Type="http://schemas.openxmlformats.org/officeDocument/2006/relationships/hyperlink" Id="rId25" Target="04-tiered-prefix-cache.md" TargetMode="External" /><Relationship Type="http://schemas.openxmlformats.org/officeDocument/2006/relationships/hyperlink" Id="rId26" Target="05-wide-ep.md" TargetMode="External" /><Relationship Type="http://schemas.openxmlformats.org/officeDocument/2006/relationships/hyperlink" Id="rId27" Target="06-multimodal-serving.md" TargetMode="External" /><Relationship Type="http://schemas.openxmlformats.org/officeDocument/2006/relationships/hyperlink" Id="rId28" Target="07-flow-control.md" TargetMode="External" /><Relationship Type="http://schemas.openxmlformats.org/officeDocument/2006/relationships/hyperlink" Id="rId29" Target="08-predicted-latency-routing.md" TargetMode="External" /><Relationship Type="http://schemas.openxmlformats.org/officeDocument/2006/relationships/hyperlink" Id="rId30" Target="09-workload-autoscaling.md" TargetMode="External" /><Relationship Type="http://schemas.openxmlformats.org/officeDocument/2006/relationships/hyperlink" Id="rId31" Target="10-rollouts.md" TargetMode="External" /><Relationship Type="http://schemas.openxmlformats.org/officeDocument/2006/relationships/hyperlink" Id="rId32" Target="11-agentic-serving.md" TargetMode="External" /><Relationship Type="http://schemas.openxmlformats.org/officeDocument/2006/relationships/hyperlink" Id="rId33" Target="12-multi-model-routing.md" TargetMode="External" /><Relationship Type="http://schemas.openxmlformats.org/officeDocument/2006/relationships/hyperlink" Id="rId34" Target="13-asynchronous-processing.md" TargetMode="External" /><Relationship Type="http://schemas.openxmlformats.org/officeDocument/2006/relationships/hyperlink" Id="rId35" Target="14-batch-gateway.md" TargetMode="External" /><Relationship Type="http://schemas.openxmlformats.org/officeDocument/2006/relationships/hyperlink" Id="rId36" Target="15-no-kubernetes-deployment.md" TargetMode="External" /><Relationship Type="http://schemas.openxmlformats.org/officeDocument/2006/relationships/hyperlink" Id="rId37" Target="16-encode-disaggregation.md" TargetMode="External" /><Relationship Type="http://schemas.openxmlformats.org/officeDocument/2006/relationships/hyperlink" Id="rId38" Target="appendix-a-env-vars.md" TargetMode="External" /><Relationship Type="http://schemas.openxmlformats.org/officeDocument/2006/relationships/hyperlink" Id="rId39" Target="appendix-b-known-issues.md" TargetMode="External" /><Relationship Type="http://schemas.openxmlformats.org/officeDocument/2006/relationships/hyperlink" Id="rId89" Target="https://github.com/intel/intel-resource-drivers-for-kubernetes" TargetMode="External" /><Relationship Type="http://schemas.openxmlformats.org/officeDocument/2006/relationships/hyperlink" Id="rId166" Target="https://github.com/llm-d-incubation/llm-d-async" TargetMode="External" /><Relationship Type="http://schemas.openxmlformats.org/officeDocument/2006/relationships/hyperlink" Id="rId176" Target="https://github.com/llm-d/llm-d-batch-gateway" TargetMode="External" /><Relationship Type="http://schemas.openxmlformats.org/officeDocument/2006/relationships/hyperlink" Id="rId179" Target="https://github.com/llm-d/llm-d-batch-gateway/blob/main/charts/batch-gateway/README.md" TargetMode="External" /><Relationship Type="http://schemas.openxmlformats.org/officeDocument/2006/relationships/hyperlink" Id="rId183" Target="https://github.com/llm-d/llm-d-batch-gateway/blob/main/docs/guides/deploy-k8s.md" TargetMode="External" /><Relationship Type="http://schemas.openxmlformats.org/officeDocument/2006/relationships/hyperlink" Id="rId44" Target="https://github.com/llm-d/llm-d/blob/main/helpers/client-setup/README.md" TargetMode="External" /><Relationship Type="http://schemas.openxmlformats.org/officeDocument/2006/relationships/hyperlink" Id="rId65" Target="https://github.com/llm-d/llm-d/issues/241" TargetMode="External" /><Relationship Type="http://schemas.openxmlformats.org/officeDocument/2006/relationships/hyperlink" Id="rId126" Target="https://keda.sh/docs/2.20/deploy/" TargetMode="External" /><Relationship Type="http://schemas.openxmlformats.org/officeDocument/2006/relationships/hyperlink" Id="rId40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0-common-installation.md" TargetMode="External" /><Relationship Type="http://schemas.openxmlformats.org/officeDocument/2006/relationships/hyperlink" Id="rId22" Target="01-optimized-baseline.md" TargetMode="External" /><Relationship Type="http://schemas.openxmlformats.org/officeDocument/2006/relationships/hyperlink" Id="rId23" Target="02-pd-disaggregation.md" TargetMode="External" /><Relationship Type="http://schemas.openxmlformats.org/officeDocument/2006/relationships/hyperlink" Id="rId24" Target="03-precise-prefix-cache-routing.md" TargetMode="External" /><Relationship Type="http://schemas.openxmlformats.org/officeDocument/2006/relationships/hyperlink" Id="rId25" Target="04-tiered-prefix-cache.md" TargetMode="External" /><Relationship Type="http://schemas.openxmlformats.org/officeDocument/2006/relationships/hyperlink" Id="rId26" Target="05-wide-ep.md" TargetMode="External" /><Relationship Type="http://schemas.openxmlformats.org/officeDocument/2006/relationships/hyperlink" Id="rId27" Target="06-multimodal-serving.md" TargetMode="External" /><Relationship Type="http://schemas.openxmlformats.org/officeDocument/2006/relationships/hyperlink" Id="rId28" Target="07-flow-control.md" TargetMode="External" /><Relationship Type="http://schemas.openxmlformats.org/officeDocument/2006/relationships/hyperlink" Id="rId29" Target="08-predicted-latency-routing.md" TargetMode="External" /><Relationship Type="http://schemas.openxmlformats.org/officeDocument/2006/relationships/hyperlink" Id="rId30" Target="09-workload-autoscaling.md" TargetMode="External" /><Relationship Type="http://schemas.openxmlformats.org/officeDocument/2006/relationships/hyperlink" Id="rId31" Target="10-rollouts.md" TargetMode="External" /><Relationship Type="http://schemas.openxmlformats.org/officeDocument/2006/relationships/hyperlink" Id="rId32" Target="11-agentic-serving.md" TargetMode="External" /><Relationship Type="http://schemas.openxmlformats.org/officeDocument/2006/relationships/hyperlink" Id="rId33" Target="12-multi-model-routing.md" TargetMode="External" /><Relationship Type="http://schemas.openxmlformats.org/officeDocument/2006/relationships/hyperlink" Id="rId34" Target="13-asynchronous-processing.md" TargetMode="External" /><Relationship Type="http://schemas.openxmlformats.org/officeDocument/2006/relationships/hyperlink" Id="rId35" Target="14-batch-gateway.md" TargetMode="External" /><Relationship Type="http://schemas.openxmlformats.org/officeDocument/2006/relationships/hyperlink" Id="rId36" Target="15-no-kubernetes-deployment.md" TargetMode="External" /><Relationship Type="http://schemas.openxmlformats.org/officeDocument/2006/relationships/hyperlink" Id="rId37" Target="16-encode-disaggregation.md" TargetMode="External" /><Relationship Type="http://schemas.openxmlformats.org/officeDocument/2006/relationships/hyperlink" Id="rId38" Target="appendix-a-env-vars.md" TargetMode="External" /><Relationship Type="http://schemas.openxmlformats.org/officeDocument/2006/relationships/hyperlink" Id="rId39" Target="appendix-b-known-issues.md" TargetMode="External" /><Relationship Type="http://schemas.openxmlformats.org/officeDocument/2006/relationships/hyperlink" Id="rId89" Target="https://github.com/intel/intel-resource-drivers-for-kubernetes" TargetMode="External" /><Relationship Type="http://schemas.openxmlformats.org/officeDocument/2006/relationships/hyperlink" Id="rId166" Target="https://github.com/llm-d-incubation/llm-d-async" TargetMode="External" /><Relationship Type="http://schemas.openxmlformats.org/officeDocument/2006/relationships/hyperlink" Id="rId176" Target="https://github.com/llm-d/llm-d-batch-gateway" TargetMode="External" /><Relationship Type="http://schemas.openxmlformats.org/officeDocument/2006/relationships/hyperlink" Id="rId179" Target="https://github.com/llm-d/llm-d-batch-gateway/blob/main/charts/batch-gateway/README.md" TargetMode="External" /><Relationship Type="http://schemas.openxmlformats.org/officeDocument/2006/relationships/hyperlink" Id="rId183" Target="https://github.com/llm-d/llm-d-batch-gateway/blob/main/docs/guides/deploy-k8s.md" TargetMode="External" /><Relationship Type="http://schemas.openxmlformats.org/officeDocument/2006/relationships/hyperlink" Id="rId44" Target="https://github.com/llm-d/llm-d/blob/main/helpers/client-setup/README.md" TargetMode="External" /><Relationship Type="http://schemas.openxmlformats.org/officeDocument/2006/relationships/hyperlink" Id="rId65" Target="https://github.com/llm-d/llm-d/issues/241" TargetMode="External" /><Relationship Type="http://schemas.openxmlformats.org/officeDocument/2006/relationships/hyperlink" Id="rId126" Target="https://keda.sh/docs/2.20/deploy/" TargetMode="External" /><Relationship Type="http://schemas.openxmlformats.org/officeDocument/2006/relationships/hyperlink" Id="rId40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2026-07-20T01:43:45Z</dcterms:created>
  <dcterms:modified xsi:type="dcterms:W3CDTF">2026-07-20T01:43:45Z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