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39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(NVIDIA-only upstream — this chapter documents the Intel XPU substitution)</w:t>
      </w:r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in this directory is a separate, continuously-updated per-case validation-status</w:t>
      </w:r>
      <w:r>
        <w:t xml:space="preserve"> </w:t>
      </w:r>
      <w:r>
        <w:t xml:space="preserve">tracker (hands-on-verified vs. documented-but-untested) — useful when browsing the repository</w:t>
      </w:r>
      <w:r>
        <w:t xml:space="preserve"> </w:t>
      </w:r>
      <w:r>
        <w:t xml:space="preserve">directly, but it is not one of the chapters above and is not included in the compiled PDF/Word</w:t>
      </w:r>
      <w:r>
        <w:t xml:space="preserve"> </w:t>
      </w:r>
      <w:r>
        <w:t xml:space="preserve">export of this whitepaper.</w:t>
      </w:r>
    </w:p>
    <w:bookmarkStart w:id="38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 (Chapters 2–5).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</w:t>
      </w:r>
      <w:r>
        <w:t xml:space="preserve"> </w:t>
      </w:r>
      <w:r>
        <w:t xml:space="preserve">specific, with the Intel XPU substitution spelled out in full in its chapter — it is not a</w:t>
      </w:r>
      <w:r>
        <w:t xml:space="preserve"> </w:t>
      </w:r>
      <w:r>
        <w:t xml:space="preserve">maintained, first-class Intel XPU path upstream.</w:t>
      </w:r>
    </w:p>
    <w:p>
      <w:pPr>
        <w:pStyle w:val="BodyText"/>
      </w:pPr>
      <w:r>
        <w:rPr>
          <w:rStyle w:val="VerbatimChar"/>
        </w:rPr>
        <w:t xml:space="preserve">multimodal-serving/e-disaggregation</w:t>
      </w:r>
      <w:r>
        <w:t xml:space="preserve"> </w:t>
      </w:r>
      <w:r>
        <w:t xml:space="preserve">(Encode Disaggregation) was investigated and excluded from</w:t>
      </w:r>
      <w:r>
        <w:t xml:space="preserve"> </w:t>
      </w:r>
      <w:r>
        <w:t xml:space="preserve">this whitepaper: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only, with no Intel XPU</w:t>
      </w:r>
      <w:r>
        <w:t xml:space="preserve"> </w:t>
      </w:r>
      <w:r>
        <w:t xml:space="preserve">backend or accelerator-agnostic substitution path — see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 </w:t>
      </w:r>
      <w:r>
        <w:t xml:space="preserve">for the one-line record.</w:t>
      </w:r>
      <w:r>
        <w:t xml:space="preserve"> </w:t>
      </w:r>
      <w:r>
        <w:t xml:space="preserve">All case-by-case verification status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38"/>
    <w:bookmarkEnd w:id="39"/>
    <w:bookmarkEnd w:id="40"/>
    <w:bookmarkStart w:id="51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6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recommended; 1.34+ if you plan to use the DRA-based deployment</w:t>
      </w:r>
      <w:r>
        <w:t xml:space="preserve"> </w:t>
      </w:r>
      <w:r>
        <w:t xml:space="preserve">templates, since DRA’s structured-parameters API only reached GA in that release) with nodes</w:t>
      </w:r>
      <w:r>
        <w:t xml:space="preserve"> </w:t>
      </w:r>
      <w:r>
        <w:t xml:space="preserve">exposing Intel Data Center GPU Max series or Intel Arc Pro GPUs, and the host Linux</w:t>
      </w:r>
      <w:r>
        <w:t xml:space="preserve"> </w:t>
      </w:r>
      <w:hyperlink r:id="rId41">
        <w:r>
          <w:rPr>
            <w:rStyle w:val="Hyperlink"/>
          </w:rPr>
          <w:t xml:space="preserve">Intel GPU kernel driver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installed on each node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DRA driver</w:t>
      </w:r>
      <w:r>
        <w:t xml:space="preserve"> </w:t>
      </w:r>
      <w:r>
        <w:t xml:space="preserve">installed (see 0.1.1 below),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2">
        <w:r>
          <w:rPr>
            <w:rStyle w:val="VerbatimChar"/>
          </w:rPr>
          <w:t xml:space="preserve">helpers/client-setup/README.md</w:t>
        </w:r>
      </w:hyperlink>
    </w:p>
    <w:bookmarkStart w:id="45" w:name="install-the-intel-gpu-dra-driver"/>
    <w:p>
      <w:pPr>
        <w:pStyle w:val="Heading3"/>
      </w:pPr>
      <w:r>
        <w:t xml:space="preserve">0.1.1 Install the Intel GPU DRA Driver</w:t>
      </w:r>
    </w:p>
    <w:p>
      <w:pPr>
        <w:pStyle w:val="FirstParagraph"/>
      </w:pPr>
      <w:r>
        <w:t xml:space="preserve">Not part of the llm-d repo itself — this is a cluster-level, vendor-provided component from</w:t>
      </w:r>
      <w:r>
        <w:t xml:space="preserve"> </w:t>
      </w:r>
      <w:hyperlink r:id="rId43">
        <w:r>
          <w:rPr>
            <w:rStyle w:val="VerbatimChar"/>
          </w:rPr>
          <w:t xml:space="preserve">intel/intel-resource-drivers-for-kubernetes</w:t>
        </w:r>
      </w:hyperlink>
      <w:r>
        <w:t xml:space="preserve"> </w:t>
      </w:r>
      <w:r>
        <w:t xml:space="preserve">that must be installed once per cluster before any Intel XPU case in this whitepaper. Install via</w:t>
      </w:r>
      <w:r>
        <w:t xml:space="preserve"> </w:t>
      </w:r>
      <w:r>
        <w:t xml:space="preserve">its published Helm chart: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intel-gpu-resource-driver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intel-gpu-resource-driver oci://ghcr.io/intel/intel-resource-drivers-for-kubernetes/intel-gpu-resource-driver-chart</w:t>
      </w:r>
    </w:p>
    <w:p>
      <w:pPr>
        <w:pStyle w:val="FirstParagraph"/>
      </w:pPr>
      <w:r>
        <w:t xml:space="preserve">Verify the driver is up 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and per-node</w:t>
      </w:r>
      <w:r>
        <w:t xml:space="preserve"> </w:t>
      </w:r>
      <w:r>
        <w:rPr>
          <w:rStyle w:val="VerbatimChar"/>
        </w:rPr>
        <w:t xml:space="preserve">ResourceSlice</w:t>
      </w:r>
      <w:r>
        <w:t xml:space="preserve"> </w:t>
      </w:r>
      <w:r>
        <w:t xml:space="preserve">objects were published: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intel-gpu-resource-driver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</w:p>
    <w:p>
      <w:pPr>
        <w:pStyle w:val="FirstParagraph"/>
      </w:pPr>
      <w:r>
        <w:t xml:space="preserve">See the driver’s own</w:t>
      </w:r>
      <w:r>
        <w:t xml:space="preserve"> </w:t>
      </w:r>
      <w:hyperlink r:id="rId44">
        <w:r>
          <w:rPr>
            <w:rStyle w:val="Hyperlink"/>
          </w:rPr>
          <w:t xml:space="preserve">GPU documentation</w:t>
        </w:r>
      </w:hyperlink>
      <w:r>
        <w:t xml:space="preserve"> </w:t>
      </w:r>
      <w:r>
        <w:t xml:space="preserve">for container-runtime CDI requirements (CRI-O 1.23+ or Containerd 1.7+ with CDI enabled) and</w:t>
      </w:r>
      <w:r>
        <w:t xml:space="preserve"> </w:t>
      </w:r>
      <w:r>
        <w:t xml:space="preserve">alternative install methods (kustomize, Node Feature Discovery-scoped rollout).</w:t>
      </w:r>
    </w:p>
    <w:bookmarkEnd w:id="45"/>
    <w:bookmarkEnd w:id="46"/>
    <w:bookmarkStart w:id="47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7"/>
    <w:bookmarkStart w:id="48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8"/>
    <w:bookmarkStart w:id="49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9"/>
    <w:bookmarkStart w:id="50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0" w:name="optimized-baseline"/>
    <w:p>
      <w:pPr>
        <w:pStyle w:val="Heading1"/>
      </w:pPr>
      <w:r>
        <w:t xml:space="preserve">1.1 Optimized Baseline</w:t>
      </w:r>
    </w:p>
    <w:bookmarkStart w:id="5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2"/>
    <w:bookmarkStart w:id="53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3"/>
    <w:bookmarkStart w:id="54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4"/>
    <w:bookmarkStart w:id="55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5"/>
    <w:bookmarkStart w:id="56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6"/>
    <w:bookmarkStart w:id="57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7"/>
    <w:bookmarkStart w:id="58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8"/>
    <w:bookmarkStart w:id="59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70" w:name="pd-disaggregation"/>
    <w:p>
      <w:pPr>
        <w:pStyle w:val="Heading1"/>
      </w:pPr>
      <w:r>
        <w:t xml:space="preserve">1.2 P/D Disaggregation</w:t>
      </w:r>
    </w:p>
    <w:bookmarkStart w:id="61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61"/>
    <w:bookmarkStart w:id="62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2"/>
    <w:bookmarkStart w:id="63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3"/>
    <w:bookmarkStart w:id="64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4"/>
    <w:bookmarkStart w:id="65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5"/>
    <w:bookmarkStart w:id="67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7"/>
    <w:bookmarkStart w:id="68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8"/>
    <w:bookmarkStart w:id="69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9" w:name="precise-prefix-cache-routing"/>
    <w:p>
      <w:pPr>
        <w:pStyle w:val="Heading1"/>
      </w:pPr>
      <w:r>
        <w:t xml:space="preserve">1.3 Precise Prefix Cache Routing</w:t>
      </w:r>
    </w:p>
    <w:bookmarkStart w:id="71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71"/>
    <w:bookmarkStart w:id="72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2"/>
    <w:bookmarkStart w:id="73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3"/>
    <w:bookmarkStart w:id="74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4"/>
    <w:bookmarkStart w:id="75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5"/>
    <w:bookmarkStart w:id="76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6"/>
    <w:bookmarkStart w:id="77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7"/>
    <w:bookmarkStart w:id="78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8" w:name="tiered-prefix-cache"/>
    <w:p>
      <w:pPr>
        <w:pStyle w:val="Heading1"/>
      </w:pPr>
      <w:r>
        <w:t xml:space="preserve">1.4 Tiered Prefix Cache</w:t>
      </w:r>
    </w:p>
    <w:bookmarkStart w:id="80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80"/>
    <w:bookmarkStart w:id="81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81"/>
    <w:bookmarkStart w:id="82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2"/>
    <w:bookmarkStart w:id="83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3"/>
    <w:bookmarkStart w:id="84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4"/>
    <w:bookmarkStart w:id="85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5"/>
    <w:bookmarkStart w:id="86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6"/>
    <w:bookmarkStart w:id="87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98" w:name="wide-expert-parallelism"/>
    <w:p>
      <w:pPr>
        <w:pStyle w:val="Heading1"/>
      </w:pPr>
      <w:r>
        <w:t xml:space="preserve">1.5 Wide Expert Parallelism</w:t>
      </w:r>
    </w:p>
    <w:bookmarkStart w:id="89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9"/>
    <w:bookmarkStart w:id="91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</w:t>
      </w:r>
      <w:r>
        <w:t xml:space="preserve"> </w:t>
      </w:r>
      <w:hyperlink r:id="rId90">
        <w:r>
          <w:rPr>
            <w:rStyle w:val="Hyperlink"/>
          </w:rPr>
          <w:t xml:space="preserve">Intel GPU DRA driver</w:t>
        </w:r>
      </w:hyperlink>
      <w:r>
        <w:t xml:space="preserve"> </w:t>
      </w:r>
      <w:r>
        <w:t xml:space="preserve">already covers this case’s device requirement — no additional driver install beyond Chapter 0.</w:t>
      </w:r>
    </w:p>
    <w:bookmarkEnd w:id="91"/>
    <w:bookmarkStart w:id="92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2"/>
    <w:bookmarkStart w:id="93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3"/>
    <w:bookmarkStart w:id="94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4"/>
    <w:bookmarkStart w:id="95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5"/>
    <w:bookmarkStart w:id="96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6"/>
    <w:bookmarkStart w:id="97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107" w:name="multimodal-serving-aggregated"/>
    <w:p>
      <w:pPr>
        <w:pStyle w:val="Heading1"/>
      </w:pPr>
      <w:r>
        <w:t xml:space="preserve">1.6 Multimodal Serving (Aggregated)</w:t>
      </w:r>
    </w:p>
    <w:bookmarkStart w:id="99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9"/>
    <w:bookmarkStart w:id="100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100"/>
    <w:bookmarkStart w:id="101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101"/>
    <w:bookmarkStart w:id="102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2"/>
    <w:bookmarkStart w:id="103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3"/>
    <w:bookmarkStart w:id="104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4"/>
    <w:bookmarkStart w:id="105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5"/>
    <w:bookmarkStart w:id="106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End w:id="107"/>
    <w:bookmarkStart w:id="116" w:name="flow-control"/>
    <w:p>
      <w:pPr>
        <w:pStyle w:val="Heading1"/>
      </w:pPr>
      <w:r>
        <w:t xml:space="preserve">2.1 Flow Control</w:t>
      </w:r>
    </w:p>
    <w:bookmarkStart w:id="108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same steps apply on Intel XPU as any other accelerator.</w:t>
      </w:r>
    </w:p>
    <w:p>
      <w:pPr>
        <w:pStyle w:val="BodyText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8"/>
    <w:bookmarkStart w:id="109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9"/>
    <w:bookmarkStart w:id="110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10"/>
    <w:bookmarkStart w:id="111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11"/>
    <w:bookmarkStart w:id="112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2"/>
    <w:bookmarkStart w:id="113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3"/>
    <w:bookmarkStart w:id="114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Must reuse the same kustomize+sed rename pipeline as the deploy step above — the resources were</w:t>
      </w:r>
      <w:r>
        <w:br/>
      </w:r>
      <w:r>
        <w:rPr>
          <w:rStyle w:val="CommentTok"/>
        </w:rPr>
        <w:t xml:space="preserve"># created under the ${GUIDE_NAME}-prefixed names, not the original optimized-baseline names, so a</w:t>
      </w:r>
      <w:r>
        <w:br/>
      </w:r>
      <w:r>
        <w:rPr>
          <w:rStyle w:val="CommentTok"/>
        </w:rPr>
        <w:t xml:space="preserve"># plain `kubectl delete -k .../optimized-baseline/modelserver/xpu/vllm/` would not match them.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4"/>
    <w:bookmarkStart w:id="115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5"/>
    <w:bookmarkEnd w:id="116"/>
    <w:bookmarkStart w:id="125" w:name="predicted-latency-based-routing"/>
    <w:p>
      <w:pPr>
        <w:pStyle w:val="Heading1"/>
      </w:pPr>
      <w:r>
        <w:t xml:space="preserve">2.2 Predicted Latency-Based Routing</w:t>
      </w:r>
    </w:p>
    <w:bookmarkStart w:id="117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at the routing layer; the GPU/TPU-specific model-server paths shown upstream do</w:t>
      </w:r>
      <w:r>
        <w:t xml:space="preserve"> </w:t>
      </w:r>
      <w:r>
        <w:t xml:space="preserve">not include an Intel XPU variant of their own — Intel XPU deployers reuse the Optimized Baseline</w:t>
      </w:r>
      <w:r>
        <w:t xml:space="preserve"> </w:t>
      </w:r>
      <w:r>
        <w:t xml:space="preserve">overlay exactly 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p>
      <w:pPr>
        <w:pStyle w:val="BodyText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7"/>
    <w:bookmarkStart w:id="118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8"/>
    <w:bookmarkStart w:id="119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9"/>
    <w:bookmarkStart w:id="120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20"/>
    <w:bookmarkStart w:id="121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21"/>
    <w:bookmarkStart w:id="122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2"/>
    <w:bookmarkStart w:id="123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3"/>
    <w:bookmarkStart w:id="124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4"/>
    <w:bookmarkEnd w:id="125"/>
    <w:bookmarkStart w:id="135" w:name="workload-autoscaling"/>
    <w:p>
      <w:pPr>
        <w:pStyle w:val="Heading1"/>
      </w:pPr>
      <w:r>
        <w:t xml:space="preserve">2.3 Workload Autoscaling</w:t>
      </w:r>
    </w:p>
    <w:bookmarkStart w:id="126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scales whatever model-server Deployment you already run (including the Intel</w:t>
      </w:r>
      <w:r>
        <w:t xml:space="preserve"> </w:t>
      </w:r>
      <w:r>
        <w:t xml:space="preserve">XPU Optimized Baseline overlay); no accelerator-specific autoscaling logic exists.</w:t>
      </w:r>
    </w:p>
    <w:p>
      <w:pPr>
        <w:pStyle w:val="BodyText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KEDA (or the OpenShift Custom Metrics Autoscaler Operator) is the recommended metrics adapter for</w:t>
      </w:r>
      <w:r>
        <w:t xml:space="preserve"> </w:t>
      </w:r>
      <w:r>
        <w:t xml:space="preserve">both paths — Prometheus Adapter is deprecated. The</w:t>
      </w:r>
      <w:r>
        <w:t xml:space="preserve"> </w:t>
      </w:r>
      <w:r>
        <w:rPr>
          <w:bCs/>
          <w:b/>
        </w:rPr>
        <w:t xml:space="preserve">KEDA + EPP Metrics</w:t>
      </w:r>
      <w:r>
        <w:t xml:space="preserve"> </w:t>
      </w:r>
      <w:r>
        <w:t xml:space="preserve">path documents KEDA as</w:t>
      </w:r>
      <w:r>
        <w:t xml:space="preserve"> </w:t>
      </w:r>
      <w:r>
        <w:t xml:space="preserve">the primary supported route. The</w:t>
      </w:r>
      <w:r>
        <w:t xml:space="preserve"> </w:t>
      </w:r>
      <w:r>
        <w:rPr>
          <w:bCs/>
          <w:b/>
        </w:rPr>
        <w:t xml:space="preserve">HPA + WVA Metrics</w:t>
      </w:r>
      <w:r>
        <w:t xml:space="preserve"> </w:t>
      </w:r>
      <w:r>
        <w:t xml:space="preserve">path can use KEDA-managed HPA (recommended)</w:t>
      </w:r>
      <w:r>
        <w:t xml:space="preserve"> </w:t>
      </w:r>
      <w:r>
        <w:t xml:space="preserve">or a plain HPA reading the</w:t>
      </w:r>
      <w:r>
        <w:t xml:space="preserve"> </w:t>
      </w:r>
      <w:r>
        <w:rPr>
          <w:rStyle w:val="VerbatimChar"/>
        </w:rPr>
        <w:t xml:space="preserve">wva_desired_replicas</w:t>
      </w:r>
      <w:r>
        <w:t xml:space="preserve"> </w:t>
      </w:r>
      <w:r>
        <w:t xml:space="preserve">external metric directly, without KEDA.</w:t>
      </w:r>
    </w:p>
    <w:bookmarkEnd w:id="126"/>
    <w:bookmarkStart w:id="128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7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8"/>
    <w:bookmarkStart w:id="129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9"/>
    <w:bookmarkStart w:id="130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30"/>
    <w:bookmarkStart w:id="131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31"/>
    <w:bookmarkStart w:id="132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2"/>
    <w:bookmarkStart w:id="133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3"/>
    <w:bookmarkStart w:id="134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4"/>
    <w:bookmarkEnd w:id="135"/>
    <w:bookmarkStart w:id="147" w:name="rollouts"/>
    <w:p>
      <w:pPr>
        <w:pStyle w:val="Heading1"/>
      </w:pPr>
      <w:r>
        <w:t xml:space="preserve">2.4 Rollouts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 documentation</w:t>
      </w:r>
      <w:r>
        <w:t xml:space="preserve"> </w:t>
      </w:r>
      <w:r>
        <w:t xml:space="preserve">reorganization (</w:t>
      </w:r>
      <w:r>
        <w:t xml:space="preserve">“</w:t>
      </w:r>
      <w:r>
        <w:t xml:space="preserve">Reorganize part 2: create two new pillars, operations and infrastructure</w:t>
      </w:r>
      <w:r>
        <w:t xml:space="preserve">”</w:t>
      </w:r>
      <w:r>
        <w:t xml:space="preserve">).</w:t>
      </w:r>
      <w:r>
        <w:t xml:space="preserve"> </w:t>
      </w:r>
      <w:r>
        <w:t xml:space="preserve">The commands below reference the current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path.</w:t>
      </w:r>
    </w:p>
    <w:bookmarkStart w:id="136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directly useful for migrating an existing NVIDIA deployment to Intel XPU (or</w:t>
      </w:r>
      <w:r>
        <w:t xml:space="preserve"> </w:t>
      </w:r>
      <w:r>
        <w:t xml:space="preserve">vice versa) with 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6"/>
    <w:bookmarkStart w:id="137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7"/>
    <w:bookmarkStart w:id="141" w:name="deployment-steps-8"/>
    <w:p>
      <w:pPr>
        <w:pStyle w:val="Heading2"/>
      </w:pPr>
      <w:r>
        <w:t xml:space="preserve">Deployment Steps</w:t>
      </w:r>
    </w:p>
    <w:bookmarkStart w:id="138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8"/>
    <w:bookmarkStart w:id="139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9"/>
    <w:bookmarkStart w:id="140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40"/>
    <w:bookmarkEnd w:id="141"/>
    <w:bookmarkStart w:id="142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2"/>
    <w:bookmarkStart w:id="143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3"/>
    <w:bookmarkStart w:id="144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4"/>
    <w:bookmarkStart w:id="145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5"/>
    <w:bookmarkStart w:id="146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6"/>
    <w:bookmarkEnd w:id="147"/>
    <w:bookmarkStart w:id="156" w:name="agentic-serving"/>
    <w:p>
      <w:pPr>
        <w:pStyle w:val="Heading1"/>
      </w:pPr>
      <w:r>
        <w:t xml:space="preserve">3.1 Agentic Serving</w:t>
      </w:r>
    </w:p>
    <w:bookmarkStart w:id="148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Cs/>
          <w:b/>
        </w:rPr>
        <w:t xml:space="preserve">workload composition guide</w:t>
      </w:r>
      <w:r>
        <w:t xml:space="preserve">, not a standalone deployable overlay — its two</w:t>
      </w:r>
      <w:r>
        <w:t xml:space="preserve"> </w:t>
      </w:r>
      <w:r>
        <w:t xml:space="preserve">ready-made hardware-specific deployments (NVIDIA H200, Google TPU v7) do not include an Intel XPU</w:t>
      </w:r>
      <w:r>
        <w:t xml:space="preserve"> </w:t>
      </w:r>
      <w:r>
        <w:t xml:space="preserve">variant; Intel XPU users compose the same building blocks manually as described below.</w:t>
      </w:r>
    </w:p>
    <w:p>
      <w:pPr>
        <w:pStyle w:val="BodyText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8"/>
    <w:bookmarkStart w:id="149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9"/>
    <w:bookmarkStart w:id="150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50"/>
    <w:bookmarkStart w:id="151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51"/>
    <w:bookmarkStart w:id="152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2"/>
    <w:bookmarkStart w:id="153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3"/>
    <w:bookmarkStart w:id="154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4"/>
    <w:bookmarkStart w:id="155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5"/>
    <w:bookmarkEnd w:id="156"/>
    <w:bookmarkStart w:id="166" w:name="multi-model-routing"/>
    <w:p>
      <w:pPr>
        <w:pStyle w:val="Heading1"/>
      </w:pPr>
      <w:r>
        <w:t xml:space="preserve">3.2 Multi-Model Routing</w:t>
      </w:r>
    </w:p>
    <w:bookmarkStart w:id="157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the Inference Payload Processor (IPP) and HTTPRoute-based routing operate</w:t>
      </w:r>
      <w:r>
        <w:t xml:space="preserve"> </w:t>
      </w:r>
      <w:r>
        <w:t xml:space="preserve">purely at the Gateway 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</w:t>
      </w:r>
      <w:r>
        <w:t xml:space="preserve"> </w:t>
      </w:r>
      <w:r>
        <w:t xml:space="preserve">deployment.</w:t>
      </w:r>
    </w:p>
    <w:p>
      <w:pPr>
        <w:pStyle w:val="BodyText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7"/>
    <w:bookmarkStart w:id="158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8"/>
    <w:bookmarkStart w:id="159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--set provider.name=gke on GKE. --set provider.name=none skips the auto-generated</w:t>
      </w:r>
      <w:r>
        <w:br/>
      </w:r>
      <w:r>
        <w:rPr>
          <w:rStyle w:val="CommentTok"/>
        </w:rPr>
        <w:t xml:space="preserve"># Istio EnvoyFilter/GKE GCPRoutingExtension — a Gateway is still required either way, you'd just</w:t>
      </w:r>
      <w:r>
        <w:br/>
      </w:r>
      <w:r>
        <w:rPr>
          <w:rStyle w:val="CommentTok"/>
        </w:rPr>
        <w:t xml:space="preserve"># wire IPP's ext-proc integration into it yourself instead of letting the chart do it.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9"/>
    <w:bookmarkStart w:id="160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60"/>
    <w:bookmarkStart w:id="162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61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61"/>
    <w:bookmarkEnd w:id="162"/>
    <w:bookmarkStart w:id="163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3"/>
    <w:bookmarkStart w:id="164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4"/>
    <w:bookmarkStart w:id="165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5"/>
    <w:bookmarkEnd w:id="166"/>
    <w:bookmarkStart w:id="176" w:name="asynchronous-processing"/>
    <w:p>
      <w:pPr>
        <w:pStyle w:val="Heading1"/>
      </w:pPr>
      <w:r>
        <w:t xml:space="preserve">4.1 Asynchronous Processing</w:t>
      </w:r>
    </w:p>
    <w:bookmarkStart w:id="168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the Async Processor dispatches to whatever llm-d Router endpoint you give it;</w:t>
      </w:r>
      <w:r>
        <w:t xml:space="preserve"> </w:t>
      </w:r>
      <w:r>
        <w:t xml:space="preserve">the backing model server can be any Optimized Baseline overlay, including Intel XPU.</w:t>
      </w:r>
    </w:p>
    <w:p>
      <w:pPr>
        <w:pStyle w:val="BodyText"/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8"/>
    <w:bookmarkStart w:id="169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Gateway Mode only</w:t>
      </w:r>
      <w:r>
        <w:t xml:space="preserve">: 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  <w:r>
        <w:t xml:space="preserve"> </w:t>
      </w:r>
      <w:r>
        <w:t xml:space="preserve">Not needed if you use Standalone Mode (step 1 below), which talks to the Router’s Service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directly instead of a Gateway.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9"/>
    <w:bookmarkStart w:id="170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70"/>
    <w:bookmarkStart w:id="171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71"/>
    <w:bookmarkStart w:id="172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2"/>
    <w:bookmarkStart w:id="173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3"/>
    <w:bookmarkStart w:id="174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4"/>
    <w:bookmarkStart w:id="175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5"/>
    <w:bookmarkEnd w:id="176"/>
    <w:bookmarkStart w:id="188" w:name="batch-gateway"/>
    <w:p>
      <w:pPr>
        <w:pStyle w:val="Heading1"/>
      </w:pPr>
      <w:r>
        <w:t xml:space="preserve">4.2 Batch Gateway</w:t>
      </w:r>
    </w:p>
    <w:bookmarkStart w:id="178" w:name="overview-1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Batch Gateway dispatches to an existing llm-d Router endpoint; the backing</w:t>
      </w:r>
      <w:r>
        <w:t xml:space="preserve"> </w:t>
      </w:r>
      <w:r>
        <w:t xml:space="preserve">model server can be any Optimized Baseline overlay, including Intel XPU.</w:t>
      </w:r>
    </w:p>
    <w:p>
      <w:pPr>
        <w:pStyle w:val="BodyText"/>
      </w:pPr>
      <w:hyperlink r:id="rId177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8"/>
    <w:bookmarkStart w:id="179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9"/>
    <w:bookmarkStart w:id="181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80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81"/>
    <w:bookmarkStart w:id="182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p>
      <w:pPr>
        <w:pStyle w:val="FirstParagraph"/>
      </w:pPr>
      <w:r>
        <w:rPr>
          <w:rStyle w:val="VerbatimChar"/>
        </w:rPr>
        <w:t xml:space="preserve">batch-gateway-apiserver</w:t>
      </w:r>
      <w:r>
        <w:t xml:space="preserve"> </w:t>
      </w:r>
      <w:r>
        <w:t xml:space="preserve">exposes two separate ports on the same Service:</w:t>
      </w:r>
      <w:r>
        <w:t xml:space="preserve"> </w:t>
      </w:r>
      <w:r>
        <w:rPr>
          <w:rStyle w:val="VerbatimChar"/>
        </w:rPr>
        <w:t xml:space="preserve">8081</w:t>
      </w:r>
      <w:r>
        <w:t xml:space="preserve"> </w:t>
      </w:r>
      <w:r>
        <w:t xml:space="preserve">for the</w:t>
      </w:r>
      <w:r>
        <w:t xml:space="preserve"> </w:t>
      </w:r>
      <w:r>
        <w:t xml:space="preserve">health/readiness endpoint above, and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actual REST API (confirmed by the in-cluster</w:t>
      </w:r>
      <w:r>
        <w:t xml:space="preserve"> </w:t>
      </w:r>
      <w:r>
        <w:t xml:space="preserve">URL</w:t>
      </w:r>
      <w:r>
        <w:t xml:space="preserve"> </w:t>
      </w:r>
      <w:r>
        <w:rPr>
          <w:rStyle w:val="VerbatimChar"/>
        </w:rPr>
        <w:t xml:space="preserve">http://batch-gateway-apiserver:8000</w:t>
      </w:r>
      <w:r>
        <w:t xml:space="preserve"> </w:t>
      </w:r>
      <w:r>
        <w:t xml:space="preserve">used in the project’s own benchmark manifests). The</w:t>
      </w:r>
      <w:r>
        <w:t xml:space="preserve"> </w:t>
      </w:r>
      <w:r>
        <w:t xml:space="preserve">Inference Test below needs its own port-forward to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</w:t>
      </w:r>
    </w:p>
    <w:bookmarkEnd w:id="182"/>
    <w:bookmarkStart w:id="183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8000:8000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3"/>
    <w:bookmarkStart w:id="185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4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5"/>
    <w:bookmarkStart w:id="186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6"/>
    <w:bookmarkStart w:id="187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7"/>
    <w:bookmarkEnd w:id="188"/>
    <w:bookmarkStart w:id="198" w:name="no-kubernetes-deployment"/>
    <w:p>
      <w:pPr>
        <w:pStyle w:val="Heading1"/>
      </w:pPr>
      <w:r>
        <w:t xml:space="preserve">5.1 No-Kubernetes Deployment</w:t>
      </w:r>
    </w:p>
    <w:bookmarkStart w:id="189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bCs/>
          <w:b/>
        </w:rPr>
        <w:t xml:space="preserve">This guide targets 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 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</w:t>
      </w:r>
      <w:r>
        <w:t xml:space="preserve"> </w:t>
      </w:r>
      <w:r>
        <w:t xml:space="preserve">first-class Intel XPU path today; Intel XPU support is a manual substitution (detailed below),</w:t>
      </w:r>
      <w:r>
        <w:t xml:space="preserve"> </w:t>
      </w:r>
      <w:r>
        <w:t xml:space="preserve">not something upstream provides or tests.</w:t>
      </w:r>
    </w:p>
    <w:p>
      <w:pPr>
        <w:pStyle w:val="BodyText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9"/>
    <w:bookmarkStart w:id="190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90"/>
    <w:bookmarkStart w:id="191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91"/>
    <w:bookmarkStart w:id="192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2"/>
    <w:bookmarkStart w:id="193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3"/>
    <w:bookmarkStart w:id="194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4"/>
    <w:bookmarkStart w:id="195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5"/>
    <w:bookmarkStart w:id="196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6"/>
    <w:bookmarkStart w:id="197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7"/>
    <w:bookmarkEnd w:id="198"/>
    <w:bookmarkStart w:id="199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199"/>
    <w:bookmarkStart w:id="200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6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90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appendix-a-env-vars.md" TargetMode="External" /><Relationship Type="http://schemas.openxmlformats.org/officeDocument/2006/relationships/hyperlink" Id="rId37" Target="appendix-b-known-issues.md" TargetMode="External" /><Relationship Type="http://schemas.openxmlformats.org/officeDocument/2006/relationships/hyperlink" Id="rId41" Target="https://dgpu-docs.intel.com/driver/kernel-driver-types.html" TargetMode="External" /><Relationship Type="http://schemas.openxmlformats.org/officeDocument/2006/relationships/hyperlink" Id="rId43" Target="https://github.com/intel/intel-resource-drivers-for-kubernetes" TargetMode="External" /><Relationship Type="http://schemas.openxmlformats.org/officeDocument/2006/relationships/hyperlink" Id="rId44" Target="https://github.com/intel/intel-resource-drivers-for-kubernetes/blob/main/doc/gpu/USAGE.md" TargetMode="External" /><Relationship Type="http://schemas.openxmlformats.org/officeDocument/2006/relationships/hyperlink" Id="rId167" Target="https://github.com/llm-d-incubation/llm-d-async" TargetMode="External" /><Relationship Type="http://schemas.openxmlformats.org/officeDocument/2006/relationships/hyperlink" Id="rId177" Target="https://github.com/llm-d/llm-d-batch-gateway" TargetMode="External" /><Relationship Type="http://schemas.openxmlformats.org/officeDocument/2006/relationships/hyperlink" Id="rId180" Target="https://github.com/llm-d/llm-d-batch-gateway/blob/main/charts/batch-gateway/README.md" TargetMode="External" /><Relationship Type="http://schemas.openxmlformats.org/officeDocument/2006/relationships/hyperlink" Id="rId184" Target="https://github.com/llm-d/llm-d-batch-gateway/blob/main/docs/guides/deploy-k8s.md" TargetMode="External" /><Relationship Type="http://schemas.openxmlformats.org/officeDocument/2006/relationships/hyperlink" Id="rId42" Target="https://github.com/llm-d/llm-d/blob/main/helpers/client-setup/README.md" TargetMode="External" /><Relationship Type="http://schemas.openxmlformats.org/officeDocument/2006/relationships/hyperlink" Id="rId66" Target="https://github.com/llm-d/llm-d/issues/241" TargetMode="External" /><Relationship Type="http://schemas.openxmlformats.org/officeDocument/2006/relationships/hyperlink" Id="rId127" Target="https://keda.sh/docs/2.20/deplo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90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appendix-a-env-vars.md" TargetMode="External" /><Relationship Type="http://schemas.openxmlformats.org/officeDocument/2006/relationships/hyperlink" Id="rId37" Target="appendix-b-known-issues.md" TargetMode="External" /><Relationship Type="http://schemas.openxmlformats.org/officeDocument/2006/relationships/hyperlink" Id="rId41" Target="https://dgpu-docs.intel.com/driver/kernel-driver-types.html" TargetMode="External" /><Relationship Type="http://schemas.openxmlformats.org/officeDocument/2006/relationships/hyperlink" Id="rId43" Target="https://github.com/intel/intel-resource-drivers-for-kubernetes" TargetMode="External" /><Relationship Type="http://schemas.openxmlformats.org/officeDocument/2006/relationships/hyperlink" Id="rId44" Target="https://github.com/intel/intel-resource-drivers-for-kubernetes/blob/main/doc/gpu/USAGE.md" TargetMode="External" /><Relationship Type="http://schemas.openxmlformats.org/officeDocument/2006/relationships/hyperlink" Id="rId167" Target="https://github.com/llm-d-incubation/llm-d-async" TargetMode="External" /><Relationship Type="http://schemas.openxmlformats.org/officeDocument/2006/relationships/hyperlink" Id="rId177" Target="https://github.com/llm-d/llm-d-batch-gateway" TargetMode="External" /><Relationship Type="http://schemas.openxmlformats.org/officeDocument/2006/relationships/hyperlink" Id="rId180" Target="https://github.com/llm-d/llm-d-batch-gateway/blob/main/charts/batch-gateway/README.md" TargetMode="External" /><Relationship Type="http://schemas.openxmlformats.org/officeDocument/2006/relationships/hyperlink" Id="rId184" Target="https://github.com/llm-d/llm-d-batch-gateway/blob/main/docs/guides/deploy-k8s.md" TargetMode="External" /><Relationship Type="http://schemas.openxmlformats.org/officeDocument/2006/relationships/hyperlink" Id="rId42" Target="https://github.com/llm-d/llm-d/blob/main/helpers/client-setup/README.md" TargetMode="External" /><Relationship Type="http://schemas.openxmlformats.org/officeDocument/2006/relationships/hyperlink" Id="rId66" Target="https://github.com/llm-d/llm-d/issues/241" TargetMode="External" /><Relationship Type="http://schemas.openxmlformats.org/officeDocument/2006/relationships/hyperlink" Id="rId127" Target="https://keda.sh/docs/2.20/deplo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2026-07-28T07:39:11Z</dcterms:created>
  <dcterms:modified xsi:type="dcterms:W3CDTF">2026-07-28T07:39:11Z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