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1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labels used below: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(ran hands-on and confirmed working) /</w:t>
      </w:r>
      <w:r>
        <w:t xml:space="preserve"> </w:t>
      </w:r>
      <w:r>
        <w:rPr>
          <w:bCs/>
          <w:b/>
        </w:rPr>
        <w:t xml:space="preserve">In Progress</w:t>
      </w:r>
      <w:r>
        <w:t xml:space="preserve"> </w:t>
      </w:r>
      <w:r>
        <w:t xml:space="preserve">(documented from official sources, not yet run hands-on) /</w:t>
      </w:r>
      <w:r>
        <w:t xml:space="preserve"> </w:t>
      </w:r>
      <w:r>
        <w:rPr>
          <w:bCs/>
          <w:b/>
        </w:rPr>
        <w:t xml:space="preserve">Outline</w:t>
      </w:r>
      <w:r>
        <w:t xml:space="preserve"> </w:t>
      </w:r>
      <w:r>
        <w:t xml:space="preserve">(outline only, full</w:t>
      </w:r>
      <w:r>
        <w:t xml:space="preserve"> </w:t>
      </w:r>
      <w:r>
        <w:t xml:space="preserve">deployment steps not yet written) /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(not applicable — no Intel XPU backend exists upstream)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in-repo; deployment steps documented but not yet hands-on validated on a live cluster)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 (In Progress)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 (In Progress)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 (In Progress)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 (In Progress)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 (In Progress)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 (In Progress)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 — In Progress, fully written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  <w:r>
        <w:t xml:space="preserve"> </w:t>
      </w:r>
      <w:r>
        <w:t xml:space="preserve">— In Progress, fully written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(In Progress; NVIDIA-only upstream — this chapter documents the exact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(N/A — confirmed no Intel XPU backend exists)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numPr>
          <w:ilvl w:val="0"/>
          <w:numId w:val="1001"/>
        </w:numPr>
        <w:pStyle w:val="Compact"/>
      </w:pPr>
      <w:hyperlink r:id="rId39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Start w:id="40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1, and are the only cases with complete,</w:t>
      </w:r>
      <w:r>
        <w:t xml:space="preserve"> </w:t>
      </w:r>
      <w:r>
        <w:t xml:space="preserve">fully-written deployment chapters today.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own. All nine now have fully-written deployment chapters (Chapters 2–5, In Progress).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 specific, with the Intel XPU</w:t>
      </w:r>
      <w:r>
        <w:t xml:space="preserve"> </w:t>
      </w:r>
      <w:r>
        <w:t xml:space="preserve">substitution spelled out in full in its chapter — it is not a maintained, first-class Intel XPU</w:t>
      </w:r>
      <w:r>
        <w:t xml:space="preserve"> </w:t>
      </w:r>
      <w:r>
        <w:t xml:space="preserve">path upstream, but the chapter is complete.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 — so it is documented as N/A</w:t>
      </w:r>
      <w:r>
        <w:t xml:space="preserve"> </w:t>
      </w:r>
      <w:r>
        <w:t xml:space="preserve">rather than given deployment steps. All case-by-case detail is 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40"/>
    <w:bookmarkEnd w:id="41"/>
    <w:bookmarkEnd w:id="42"/>
    <w:bookmarkStart w:id="49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4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recommended) with nodes exposing Intel Data Center GPU Max series or</w:t>
      </w:r>
      <w:r>
        <w:t xml:space="preserve"> </w:t>
      </w:r>
      <w:r>
        <w:t xml:space="preserve">Intel Arc Pro GPUs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device plugin / DRA driver</w:t>
      </w:r>
      <w:r>
        <w:t xml:space="preserve"> </w:t>
      </w:r>
      <w:r>
        <w:t xml:space="preserve">installed,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End w:id="44"/>
    <w:bookmarkStart w:id="45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5"/>
    <w:bookmarkStart w:id="46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6"/>
    <w:bookmarkStart w:id="47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47"/>
    <w:bookmarkStart w:id="48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optimized-baseline-in-progress"/>
    <w:p>
      <w:pPr>
        <w:pStyle w:val="Heading1"/>
      </w:pPr>
      <w:r>
        <w:t xml:space="preserve">1.1 Optimized Baseline (In Progress)</w:t>
      </w:r>
    </w:p>
    <w:bookmarkStart w:id="5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0"/>
    <w:bookmarkStart w:id="51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1"/>
    <w:bookmarkStart w:id="52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2"/>
    <w:bookmarkStart w:id="53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3"/>
    <w:bookmarkStart w:id="54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4"/>
    <w:bookmarkStart w:id="55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5"/>
    <w:bookmarkStart w:id="56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6"/>
    <w:bookmarkStart w:id="57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8" w:name="pd-disaggregation-in-progress"/>
    <w:p>
      <w:pPr>
        <w:pStyle w:val="Heading1"/>
      </w:pPr>
      <w:r>
        <w:t xml:space="preserve">1.2 P/D Disaggregation (In Progress)</w:t>
      </w:r>
    </w:p>
    <w:bookmarkStart w:id="59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59"/>
    <w:bookmarkStart w:id="60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0"/>
    <w:bookmarkStart w:id="61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1"/>
    <w:bookmarkStart w:id="62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2"/>
    <w:bookmarkStart w:id="63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3"/>
    <w:bookmarkStart w:id="65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5"/>
    <w:bookmarkStart w:id="66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6"/>
    <w:bookmarkStart w:id="67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7" w:name="precise-prefix-cache-routing-in-progress"/>
    <w:p>
      <w:pPr>
        <w:pStyle w:val="Heading1"/>
      </w:pPr>
      <w:r>
        <w:t xml:space="preserve">1.3 Precise Prefix Cache Routing (In Progress)</w:t>
      </w:r>
    </w:p>
    <w:bookmarkStart w:id="69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69"/>
    <w:bookmarkStart w:id="70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0"/>
    <w:bookmarkStart w:id="71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1"/>
    <w:bookmarkStart w:id="72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2"/>
    <w:bookmarkStart w:id="73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3"/>
    <w:bookmarkStart w:id="74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4"/>
    <w:bookmarkStart w:id="75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5"/>
    <w:bookmarkStart w:id="76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End w:id="77"/>
    <w:bookmarkStart w:id="86" w:name="tiered-prefix-cache-in-progress"/>
    <w:p>
      <w:pPr>
        <w:pStyle w:val="Heading1"/>
      </w:pPr>
      <w:r>
        <w:t xml:space="preserve">1.4 Tiered Prefix Cache (In Progress)</w:t>
      </w:r>
    </w:p>
    <w:bookmarkStart w:id="78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78"/>
    <w:bookmarkStart w:id="79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79"/>
    <w:bookmarkStart w:id="80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0"/>
    <w:bookmarkStart w:id="81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1"/>
    <w:bookmarkStart w:id="82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2"/>
    <w:bookmarkStart w:id="83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3"/>
    <w:bookmarkStart w:id="84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4"/>
    <w:bookmarkStart w:id="85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96" w:name="wide-expert-parallelism-in-progress"/>
    <w:p>
      <w:pPr>
        <w:pStyle w:val="Heading1"/>
      </w:pPr>
      <w:r>
        <w:t xml:space="preserve">1.5 Wide Expert Parallelism (In Progress)</w:t>
      </w:r>
    </w:p>
    <w:bookmarkStart w:id="87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87"/>
    <w:bookmarkStart w:id="89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plus:</w:t>
      </w:r>
      <w:r>
        <w:t xml:space="preserve"> </w:t>
      </w:r>
      <w:r>
        <w:t xml:space="preserve">-</w:t>
      </w:r>
      <w:r>
        <w:t xml:space="preserve"> </w:t>
      </w:r>
      <w:hyperlink r:id="rId88">
        <w:r>
          <w:rPr>
            <w:rStyle w:val="Hyperlink"/>
          </w:rPr>
          <w:t xml:space="preserve">Intel Resource Drivers for Kubernetes</w:t>
        </w:r>
      </w:hyperlink>
      <w:r>
        <w:t xml:space="preserve"> </w:t>
      </w:r>
      <w:r>
        <w:t xml:space="preserve">installed, with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verified available</w:t>
      </w:r>
    </w:p>
    <w:bookmarkEnd w:id="89"/>
    <w:bookmarkStart w:id="90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0"/>
    <w:bookmarkStart w:id="91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1"/>
    <w:bookmarkStart w:id="92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2"/>
    <w:bookmarkStart w:id="93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3"/>
    <w:bookmarkStart w:id="94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4"/>
    <w:bookmarkStart w:id="95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5" w:name="X0d79e560fa0bbb8acf0b5808a7c491b67631852"/>
    <w:p>
      <w:pPr>
        <w:pStyle w:val="Heading1"/>
      </w:pPr>
      <w:r>
        <w:t xml:space="preserve">1.6 Multimodal Serving (Aggregated) (In Progress)</w:t>
      </w:r>
    </w:p>
    <w:bookmarkStart w:id="97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97"/>
    <w:bookmarkStart w:id="98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98"/>
    <w:bookmarkStart w:id="99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99"/>
    <w:bookmarkStart w:id="100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0"/>
    <w:bookmarkStart w:id="101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1"/>
    <w:bookmarkStart w:id="102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2"/>
    <w:bookmarkStart w:id="103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3"/>
    <w:bookmarkStart w:id="104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14" w:name="flow-control-in-progress"/>
    <w:p>
      <w:pPr>
        <w:pStyle w:val="Heading1"/>
      </w:pPr>
      <w:r>
        <w:t xml:space="preserve">2.1 Flow Control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same steps apply on Intel XPU as any other accelerator.</w:t>
      </w:r>
    </w:p>
    <w:bookmarkStart w:id="106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6"/>
    <w:bookmarkStart w:id="107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07"/>
    <w:bookmarkStart w:id="108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08"/>
    <w:bookmarkStart w:id="109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09"/>
    <w:bookmarkStart w:id="110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0"/>
    <w:bookmarkStart w:id="111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1"/>
    <w:bookmarkStart w:id="112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2"/>
    <w:bookmarkStart w:id="113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3"/>
    <w:bookmarkEnd w:id="114"/>
    <w:bookmarkStart w:id="123" w:name="Xb6ee0d3f148df93be6818c51d392b724bf68305"/>
    <w:p>
      <w:pPr>
        <w:pStyle w:val="Heading1"/>
      </w:pPr>
      <w:r>
        <w:t xml:space="preserve">2.2 Predicted Latency-Based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at</w:t>
      </w:r>
      <w:r>
        <w:t xml:space="preserve"> </w:t>
      </w:r>
      <w:r>
        <w:t xml:space="preserve">the routing layer; the GPU/TPU-specific model-server paths shown upstream do not include an</w:t>
      </w:r>
      <w:r>
        <w:t xml:space="preserve"> </w:t>
      </w:r>
      <w:r>
        <w:t xml:space="preserve">Intel XPU variant of their own — Intel XPU deployers reuse the Optimized Baseline overlay exactly</w:t>
      </w:r>
      <w:r>
        <w:t xml:space="preserve"> </w:t>
      </w:r>
      <w:r>
        <w:t xml:space="preserve">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bookmarkStart w:id="115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5"/>
    <w:bookmarkStart w:id="116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6"/>
    <w:bookmarkStart w:id="117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17"/>
    <w:bookmarkStart w:id="118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18"/>
    <w:bookmarkStart w:id="119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19"/>
    <w:bookmarkStart w:id="120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0"/>
    <w:bookmarkStart w:id="121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1"/>
    <w:bookmarkStart w:id="122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2"/>
    <w:bookmarkEnd w:id="123"/>
    <w:bookmarkStart w:id="133" w:name="workload-autoscaling-in-progress"/>
    <w:p>
      <w:pPr>
        <w:pStyle w:val="Heading1"/>
      </w:pPr>
      <w:r>
        <w:t xml:space="preserve">2.3 Workload Autoscaling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scales whatever model-server Deployment you already run (including the Intel XPU Optimized</w:t>
      </w:r>
      <w:r>
        <w:t xml:space="preserve"> </w:t>
      </w:r>
      <w:r>
        <w:t xml:space="preserve">Baseline overlay); no accelerator-specific autoscaling logic exists.</w:t>
      </w:r>
    </w:p>
    <w:bookmarkStart w:id="124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Both paths require KEDA is the recommended metrics adapter (Prometheus Adapter is deprecated).</w:t>
      </w:r>
    </w:p>
    <w:bookmarkEnd w:id="124"/>
    <w:bookmarkStart w:id="126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5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6"/>
    <w:bookmarkStart w:id="127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27"/>
    <w:bookmarkStart w:id="128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28"/>
    <w:bookmarkStart w:id="129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29"/>
    <w:bookmarkStart w:id="130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0"/>
    <w:bookmarkStart w:id="131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1"/>
    <w:bookmarkStart w:id="132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2"/>
    <w:bookmarkEnd w:id="133"/>
    <w:bookmarkStart w:id="145" w:name="rollouts-in-progress"/>
    <w:p>
      <w:pPr>
        <w:pStyle w:val="Heading1"/>
      </w:pPr>
      <w:r>
        <w:t xml:space="preserve">2.4 Rollouts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directly useful for migrating an existing NVIDIA deployment to Intel XPU (or vice versa) with</w:t>
      </w:r>
      <w:r>
        <w:t xml:space="preserve"> </w:t>
      </w:r>
      <w:r>
        <w:t xml:space="preserve">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4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4"/>
    <w:bookmarkStart w:id="135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5"/>
    <w:bookmarkStart w:id="139" w:name="deployment-steps-8"/>
    <w:p>
      <w:pPr>
        <w:pStyle w:val="Heading2"/>
      </w:pPr>
      <w:r>
        <w:t xml:space="preserve">Deployment Steps</w:t>
      </w:r>
    </w:p>
    <w:bookmarkStart w:id="136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6"/>
    <w:bookmarkStart w:id="137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37"/>
    <w:bookmarkStart w:id="138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38"/>
    <w:bookmarkEnd w:id="139"/>
    <w:bookmarkStart w:id="140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0"/>
    <w:bookmarkStart w:id="141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1"/>
    <w:bookmarkStart w:id="142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2"/>
    <w:bookmarkStart w:id="143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3"/>
    <w:bookmarkStart w:id="144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4"/>
    <w:bookmarkEnd w:id="145"/>
    <w:bookmarkStart w:id="154" w:name="agentic-serving-in-progress"/>
    <w:p>
      <w:pPr>
        <w:pStyle w:val="Heading1"/>
      </w:pPr>
      <w:r>
        <w:t xml:space="preserve">3.1 Agentic Serving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This is a</w:t>
      </w:r>
      <w:r>
        <w:t xml:space="preserve"> </w:t>
      </w:r>
      <w:r>
        <w:rPr>
          <w:bCs/>
          <w:b/>
        </w:rPr>
        <w:t xml:space="preserve">workload</w:t>
      </w:r>
      <w:r>
        <w:rPr>
          <w:bCs/>
          <w:b/>
        </w:rPr>
        <w:t xml:space="preserve"> </w:t>
      </w:r>
      <w:r>
        <w:rPr>
          <w:bCs/>
          <w:b/>
        </w:rPr>
        <w:t xml:space="preserve">composition guide</w:t>
      </w:r>
      <w:r>
        <w:t xml:space="preserve">, not a standalone deployable overlay — its two ready-made hardware-specific</w:t>
      </w:r>
      <w:r>
        <w:t xml:space="preserve"> </w:t>
      </w:r>
      <w:r>
        <w:t xml:space="preserve">deployments (NVIDIA H200, Google TPU v7) do not include an Intel XPU variant; Intel XPU users</w:t>
      </w:r>
      <w:r>
        <w:t xml:space="preserve"> </w:t>
      </w:r>
      <w:r>
        <w:t xml:space="preserve">compose the same building blocks manually as described below.</w:t>
      </w:r>
    </w:p>
    <w:bookmarkStart w:id="146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6"/>
    <w:bookmarkStart w:id="147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47"/>
    <w:bookmarkStart w:id="148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48"/>
    <w:bookmarkStart w:id="149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49"/>
    <w:bookmarkStart w:id="150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0"/>
    <w:bookmarkStart w:id="151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1"/>
    <w:bookmarkStart w:id="152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2"/>
    <w:bookmarkStart w:id="153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3"/>
    <w:bookmarkEnd w:id="154"/>
    <w:bookmarkStart w:id="164" w:name="multi-model-routing-in-progress"/>
    <w:p>
      <w:pPr>
        <w:pStyle w:val="Heading1"/>
      </w:pPr>
      <w:r>
        <w:t xml:space="preserve">3.2 Multi-Model Routing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Inference Payload Processor (IPP) and HTTPRoute-based routing operate purely at the Gateway</w:t>
      </w:r>
      <w:r>
        <w:t xml:space="preserve"> </w:t>
      </w:r>
      <w:r>
        <w:t xml:space="preserve">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 deployment.</w:t>
      </w:r>
    </w:p>
    <w:bookmarkStart w:id="155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5"/>
    <w:bookmarkStart w:id="156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6"/>
    <w:bookmarkStart w:id="157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use --set provider.name=gke on GKE, or omit provider.name for standalone (no Gateway)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57"/>
    <w:bookmarkStart w:id="158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58"/>
    <w:bookmarkStart w:id="160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59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59"/>
    <w:bookmarkEnd w:id="160"/>
    <w:bookmarkStart w:id="161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1"/>
    <w:bookmarkStart w:id="162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2"/>
    <w:bookmarkStart w:id="163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3"/>
    <w:bookmarkEnd w:id="164"/>
    <w:bookmarkStart w:id="174" w:name="asynchronous-processing-in-progress"/>
    <w:p>
      <w:pPr>
        <w:pStyle w:val="Heading1"/>
      </w:pPr>
      <w:r>
        <w:t xml:space="preserve">4.1 Asynchronous Processing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the Async Processor dispatches to whatever llm-d Router endpoint you give it; the backing model</w:t>
      </w:r>
      <w:r>
        <w:t xml:space="preserve"> </w:t>
      </w:r>
      <w:r>
        <w:t xml:space="preserve">server can be any Optimized Baseline overlay, including Intel XPU.</w:t>
      </w:r>
    </w:p>
    <w:bookmarkStart w:id="166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6"/>
    <w:bookmarkStart w:id="167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t xml:space="preserve">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67"/>
    <w:bookmarkStart w:id="168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68"/>
    <w:bookmarkStart w:id="169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69"/>
    <w:bookmarkStart w:id="170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0"/>
    <w:bookmarkStart w:id="171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1"/>
    <w:bookmarkStart w:id="172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2"/>
    <w:bookmarkStart w:id="173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3"/>
    <w:bookmarkEnd w:id="174"/>
    <w:bookmarkStart w:id="186" w:name="batch-gateway-in-progress"/>
    <w:p>
      <w:pPr>
        <w:pStyle w:val="Heading1"/>
      </w:pPr>
      <w:r>
        <w:t xml:space="preserve">4.2 Batch Gateway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 Hardware-agnostic —</w:t>
      </w:r>
      <w:r>
        <w:t xml:space="preserve"> </w:t>
      </w:r>
      <w:r>
        <w:t xml:space="preserve">Batch Gateway dispatches to an existing llm-d Router endpoint; the backing model server can be</w:t>
      </w:r>
      <w:r>
        <w:t xml:space="preserve"> </w:t>
      </w:r>
      <w:r>
        <w:t xml:space="preserve">any Optimized Baseline overlay, including Intel XPU.</w:t>
      </w:r>
    </w:p>
    <w:bookmarkStart w:id="176" w:name="overview-13"/>
    <w:p>
      <w:pPr>
        <w:pStyle w:val="Heading2"/>
      </w:pPr>
      <w:r>
        <w:t xml:space="preserve">Overview</w:t>
      </w:r>
    </w:p>
    <w:p>
      <w:pPr>
        <w:pStyle w:val="FirstParagraph"/>
      </w:pPr>
      <w:hyperlink r:id="rId175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6"/>
    <w:bookmarkStart w:id="177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77"/>
    <w:bookmarkStart w:id="179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78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79"/>
    <w:bookmarkStart w:id="180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bookmarkEnd w:id="180"/>
    <w:bookmarkStart w:id="181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1"/>
    <w:bookmarkStart w:id="183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2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3"/>
    <w:bookmarkStart w:id="184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4"/>
    <w:bookmarkStart w:id="185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5"/>
    <w:bookmarkEnd w:id="186"/>
    <w:bookmarkStart w:id="196" w:name="no-kubernetes-deployment-in-progress"/>
    <w:p>
      <w:pPr>
        <w:pStyle w:val="Heading1"/>
      </w:pPr>
      <w:r>
        <w:t xml:space="preserve">5.1 No-Kubernetes Deployment (In Progress)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documented from official repo sources, not yet run hands-on.</w:t>
      </w:r>
      <w:r>
        <w:t xml:space="preserve"> </w:t>
      </w:r>
      <w:r>
        <w:rPr>
          <w:bCs/>
          <w:b/>
        </w:rPr>
        <w:t xml:space="preserve">This guide targets</w:t>
      </w:r>
      <w:r>
        <w:rPr>
          <w:bCs/>
          <w:b/>
        </w:rPr>
        <w:t xml:space="preserve"> </w:t>
      </w:r>
      <w:r>
        <w:rPr>
          <w:bCs/>
          <w:b/>
        </w:rPr>
        <w:t xml:space="preserve">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</w:t>
      </w:r>
      <w:r>
        <w:t xml:space="preserve"> </w:t>
      </w:r>
      <w:r>
        <w:t xml:space="preserve">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 first-class Intel XPU</w:t>
      </w:r>
      <w:r>
        <w:t xml:space="preserve"> </w:t>
      </w:r>
      <w:r>
        <w:t xml:space="preserve">path today; Intel XPU is explicitly left to the reader as a manual substitution. This chapter</w:t>
      </w:r>
      <w:r>
        <w:t xml:space="preserve"> </w:t>
      </w:r>
      <w:r>
        <w:t xml:space="preserve">documents the guide as-is and explains exactly what to substitute for Intel XPU, rather than</w:t>
      </w:r>
      <w:r>
        <w:t xml:space="preserve"> </w:t>
      </w:r>
      <w:r>
        <w:t xml:space="preserve">presenting an untested Intel XPU procedure as if it were upstream-supported.</w:t>
      </w:r>
    </w:p>
    <w:bookmarkStart w:id="187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87"/>
    <w:bookmarkStart w:id="188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88"/>
    <w:bookmarkStart w:id="189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89"/>
    <w:bookmarkStart w:id="190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0"/>
    <w:bookmarkStart w:id="191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1"/>
    <w:bookmarkStart w:id="192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2"/>
    <w:bookmarkStart w:id="193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3"/>
    <w:bookmarkStart w:id="194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4"/>
    <w:bookmarkStart w:id="195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5"/>
    <w:bookmarkEnd w:id="196"/>
    <w:bookmarkStart w:id="201" w:name="encode-disaggregation-multimodal-na"/>
    <w:p>
      <w:pPr>
        <w:pStyle w:val="Heading1"/>
      </w:pPr>
      <w:r>
        <w:t xml:space="preserve">5.2 Encode Disaggregation (Multimodal) (N/A)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not applicable — confirmed</w:t>
      </w:r>
      <w:r>
        <w:t xml:space="preserve"> </w:t>
      </w:r>
      <w:r>
        <w:rPr>
          <w:bCs/>
          <w:b/>
        </w:rPr>
        <w:t xml:space="preserve">no Intel XPU backend exists</w:t>
      </w:r>
      <w:r>
        <w:t xml:space="preserve"> </w:t>
      </w:r>
      <w:r>
        <w:t xml:space="preserve">for this guide.</w:t>
      </w:r>
    </w:p>
    <w:bookmarkStart w:id="197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197"/>
    <w:bookmarkStart w:id="198" w:name="Xb9be454ac1ef17536917dfddec4b873cbf2b204"/>
    <w:p>
      <w:pPr>
        <w:pStyle w:val="Heading2"/>
      </w:pPr>
      <w:r>
        <w:t xml:space="preserve">Why this chapter is empty of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</w:t>
      </w:r>
      <w:r>
        <w:t xml:space="preserve"> </w:t>
      </w:r>
      <w:r>
        <w:t xml:space="preserve">and there is no accelerator-agnostic substitution path documented upstream,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 </w:t>
      </w:r>
      <w:r>
        <w:t xml:space="preserve">where the substitution is</w:t>
      </w:r>
      <w:r>
        <w:t xml:space="preserve"> </w:t>
      </w:r>
      <w:r>
        <w:t xml:space="preserve">straightforward. Writing speculative Intel XPU steps here would not be traceable to any real</w:t>
      </w:r>
      <w:r>
        <w:t xml:space="preserve"> </w:t>
      </w:r>
      <w:r>
        <w:t xml:space="preserve">repository content, so this chapter intentionally stops at the scope note.</w:t>
      </w:r>
    </w:p>
    <w:bookmarkEnd w:id="198"/>
    <w:bookmarkStart w:id="199" w:name="if-intel-xpu-support-is-added-upstream"/>
    <w:p>
      <w:pPr>
        <w:pStyle w:val="Heading2"/>
      </w:pPr>
      <w:r>
        <w:t xml:space="preserve">If Intel XPU support is added upstream</w:t>
      </w:r>
    </w:p>
    <w:p>
      <w:pPr>
        <w:pStyle w:val="FirstParagraph"/>
      </w:pPr>
      <w:r>
        <w:t xml:space="preserve">Follow the same chapter template as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 </w:t>
      </w:r>
      <w:r>
        <w:t xml:space="preserve">once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appears for this guide —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updates, and update this chapter’s status from (N/A) to (In Progress)/(Verified) accordingly.</w:t>
      </w:r>
    </w:p>
    <w:bookmarkEnd w:id="199"/>
    <w:bookmarkStart w:id="200" w:name="config-reference-9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E/PD (2 encode + 8× TP2 combined prefill/decode), E/P/D (2 encode + 2× TP4 prefill + 2× TP4 decode)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Related, Intel-XPU-supported case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Multimodal Serving (Aggregated)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simpler topology, has a real</w:t>
            </w:r>
            <w:r>
              <w:t xml:space="preserve"> </w:t>
            </w:r>
            <w:r>
              <w:rPr>
                <w:rStyle w:val="VerbatimChar"/>
              </w:rPr>
              <w:t xml:space="preserve">modelserver/xpu/vllm</w:t>
            </w:r>
            <w:r>
              <w:t xml:space="preserve"> </w:t>
            </w:r>
            <w:r>
              <w:t xml:space="preserve">overlay</w:t>
            </w:r>
          </w:p>
        </w:tc>
      </w:tr>
    </w:tbl>
    <w:bookmarkEnd w:id="200"/>
    <w:bookmarkEnd w:id="201"/>
    <w:bookmarkStart w:id="202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2"/>
    <w:bookmarkStart w:id="203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4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88" Target="https://github.com/intel/intel-resource-drivers-for-kubernetes" TargetMode="External" /><Relationship Type="http://schemas.openxmlformats.org/officeDocument/2006/relationships/hyperlink" Id="rId165" Target="https://github.com/llm-d-incubation/llm-d-async" TargetMode="External" /><Relationship Type="http://schemas.openxmlformats.org/officeDocument/2006/relationships/hyperlink" Id="rId175" Target="https://github.com/llm-d/llm-d-batch-gateway" TargetMode="External" /><Relationship Type="http://schemas.openxmlformats.org/officeDocument/2006/relationships/hyperlink" Id="rId178" Target="https://github.com/llm-d/llm-d-batch-gateway/blob/main/charts/batch-gateway/README.md" TargetMode="External" /><Relationship Type="http://schemas.openxmlformats.org/officeDocument/2006/relationships/hyperlink" Id="rId182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4" Target="https://github.com/llm-d/llm-d/issues/241" TargetMode="External" /><Relationship Type="http://schemas.openxmlformats.org/officeDocument/2006/relationships/hyperlink" Id="rId125" Target="https://keda.sh/docs/2.20/deploy/" TargetMode="External" /><Relationship Type="http://schemas.openxmlformats.org/officeDocument/2006/relationships/hyperlink" Id="rId39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2026-07-21T01:35:08Z</dcterms:created>
  <dcterms:modified xsi:type="dcterms:W3CDTF">2026-07-21T01:35:08Z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