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0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Outline</w:t>
      </w:r>
      <w:r>
        <w:t xml:space="preserve"> </w:t>
      </w:r>
      <w:r>
        <w:t xml:space="preserve">(outline only, full</w:t>
      </w:r>
      <w:r>
        <w:t xml:space="preserve"> </w:t>
      </w:r>
      <w:r>
        <w:t xml:space="preserve">deployment steps not yet written)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(In Progress)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(In Progress)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(In Progress)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(In Progress)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(In Progress)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In Progress,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(In Progress; NVIDIA-only upstream —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(N/A — 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in this directory is a separate, continuously-updated per-case validation-status</w:t>
      </w:r>
      <w:r>
        <w:t xml:space="preserve"> </w:t>
      </w:r>
      <w:r>
        <w:t xml:space="preserve">tracker — useful when browsing the repository directly, but it is not one of the chapters above</w:t>
      </w:r>
      <w:r>
        <w:t xml:space="preserve"> </w:t>
      </w:r>
      <w:r>
        <w:t xml:space="preserve">and is not included in the compiled PDF/Word export of this whitepaper.</w:t>
      </w:r>
    </w:p>
    <w:bookmarkStart w:id="39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In Progress).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N/A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39"/>
    <w:bookmarkEnd w:id="40"/>
    <w:bookmarkEnd w:id="41"/>
    <w:bookmarkStart w:id="52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7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recommended; 1.34+ if you plan to use the DRA-based deployment</w:t>
      </w:r>
      <w:r>
        <w:t xml:space="preserve"> </w:t>
      </w:r>
      <w:r>
        <w:t xml:space="preserve">templates, since DRA’s structured-parameters API only reached GA in that release) with nodes</w:t>
      </w:r>
      <w:r>
        <w:t xml:space="preserve"> </w:t>
      </w:r>
      <w:r>
        <w:t xml:space="preserve">exposing Intel Data Center GPU Max series or Intel Arc Pro GPUs, and the host Linux</w:t>
      </w:r>
      <w:r>
        <w:t xml:space="preserve"> </w:t>
      </w:r>
      <w:hyperlink r:id="rId42">
        <w:r>
          <w:rPr>
            <w:rStyle w:val="Hyperlink"/>
          </w:rPr>
          <w:t xml:space="preserve">Intel GPU kernel driver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installed on each node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DRA driver</w:t>
      </w:r>
      <w:r>
        <w:t xml:space="preserve"> </w:t>
      </w:r>
      <w:r>
        <w:t xml:space="preserve">installed (see 0.1.1 below),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Start w:id="46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llm-d repo itself — this is a cluster-level, vendor-provided component from</w:t>
      </w:r>
      <w:r>
        <w:t xml:space="preserve"> </w:t>
      </w:r>
      <w:hyperlink r:id="rId44">
        <w:r>
          <w:rPr>
            <w:rStyle w:val="VerbatimChar"/>
          </w:rPr>
          <w:t xml:space="preserve">intel/intel-resource-drivers-for-kubernetes</w:t>
        </w:r>
      </w:hyperlink>
      <w:r>
        <w:t xml:space="preserve"> </w:t>
      </w:r>
      <w:r>
        <w:t xml:space="preserve">that must be installed once per cluster before any Intel XPU case in this whitepaper. Install via</w:t>
      </w:r>
      <w:r>
        <w:t xml:space="preserve"> </w:t>
      </w:r>
      <w:r>
        <w:t xml:space="preserve">its 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5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6"/>
    <w:bookmarkEnd w:id="47"/>
    <w:bookmarkStart w:id="48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8"/>
    <w:bookmarkStart w:id="49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9"/>
    <w:bookmarkStart w:id="50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50"/>
    <w:bookmarkStart w:id="51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optimized-baseline-in-progress"/>
    <w:p>
      <w:pPr>
        <w:pStyle w:val="Heading1"/>
      </w:pPr>
      <w:r>
        <w:t xml:space="preserve">1.1 Optimized Baseline (In Progress)</w:t>
      </w:r>
    </w:p>
    <w:bookmarkStart w:id="5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3"/>
    <w:bookmarkStart w:id="5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4"/>
    <w:bookmarkStart w:id="55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5"/>
    <w:bookmarkStart w:id="56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6"/>
    <w:bookmarkStart w:id="57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8"/>
    <w:bookmarkStart w:id="59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9"/>
    <w:bookmarkStart w:id="60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71" w:name="pd-disaggregation-in-progress"/>
    <w:p>
      <w:pPr>
        <w:pStyle w:val="Heading1"/>
      </w:pPr>
      <w:r>
        <w:t xml:space="preserve">1.2 P/D Disaggregation (In Progress)</w:t>
      </w:r>
    </w:p>
    <w:bookmarkStart w:id="62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2"/>
    <w:bookmarkStart w:id="63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3"/>
    <w:bookmarkStart w:id="64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4"/>
    <w:bookmarkStart w:id="65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5"/>
    <w:bookmarkStart w:id="66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6"/>
    <w:bookmarkStart w:id="68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8"/>
    <w:bookmarkStart w:id="69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9"/>
    <w:bookmarkStart w:id="70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0" w:name="precise-prefix-cache-routing-in-progress"/>
    <w:p>
      <w:pPr>
        <w:pStyle w:val="Heading1"/>
      </w:pPr>
      <w:r>
        <w:t xml:space="preserve">1.3 Precise Prefix Cache Routing (In Progress)</w:t>
      </w:r>
    </w:p>
    <w:bookmarkStart w:id="72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2"/>
    <w:bookmarkStart w:id="73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3"/>
    <w:bookmarkStart w:id="74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4"/>
    <w:bookmarkStart w:id="75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5"/>
    <w:bookmarkStart w:id="76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6"/>
    <w:bookmarkStart w:id="77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7"/>
    <w:bookmarkStart w:id="78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8"/>
    <w:bookmarkStart w:id="79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9" w:name="tiered-prefix-cache-in-progress"/>
    <w:p>
      <w:pPr>
        <w:pStyle w:val="Heading1"/>
      </w:pPr>
      <w:r>
        <w:t xml:space="preserve">1.4 Tiered Prefix Cache (In Progress)</w:t>
      </w:r>
    </w:p>
    <w:bookmarkStart w:id="8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81"/>
    <w:bookmarkStart w:id="82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2"/>
    <w:bookmarkStart w:id="83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3"/>
    <w:bookmarkStart w:id="84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4"/>
    <w:bookmarkStart w:id="85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5"/>
    <w:bookmarkStart w:id="86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6"/>
    <w:bookmarkStart w:id="87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7"/>
    <w:bookmarkStart w:id="88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9" w:name="wide-expert-parallelism-in-progress"/>
    <w:p>
      <w:pPr>
        <w:pStyle w:val="Heading1"/>
      </w:pPr>
      <w:r>
        <w:t xml:space="preserve">1.5 Wide Expert Parallelism (In Progress)</w:t>
      </w:r>
    </w:p>
    <w:bookmarkStart w:id="90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90"/>
    <w:bookmarkStart w:id="92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</w:t>
      </w:r>
      <w:r>
        <w:t xml:space="preserve"> </w:t>
      </w:r>
      <w:hyperlink r:id="rId91">
        <w:r>
          <w:rPr>
            <w:rStyle w:val="Hyperlink"/>
          </w:rPr>
          <w:t xml:space="preserve">Intel GPU DRA driver</w:t>
        </w:r>
      </w:hyperlink>
      <w:r>
        <w:t xml:space="preserve"> </w:t>
      </w:r>
      <w:r>
        <w:t xml:space="preserve">already covers this case’s device requirement — no additional driver install beyond Chapter 0.</w:t>
      </w:r>
    </w:p>
    <w:bookmarkEnd w:id="92"/>
    <w:bookmarkStart w:id="93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3"/>
    <w:bookmarkStart w:id="94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4"/>
    <w:bookmarkStart w:id="95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5"/>
    <w:bookmarkStart w:id="96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6"/>
    <w:bookmarkStart w:id="97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7"/>
    <w:bookmarkStart w:id="98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8" w:name="X0d79e560fa0bbb8acf0b5808a7c491b67631852"/>
    <w:p>
      <w:pPr>
        <w:pStyle w:val="Heading1"/>
      </w:pPr>
      <w:r>
        <w:t xml:space="preserve">1.6 Multimodal Serving (Aggregated) (In Progress)</w:t>
      </w:r>
    </w:p>
    <w:bookmarkStart w:id="100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100"/>
    <w:bookmarkStart w:id="101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101"/>
    <w:bookmarkStart w:id="102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2"/>
    <w:bookmarkStart w:id="103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3"/>
    <w:bookmarkStart w:id="104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4"/>
    <w:bookmarkStart w:id="105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5"/>
    <w:bookmarkStart w:id="106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6"/>
    <w:bookmarkStart w:id="107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7" w:name="flow-control-in-progress"/>
    <w:p>
      <w:pPr>
        <w:pStyle w:val="Heading1"/>
      </w:pPr>
      <w:r>
        <w:t xml:space="preserve">2.1 Flow Control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9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9"/>
    <w:bookmarkStart w:id="110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10"/>
    <w:bookmarkStart w:id="111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11"/>
    <w:bookmarkStart w:id="112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2"/>
    <w:bookmarkStart w:id="113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3"/>
    <w:bookmarkStart w:id="114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4"/>
    <w:bookmarkStart w:id="115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Must reuse the same kustomize+sed rename pipeline as the deploy step above — the resources were</w:t>
      </w:r>
      <w:r>
        <w:br/>
      </w:r>
      <w:r>
        <w:rPr>
          <w:rStyle w:val="CommentTok"/>
        </w:rPr>
        <w:t xml:space="preserve"># created under the ${GUIDE_NAME}-prefixed names, not the original optimized-baseline names, so a</w:t>
      </w:r>
      <w:r>
        <w:br/>
      </w:r>
      <w:r>
        <w:rPr>
          <w:rStyle w:val="CommentTok"/>
        </w:rPr>
        <w:t xml:space="preserve"># plain `kubectl delete -k .../optimized-baseline/modelserver/xpu/vllm/` would not match them.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5"/>
    <w:bookmarkStart w:id="116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6"/>
    <w:bookmarkEnd w:id="117"/>
    <w:bookmarkStart w:id="126" w:name="Xb6ee0d3f148df93be6818c51d392b724bf68305"/>
    <w:p>
      <w:pPr>
        <w:pStyle w:val="Heading1"/>
      </w:pPr>
      <w:r>
        <w:t xml:space="preserve">2.2 Predicted Latency-Based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8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8"/>
    <w:bookmarkStart w:id="119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9"/>
    <w:bookmarkStart w:id="120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20"/>
    <w:bookmarkStart w:id="121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21"/>
    <w:bookmarkStart w:id="122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2"/>
    <w:bookmarkStart w:id="123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3"/>
    <w:bookmarkStart w:id="124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4"/>
    <w:bookmarkStart w:id="125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5"/>
    <w:bookmarkEnd w:id="126"/>
    <w:bookmarkStart w:id="136" w:name="workload-autoscaling-in-progress"/>
    <w:p>
      <w:pPr>
        <w:pStyle w:val="Heading1"/>
      </w:pPr>
      <w:r>
        <w:t xml:space="preserve">2.3 Workload Autoscaling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7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KEDA (or the OpenShift Custom Metrics Autoscaler Operator) is the recommended metrics adapter for</w:t>
      </w:r>
      <w:r>
        <w:t xml:space="preserve"> </w:t>
      </w:r>
      <w:r>
        <w:t xml:space="preserve">both paths — Prometheus Adapter is deprecated. The</w:t>
      </w:r>
      <w:r>
        <w:t xml:space="preserve"> </w:t>
      </w:r>
      <w:r>
        <w:rPr>
          <w:bCs/>
          <w:b/>
        </w:rPr>
        <w:t xml:space="preserve">KEDA + EPP Metrics</w:t>
      </w:r>
      <w:r>
        <w:t xml:space="preserve"> </w:t>
      </w:r>
      <w:r>
        <w:t xml:space="preserve">path documents KEDA as</w:t>
      </w:r>
      <w:r>
        <w:t xml:space="preserve"> </w:t>
      </w:r>
      <w:r>
        <w:t xml:space="preserve">the primary supported route. The</w:t>
      </w:r>
      <w:r>
        <w:t xml:space="preserve"> </w:t>
      </w:r>
      <w:r>
        <w:rPr>
          <w:bCs/>
          <w:b/>
        </w:rPr>
        <w:t xml:space="preserve">HPA + WVA Metrics</w:t>
      </w:r>
      <w:r>
        <w:t xml:space="preserve"> </w:t>
      </w:r>
      <w:r>
        <w:t xml:space="preserve">path can use KEDA-managed HPA (recommended)</w:t>
      </w:r>
      <w:r>
        <w:t xml:space="preserve"> </w:t>
      </w:r>
      <w:r>
        <w:t xml:space="preserve">or a plain HPA reading the</w:t>
      </w:r>
      <w:r>
        <w:t xml:space="preserve"> </w:t>
      </w:r>
      <w:r>
        <w:rPr>
          <w:rStyle w:val="VerbatimChar"/>
        </w:rPr>
        <w:t xml:space="preserve">wva_desired_replicas</w:t>
      </w:r>
      <w:r>
        <w:t xml:space="preserve"> </w:t>
      </w:r>
      <w:r>
        <w:t xml:space="preserve">external metric directly, without KEDA.</w:t>
      </w:r>
    </w:p>
    <w:bookmarkEnd w:id="127"/>
    <w:bookmarkStart w:id="129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8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9"/>
    <w:bookmarkStart w:id="130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30"/>
    <w:bookmarkStart w:id="131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31"/>
    <w:bookmarkStart w:id="132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2"/>
    <w:bookmarkStart w:id="133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3"/>
    <w:bookmarkStart w:id="134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4"/>
    <w:bookmarkStart w:id="135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5"/>
    <w:bookmarkEnd w:id="136"/>
    <w:bookmarkStart w:id="148" w:name="rollouts-in-progress"/>
    <w:p>
      <w:pPr>
        <w:pStyle w:val="Heading1"/>
      </w:pPr>
      <w:r>
        <w:t xml:space="preserve">2.4 Rollouts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7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7"/>
    <w:bookmarkStart w:id="138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8"/>
    <w:bookmarkStart w:id="142" w:name="deployment-steps-8"/>
    <w:p>
      <w:pPr>
        <w:pStyle w:val="Heading2"/>
      </w:pPr>
      <w:r>
        <w:t xml:space="preserve">Deployment Steps</w:t>
      </w:r>
    </w:p>
    <w:bookmarkStart w:id="139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9"/>
    <w:bookmarkStart w:id="140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40"/>
    <w:bookmarkStart w:id="141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41"/>
    <w:bookmarkEnd w:id="142"/>
    <w:bookmarkStart w:id="143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3"/>
    <w:bookmarkStart w:id="144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4"/>
    <w:bookmarkStart w:id="145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5"/>
    <w:bookmarkStart w:id="146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6"/>
    <w:bookmarkStart w:id="147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7"/>
    <w:bookmarkEnd w:id="148"/>
    <w:bookmarkStart w:id="157" w:name="agentic-serving-in-progress"/>
    <w:p>
      <w:pPr>
        <w:pStyle w:val="Heading1"/>
      </w:pPr>
      <w:r>
        <w:t xml:space="preserve">3.1 Agentic Serving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9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9"/>
    <w:bookmarkStart w:id="150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50"/>
    <w:bookmarkStart w:id="151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51"/>
    <w:bookmarkStart w:id="152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2"/>
    <w:bookmarkStart w:id="153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3"/>
    <w:bookmarkStart w:id="154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4"/>
    <w:bookmarkStart w:id="155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5"/>
    <w:bookmarkStart w:id="156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6"/>
    <w:bookmarkEnd w:id="157"/>
    <w:bookmarkStart w:id="167" w:name="multi-model-routing-in-progress"/>
    <w:p>
      <w:pPr>
        <w:pStyle w:val="Heading1"/>
      </w:pPr>
      <w:r>
        <w:t xml:space="preserve">3.2 Multi-Model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8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8"/>
    <w:bookmarkStart w:id="159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9"/>
    <w:bookmarkStart w:id="160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--set provider.name=gke on GKE. --set provider.name=none skips the auto-generated</w:t>
      </w:r>
      <w:r>
        <w:br/>
      </w:r>
      <w:r>
        <w:rPr>
          <w:rStyle w:val="CommentTok"/>
        </w:rPr>
        <w:t xml:space="preserve"># Istio EnvoyFilter/GKE GCPRoutingExtension — a Gateway is still required either way, you'd just</w:t>
      </w:r>
      <w:r>
        <w:br/>
      </w:r>
      <w:r>
        <w:rPr>
          <w:rStyle w:val="CommentTok"/>
        </w:rPr>
        <w:t xml:space="preserve"># wire IPP's ext-proc integration into it yourself instead of letting the chart do it.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60"/>
    <w:bookmarkStart w:id="161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61"/>
    <w:bookmarkStart w:id="163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2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2"/>
    <w:bookmarkEnd w:id="163"/>
    <w:bookmarkStart w:id="164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4"/>
    <w:bookmarkStart w:id="165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5"/>
    <w:bookmarkStart w:id="166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6"/>
    <w:bookmarkEnd w:id="167"/>
    <w:bookmarkStart w:id="177" w:name="asynchronous-processing-in-progress"/>
    <w:p>
      <w:pPr>
        <w:pStyle w:val="Heading1"/>
      </w:pPr>
      <w:r>
        <w:t xml:space="preserve">4.1 Asynchronous Processing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9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9"/>
    <w:bookmarkStart w:id="170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Gateway Mode only</w:t>
      </w:r>
      <w:r>
        <w:t xml:space="preserve">: 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  <w:r>
        <w:t xml:space="preserve"> </w:t>
      </w:r>
      <w:r>
        <w:t xml:space="preserve">Not needed if you use Standalone Mode (step 1 below), which talks to the Router’s 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directly instead of a Gateway.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70"/>
    <w:bookmarkStart w:id="171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71"/>
    <w:bookmarkStart w:id="172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2"/>
    <w:bookmarkStart w:id="173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3"/>
    <w:bookmarkStart w:id="174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4"/>
    <w:bookmarkStart w:id="175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5"/>
    <w:bookmarkStart w:id="176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6"/>
    <w:bookmarkEnd w:id="177"/>
    <w:bookmarkStart w:id="189" w:name="batch-gateway-in-progress"/>
    <w:p>
      <w:pPr>
        <w:pStyle w:val="Heading1"/>
      </w:pPr>
      <w:r>
        <w:t xml:space="preserve">4.2 Batch Gateway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9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8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9"/>
    <w:bookmarkStart w:id="180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80"/>
    <w:bookmarkStart w:id="182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81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2"/>
    <w:bookmarkStart w:id="183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p>
      <w:pPr>
        <w:pStyle w:val="FirstParagraph"/>
      </w:pPr>
      <w:r>
        <w:rPr>
          <w:rStyle w:val="VerbatimChar"/>
        </w:rPr>
        <w:t xml:space="preserve">batch-gateway-apiserver</w:t>
      </w:r>
      <w:r>
        <w:t xml:space="preserve"> </w:t>
      </w:r>
      <w:r>
        <w:t xml:space="preserve">exposes two separate ports on the same Service:</w:t>
      </w:r>
      <w:r>
        <w:t xml:space="preserve"> </w:t>
      </w:r>
      <w:r>
        <w:rPr>
          <w:rStyle w:val="VerbatimChar"/>
        </w:rPr>
        <w:t xml:space="preserve">8081</w:t>
      </w:r>
      <w:r>
        <w:t xml:space="preserve"> </w:t>
      </w:r>
      <w:r>
        <w:t xml:space="preserve">for the</w:t>
      </w:r>
      <w:r>
        <w:t xml:space="preserve"> </w:t>
      </w:r>
      <w:r>
        <w:t xml:space="preserve">health/readiness endpoint above, and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actual REST API (confirmed by the in-cluster</w:t>
      </w:r>
      <w:r>
        <w:t xml:space="preserve"> </w:t>
      </w:r>
      <w:r>
        <w:t xml:space="preserve">URL</w:t>
      </w:r>
      <w:r>
        <w:t xml:space="preserve"> </w:t>
      </w:r>
      <w:r>
        <w:rPr>
          <w:rStyle w:val="VerbatimChar"/>
        </w:rPr>
        <w:t xml:space="preserve">http://batch-gateway-apiserver:8000</w:t>
      </w:r>
      <w:r>
        <w:t xml:space="preserve"> </w:t>
      </w:r>
      <w:r>
        <w:t xml:space="preserve">used in the project’s own benchmark manifests). The</w:t>
      </w:r>
      <w:r>
        <w:t xml:space="preserve"> </w:t>
      </w:r>
      <w:r>
        <w:t xml:space="preserve">Inference Test below needs its own port-forward to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</w:t>
      </w:r>
    </w:p>
    <w:bookmarkEnd w:id="183"/>
    <w:bookmarkStart w:id="184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8000:8000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4"/>
    <w:bookmarkStart w:id="186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5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6"/>
    <w:bookmarkStart w:id="187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7"/>
    <w:bookmarkStart w:id="188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8"/>
    <w:bookmarkEnd w:id="189"/>
    <w:bookmarkStart w:id="199" w:name="no-kubernetes-deployment-in-progress"/>
    <w:p>
      <w:pPr>
        <w:pStyle w:val="Heading1"/>
      </w:pPr>
      <w:r>
        <w:t xml:space="preserve">5.1 No-Kubernetes Deployment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support is a manual substitution (detailed below), not something upstream</w:t>
      </w:r>
      <w:r>
        <w:t xml:space="preserve"> </w:t>
      </w:r>
      <w:r>
        <w:t xml:space="preserve">provides or tests.</w:t>
      </w:r>
    </w:p>
    <w:bookmarkStart w:id="190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90"/>
    <w:bookmarkStart w:id="191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91"/>
    <w:bookmarkStart w:id="192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2"/>
    <w:bookmarkStart w:id="193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3"/>
    <w:bookmarkStart w:id="194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4"/>
    <w:bookmarkStart w:id="195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5"/>
    <w:bookmarkStart w:id="196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6"/>
    <w:bookmarkStart w:id="197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7"/>
    <w:bookmarkStart w:id="198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8"/>
    <w:bookmarkEnd w:id="199"/>
    <w:bookmarkStart w:id="202" w:name="encode-disaggregation-multimodal-na"/>
    <w:p>
      <w:pPr>
        <w:pStyle w:val="Heading1"/>
      </w:pPr>
      <w:r>
        <w:t xml:space="preserve">5.2 Encode Disaggregation (Multimodal) (N/A)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200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200"/>
    <w:bookmarkStart w:id="201" w:name="Xe156d35d799b9d0916e749d040f5ed18fac8026"/>
    <w:p>
      <w:pPr>
        <w:pStyle w:val="Heading2"/>
      </w:pPr>
      <w:r>
        <w:t xml:space="preserve">Why this guide has no Intel XPU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NVIDIA-specific,</w:t>
      </w:r>
      <w:r>
        <w:t xml:space="preserve"> </w:t>
      </w:r>
      <w:r>
        <w:t xml:space="preserve">and there is no accelerator-agnostic substitution path documented upstream —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, where the substitution is</w:t>
      </w:r>
      <w:r>
        <w:t xml:space="preserve"> </w:t>
      </w:r>
      <w:r>
        <w:t xml:space="preserve">straightforward.</w:t>
      </w:r>
    </w:p>
    <w:p>
      <w:pPr>
        <w:pStyle w:val="BodyText"/>
      </w:pPr>
      <w:r>
        <w:t xml:space="preserve">If Intel XPU support is added upstream in the future,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overlay.</w:t>
      </w:r>
    </w:p>
    <w:p>
      <w:pPr>
        <w:pStyle w:val="BodyText"/>
      </w:pPr>
      <w:r>
        <w:t xml:space="preserve">For a working, Intel-XPU-supported alternative today, see</w:t>
      </w:r>
      <w:r>
        <w:t xml:space="preserve"> </w:t>
      </w:r>
      <w:hyperlink r:id="rId26">
        <w:r>
          <w:rPr>
            <w:rStyle w:val="Hyperlink"/>
          </w:rPr>
          <w:t xml:space="preserve">Multimodal Serving (Aggregated)</w:t>
        </w:r>
      </w:hyperlink>
      <w:r>
        <w:t xml:space="preserve"> </w:t>
      </w:r>
      <w:r>
        <w:t xml:space="preserve">— a simpler topology with a real</w:t>
      </w:r>
      <w:r>
        <w:t xml:space="preserve"> </w:t>
      </w:r>
      <w:r>
        <w:rPr>
          <w:rStyle w:val="VerbatimChar"/>
        </w:rPr>
        <w:t xml:space="preserve">modelserver/xpu/vllm</w:t>
      </w:r>
      <w:r>
        <w:t xml:space="preserve"> </w:t>
      </w:r>
      <w:r>
        <w:t xml:space="preserve">overlay.</w:t>
      </w:r>
    </w:p>
    <w:bookmarkEnd w:id="201"/>
    <w:bookmarkEnd w:id="202"/>
    <w:bookmarkStart w:id="203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3"/>
    <w:bookmarkStart w:id="204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2026-07-28T07:24:21Z</dcterms:created>
  <dcterms:modified xsi:type="dcterms:W3CDTF">2026-07-28T07:24:21Z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