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3A" w:rsidRDefault="00AE5718" w:rsidP="00D020C9">
      <w:pPr>
        <w:pStyle w:val="1"/>
        <w:numPr>
          <w:ilvl w:val="0"/>
          <w:numId w:val="2"/>
        </w:numPr>
      </w:pPr>
      <w:r>
        <w:t>Introduction</w:t>
      </w:r>
    </w:p>
    <w:p w:rsidR="00E91B47" w:rsidRDefault="00FA7653" w:rsidP="00D020C9">
      <w:pPr>
        <w:pStyle w:val="1"/>
        <w:numPr>
          <w:ilvl w:val="0"/>
          <w:numId w:val="2"/>
        </w:numPr>
      </w:pPr>
      <w:r w:rsidRPr="00FA7653">
        <w:t>Structural Causal Models</w:t>
      </w:r>
    </w:p>
    <w:p w:rsidR="00CD1343" w:rsidRPr="00CD1343" w:rsidRDefault="00CD1343" w:rsidP="00CD1343">
      <w:r w:rsidRPr="00CD1343">
        <w:t>Structural causal models (SCMs) provide a comprehensive theory of causality.</w:t>
      </w:r>
    </w:p>
    <w:p w:rsidR="00FA7653" w:rsidRDefault="00A63F3C" w:rsidP="00A63F3C">
      <w:pPr>
        <w:pStyle w:val="2"/>
        <w:numPr>
          <w:ilvl w:val="1"/>
          <w:numId w:val="2"/>
        </w:numPr>
      </w:pPr>
      <w:r>
        <w:t>C</w:t>
      </w:r>
      <w:r w:rsidR="00AC2F3A" w:rsidRPr="00AC2F3A">
        <w:t xml:space="preserve">ausal </w:t>
      </w:r>
      <w:r>
        <w:t>G</w:t>
      </w:r>
      <w:r w:rsidR="00AC2F3A" w:rsidRPr="00AC2F3A">
        <w:t>raph</w:t>
      </w:r>
    </w:p>
    <w:p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rsidR="00E90396" w:rsidRPr="00634387" w:rsidRDefault="00E90396" w:rsidP="00E90396">
      <w:pPr>
        <w:jc w:val="center"/>
      </w:pPr>
      <w:r>
        <w:rPr>
          <w:rFonts w:hint="eastAsia"/>
          <w:noProof/>
        </w:rPr>
        <w:drawing>
          <wp:inline distT="0" distB="0" distL="0" distR="0">
            <wp:extent cx="1871133" cy="1349950"/>
            <wp:effectExtent l="0" t="0" r="0"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912207" cy="1379584"/>
                    </a:xfrm>
                    <a:prstGeom prst="rect">
                      <a:avLst/>
                    </a:prstGeom>
                  </pic:spPr>
                </pic:pic>
              </a:graphicData>
            </a:graphic>
          </wp:inline>
        </w:drawing>
      </w:r>
    </w:p>
    <w:p w:rsidR="009E6BE2" w:rsidRDefault="009E6BE2" w:rsidP="009E6BE2">
      <w:pPr>
        <w:pStyle w:val="2"/>
        <w:numPr>
          <w:ilvl w:val="1"/>
          <w:numId w:val="2"/>
        </w:numPr>
      </w:pPr>
      <w:r w:rsidRPr="009E6BE2">
        <w:t>Product Decomposition</w:t>
      </w:r>
    </w:p>
    <w:p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185C5D" w:rsidRDefault="00185C5D" w:rsidP="009E6BE2">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4A4134" w:rsidRDefault="004A4134" w:rsidP="009E6BE2"/>
    <w:p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rsidR="0045313F" w:rsidRDefault="004A4134" w:rsidP="009E6BE2">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rsidR="004A4134" w:rsidRDefault="004A4134" w:rsidP="009E6BE2"/>
    <w:p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45313F">
        <w:t>.</w:t>
      </w:r>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m:t>(z|y)</m:t>
        </m:r>
      </m:oMath>
      <w:r w:rsidR="0016500F">
        <w:rPr>
          <w:rFonts w:hint="eastAsia"/>
        </w:rPr>
        <w:t xml:space="preserve"> </w:t>
      </w:r>
      <w:r w:rsidR="0016500F" w:rsidRPr="0016500F">
        <w:t>and multiply.</w:t>
      </w:r>
    </w:p>
    <w:p w:rsidR="00634387" w:rsidRDefault="00634387" w:rsidP="000C1AD3">
      <w:pPr>
        <w:jc w:val="center"/>
      </w:pPr>
      <w:r>
        <w:rPr>
          <w:rFonts w:ascii="宋体" w:eastAsia="宋体" w:hAnsi="宋体" w:cs="宋体" w:hint="eastAsia"/>
          <w:noProof/>
          <w:kern w:val="0"/>
          <w:sz w:val="24"/>
        </w:rPr>
        <w:lastRenderedPageBreak/>
        <w:drawing>
          <wp:inline distT="0" distB="0" distL="0" distR="0" wp14:anchorId="12E4B4DD" wp14:editId="6AFB3F6D">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6"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m:oMathPara>
        <m:oMath>
          <m:r>
            <w:rPr>
              <w:rFonts w:ascii="Cambria Math" w:eastAsia="宋体" w:hAnsi="Cambria Math" w:cs="宋体" w:hint="eastAsia"/>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1</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5</m:t>
                  </m:r>
                </m:sub>
              </m:sSub>
            </m:e>
          </m:d>
          <m:r>
            <w:rPr>
              <w:rFonts w:ascii="Cambria Math" w:eastAsia="宋体" w:hAnsi="Cambria Math" w:cs="宋体" w:hint="eastAsia"/>
              <w:kern w:val="0"/>
              <w:sz w:val="24"/>
            </w:rPr>
            <m:t xml:space="preserve"> = </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1</m:t>
              </m:r>
            </m:sub>
          </m:sSub>
          <m:r>
            <w:rPr>
              <w:rFonts w:ascii="Cambria Math" w:eastAsia="宋体" w:hAnsi="Cambria Math" w:cs="宋体" w:hint="eastAsia"/>
              <w:kern w:val="0"/>
              <w:sz w:val="24"/>
            </w:rPr>
            <m:t>)</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e>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m:t>
          </m:r>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5</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4</m:t>
              </m:r>
            </m:sub>
          </m:sSub>
          <m:r>
            <w:rPr>
              <w:rFonts w:ascii="Cambria Math" w:eastAsia="宋体" w:hAnsi="Cambria Math" w:cs="宋体" w:hint="eastAsia"/>
              <w:kern w:val="0"/>
              <w:sz w:val="24"/>
            </w:rPr>
            <m:t>)</m:t>
          </m:r>
        </m:oMath>
      </m:oMathPara>
    </w:p>
    <w:p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rsidR="00E475CC" w:rsidRPr="00655F57" w:rsidRDefault="00D26879" w:rsidP="00E475CC">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rsidR="00E475CC" w:rsidRDefault="00E475CC" w:rsidP="00E475CC"/>
    <w:p w:rsidR="00BB5D84" w:rsidRDefault="00BB5D84" w:rsidP="009E6BE2">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rsidR="00CA53F5" w:rsidRDefault="00CA53F5" w:rsidP="009E6BE2"/>
    <w:p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rsidR="004907A0" w:rsidRDefault="004907A0" w:rsidP="004907A0">
      <w:pPr>
        <w:pStyle w:val="a5"/>
        <w:numPr>
          <w:ilvl w:val="0"/>
          <w:numId w:val="9"/>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rsidR="004907A0" w:rsidRPr="004907A0" w:rsidRDefault="004907A0" w:rsidP="004907A0">
      <w:pPr>
        <w:pStyle w:val="a5"/>
        <w:numPr>
          <w:ilvl w:val="0"/>
          <w:numId w:val="9"/>
        </w:numPr>
        <w:ind w:firstLineChars="0"/>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rsidR="00A74052" w:rsidRDefault="00A74052" w:rsidP="009E6BE2"/>
    <w:p w:rsidR="00EE6ECE" w:rsidRDefault="00EE6ECE" w:rsidP="00BE5605">
      <w:r>
        <w:t>T</w:t>
      </w:r>
      <w:r>
        <w:rPr>
          <w:rFonts w:hint="eastAsia"/>
        </w:rPr>
        <w:t>he</w:t>
      </w:r>
      <w:r>
        <w:t>re are t</w:t>
      </w:r>
      <w:r w:rsidRPr="00EE6ECE">
        <w:t>hree typical DAGs for conditional independence</w:t>
      </w:r>
      <w:r w:rsidR="00402F98">
        <w:t>:</w:t>
      </w:r>
    </w:p>
    <w:p w:rsidR="00BE5605" w:rsidRPr="00BE5605" w:rsidRDefault="00402F98" w:rsidP="00BE5605">
      <w:pPr>
        <w:pStyle w:val="a5"/>
        <w:numPr>
          <w:ilvl w:val="0"/>
          <w:numId w:val="9"/>
        </w:numPr>
        <w:ind w:firstLineChars="0"/>
      </w:pPr>
      <w:r w:rsidRPr="00BE5605">
        <w:rPr>
          <w:rFonts w:hint="eastAsia"/>
          <w:b/>
          <w:bCs/>
        </w:rPr>
        <w:t>C</w:t>
      </w:r>
      <w:r w:rsidRPr="00BE5605">
        <w:rPr>
          <w:b/>
          <w:bCs/>
        </w:rPr>
        <w:t>hain</w:t>
      </w:r>
      <w:r>
        <w:t xml:space="preserve">: </w:t>
      </w:r>
      <m:oMath>
        <m:r>
          <w:rPr>
            <w:rFonts w:ascii="Cambria Math" w:hAnsi="Cambria Math"/>
          </w:rPr>
          <m:t>x</m:t>
        </m:r>
      </m:oMath>
      <w:r w:rsidRPr="00BE5605">
        <w:rPr>
          <w:rFonts w:ascii="LinLibertineI" w:hAnsi="LinLibertineI"/>
        </w:rPr>
        <w:t xml:space="preserve"> </w:t>
      </w:r>
      <w:r>
        <w:t xml:space="preserve">causally affects </w:t>
      </w:r>
      <m:oMath>
        <m:r>
          <w:rPr>
            <w:rFonts w:ascii="Cambria Math" w:hAnsi="Cambria Math"/>
          </w:rPr>
          <m:t>y</m:t>
        </m:r>
      </m:oMath>
      <w:r w:rsidRPr="00BE5605">
        <w:rPr>
          <w:rFonts w:ascii="LinLibertineI" w:hAnsi="LinLibertineI"/>
        </w:rPr>
        <w:t xml:space="preserve"> </w:t>
      </w:r>
      <w:r>
        <w:t xml:space="preserve">through its influence on </w:t>
      </w:r>
      <m:oMath>
        <m:r>
          <w:rPr>
            <w:rFonts w:ascii="Cambria Math" w:hAnsi="Cambria Math"/>
          </w:rPr>
          <m:t>z</m:t>
        </m:r>
      </m:oMath>
    </w:p>
    <w:p w:rsidR="00704B3B" w:rsidRDefault="00402F98" w:rsidP="00704B3B">
      <w:pPr>
        <w:pStyle w:val="a5"/>
        <w:numPr>
          <w:ilvl w:val="0"/>
          <w:numId w:val="9"/>
        </w:numPr>
        <w:ind w:firstLineChars="0"/>
      </w:pPr>
      <w:r w:rsidRPr="00BE5605">
        <w:rPr>
          <w:rFonts w:hint="eastAsia"/>
          <w:b/>
          <w:bCs/>
        </w:rPr>
        <w:t>F</w:t>
      </w:r>
      <w:r w:rsidRPr="00BE5605">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rsidR="00CE516D" w:rsidRPr="00CE516D" w:rsidRDefault="00402F98" w:rsidP="00704B3B">
      <w:pPr>
        <w:pStyle w:val="a5"/>
        <w:numPr>
          <w:ilvl w:val="0"/>
          <w:numId w:val="9"/>
        </w:numPr>
        <w:ind w:firstLineChars="0"/>
      </w:pPr>
      <w:r w:rsidRPr="00704B3B">
        <w:rPr>
          <w:b/>
          <w:bCs/>
        </w:rPr>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rsidR="00364D45" w:rsidRDefault="00364D45" w:rsidP="009E6BE2">
      <w:pPr>
        <w:rPr>
          <w:iCs/>
        </w:rPr>
      </w:pPr>
      <w:r w:rsidRPr="00364D45">
        <w:rPr>
          <w:iCs/>
          <w:noProof/>
        </w:rPr>
        <w:drawing>
          <wp:inline distT="0" distB="0" distL="0" distR="0" wp14:anchorId="65F1AC51" wp14:editId="7654F97F">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89915"/>
                    </a:xfrm>
                    <a:prstGeom prst="rect">
                      <a:avLst/>
                    </a:prstGeom>
                  </pic:spPr>
                </pic:pic>
              </a:graphicData>
            </a:graphic>
          </wp:inline>
        </w:drawing>
      </w:r>
    </w:p>
    <w:p w:rsidR="007D4CC8" w:rsidRDefault="007D4CC8" w:rsidP="00B41351">
      <w:pPr>
        <w:rPr>
          <w:iCs/>
        </w:rPr>
      </w:pPr>
    </w:p>
    <w:p w:rsidR="007D4CC8" w:rsidRDefault="007D4CC8" w:rsidP="00B41351">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w:t>
      </w:r>
      <w:r w:rsidRPr="007D4CC8">
        <w:lastRenderedPageBreak/>
        <w:t xml:space="preserve">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rsidR="0057218A" w:rsidRDefault="0057218A" w:rsidP="00B41351"/>
    <w:p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rsidR="00F14DF5" w:rsidRDefault="009B285A" w:rsidP="00F14DF5">
      <w:pPr>
        <w:pStyle w:val="3"/>
      </w:pPr>
      <w:r>
        <w:rPr>
          <w:rFonts w:hint="eastAsia"/>
        </w:rPr>
        <w:t>C</w:t>
      </w:r>
      <w:r>
        <w:t>hain</w:t>
      </w:r>
    </w:p>
    <w:p w:rsidR="00450ADB" w:rsidRDefault="00F14DF5" w:rsidP="00450ADB">
      <w:pPr>
        <w:pStyle w:val="4"/>
      </w:pPr>
      <w:r w:rsidRPr="00F14DF5">
        <w:t>Rule 1 (Conditional Independence in Chains)</w:t>
      </w:r>
      <w:r>
        <w:t xml:space="preserve"> </w:t>
      </w:r>
    </w:p>
    <w:p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rsidR="007F0AB7" w:rsidRPr="00E209DB" w:rsidRDefault="00E209DB" w:rsidP="000C1AD3">
      <w:pPr>
        <w:widowControl/>
        <w:jc w:val="center"/>
        <w:rPr>
          <w:rFonts w:ascii="宋体" w:eastAsia="宋体" w:hAnsi="宋体" w:cs="宋体"/>
          <w:kern w:val="0"/>
          <w:sz w:val="24"/>
        </w:rPr>
      </w:pPr>
      <w:r w:rsidRPr="00E209DB">
        <w:rPr>
          <w:rFonts w:ascii="宋体" w:eastAsia="宋体" w:hAnsi="宋体" w:cs="宋体"/>
          <w:kern w:val="0"/>
          <w:sz w:val="24"/>
        </w:rPr>
        <w:fldChar w:fldCharType="begin"/>
      </w:r>
      <w:r w:rsidRPr="00E209DB">
        <w:rPr>
          <w:rFonts w:ascii="宋体" w:eastAsia="宋体" w:hAnsi="宋体" w:cs="宋体"/>
          <w:kern w:val="0"/>
          <w:sz w:val="24"/>
        </w:rPr>
        <w:instrText xml:space="preserve"> INCLUDEPICTURE "https://david-salazar.github.io/post/2020-07-18-causality-bayesian-networks_files/figure-html/mediation-1.png" \* MERGEFORMATINET </w:instrText>
      </w:r>
      <w:r w:rsidRPr="00E209DB">
        <w:rPr>
          <w:rFonts w:ascii="宋体" w:eastAsia="宋体" w:hAnsi="宋体" w:cs="宋体"/>
          <w:kern w:val="0"/>
          <w:sz w:val="24"/>
        </w:rPr>
        <w:fldChar w:fldCharType="separate"/>
      </w:r>
      <w:r w:rsidRPr="00E209DB">
        <w:rPr>
          <w:rFonts w:ascii="宋体" w:eastAsia="宋体" w:hAnsi="宋体" w:cs="宋体"/>
          <w:noProof/>
          <w:kern w:val="0"/>
          <w:sz w:val="24"/>
        </w:rPr>
        <w:drawing>
          <wp:inline distT="0" distB="0" distL="0" distR="0">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宋体" w:eastAsia="宋体" w:hAnsi="宋体" w:cs="宋体"/>
          <w:kern w:val="0"/>
          <w:sz w:val="24"/>
        </w:rPr>
        <w:fldChar w:fldCharType="end"/>
      </w:r>
    </w:p>
    <w:p w:rsidR="009B285A" w:rsidRDefault="009B285A" w:rsidP="001C7DB6">
      <w:pPr>
        <w:pStyle w:val="3"/>
      </w:pPr>
      <w:r>
        <w:rPr>
          <w:rFonts w:hint="eastAsia"/>
        </w:rPr>
        <w:t>F</w:t>
      </w:r>
      <w:r>
        <w:t>ork</w:t>
      </w:r>
    </w:p>
    <w:p w:rsidR="00313718" w:rsidRPr="00EF1B30" w:rsidRDefault="004517D6" w:rsidP="00EF1B30">
      <w:pPr>
        <w:pStyle w:val="4"/>
      </w:pPr>
      <w:r w:rsidRPr="004517D6">
        <w:t xml:space="preserve">Rule 2 (Conditional Independence in Forks) </w:t>
      </w:r>
    </w:p>
    <w:p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rsidR="006624E4" w:rsidRPr="001C5BEA" w:rsidRDefault="006624E4" w:rsidP="000C1AD3">
      <w:pPr>
        <w:widowControl/>
        <w:jc w:val="center"/>
        <w:rPr>
          <w:rFonts w:ascii="宋体" w:eastAsia="宋体" w:hAnsi="宋体" w:cs="宋体"/>
          <w:kern w:val="0"/>
          <w:sz w:val="24"/>
        </w:rPr>
      </w:pPr>
      <w:r w:rsidRPr="006624E4">
        <w:rPr>
          <w:rFonts w:ascii="宋体" w:eastAsia="宋体" w:hAnsi="宋体" w:cs="宋体"/>
          <w:kern w:val="0"/>
          <w:sz w:val="24"/>
        </w:rPr>
        <w:lastRenderedPageBreak/>
        <w:fldChar w:fldCharType="begin"/>
      </w:r>
      <w:r w:rsidRPr="006624E4">
        <w:rPr>
          <w:rFonts w:ascii="宋体" w:eastAsia="宋体" w:hAnsi="宋体" w:cs="宋体"/>
          <w:kern w:val="0"/>
          <w:sz w:val="24"/>
        </w:rPr>
        <w:instrText xml:space="preserve"> INCLUDEPICTURE "https://david-salazar.github.io/post/2020-07-18-causality-bayesian-networks_files/figure-html/fork,%20coffee-1.png" \* MERGEFORMATINET </w:instrText>
      </w:r>
      <w:r w:rsidRPr="006624E4">
        <w:rPr>
          <w:rFonts w:ascii="宋体" w:eastAsia="宋体" w:hAnsi="宋体" w:cs="宋体"/>
          <w:kern w:val="0"/>
          <w:sz w:val="24"/>
        </w:rPr>
        <w:fldChar w:fldCharType="separate"/>
      </w:r>
      <w:r w:rsidRPr="006624E4">
        <w:rPr>
          <w:rFonts w:ascii="宋体" w:eastAsia="宋体" w:hAnsi="宋体" w:cs="宋体"/>
          <w:noProof/>
          <w:kern w:val="0"/>
          <w:sz w:val="24"/>
        </w:rPr>
        <w:drawing>
          <wp:inline distT="0" distB="0" distL="0" distR="0">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宋体" w:eastAsia="宋体" w:hAnsi="宋体" w:cs="宋体"/>
          <w:kern w:val="0"/>
          <w:sz w:val="24"/>
        </w:rPr>
        <w:fldChar w:fldCharType="end"/>
      </w:r>
    </w:p>
    <w:p w:rsidR="009B285A" w:rsidRDefault="009B285A" w:rsidP="001C7DB6">
      <w:pPr>
        <w:pStyle w:val="3"/>
      </w:pPr>
      <w:r>
        <w:rPr>
          <w:rFonts w:hint="eastAsia"/>
        </w:rPr>
        <w:t>C</w:t>
      </w:r>
      <w:r>
        <w:t>ollider</w:t>
      </w:r>
    </w:p>
    <w:p w:rsidR="00EF1B30" w:rsidRDefault="000306CB" w:rsidP="00EF1B30">
      <w:pPr>
        <w:pStyle w:val="4"/>
      </w:pPr>
      <w:r w:rsidRPr="000306CB">
        <w:t xml:space="preserve">Rule 3 (Conditional Independence in Colliders) </w:t>
      </w:r>
    </w:p>
    <w:p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rsidR="003F49E5" w:rsidRDefault="00367411" w:rsidP="003F49E5">
      <w:pPr>
        <w:widowControl/>
        <w:jc w:val="center"/>
        <w:rPr>
          <w:rFonts w:ascii="宋体" w:eastAsia="宋体" w:hAnsi="宋体" w:cs="宋体"/>
          <w:kern w:val="0"/>
          <w:sz w:val="24"/>
        </w:rPr>
      </w:pPr>
      <w:r w:rsidRPr="00367411">
        <w:rPr>
          <w:rFonts w:ascii="宋体" w:eastAsia="宋体" w:hAnsi="宋体" w:cs="宋体"/>
          <w:kern w:val="0"/>
          <w:sz w:val="24"/>
        </w:rPr>
        <w:fldChar w:fldCharType="begin"/>
      </w:r>
      <w:r w:rsidRPr="00367411">
        <w:rPr>
          <w:rFonts w:ascii="宋体" w:eastAsia="宋体" w:hAnsi="宋体" w:cs="宋体"/>
          <w:kern w:val="0"/>
          <w:sz w:val="24"/>
        </w:rPr>
        <w:instrText xml:space="preserve"> INCLUDEPICTURE "https://david-salazar.github.io/post/2020-07-18-causality-bayesian-networks_files/figure-html/collider-1.png" \* MERGEFORMATINET </w:instrText>
      </w:r>
      <w:r w:rsidRPr="00367411">
        <w:rPr>
          <w:rFonts w:ascii="宋体" w:eastAsia="宋体" w:hAnsi="宋体" w:cs="宋体"/>
          <w:kern w:val="0"/>
          <w:sz w:val="24"/>
        </w:rPr>
        <w:fldChar w:fldCharType="separate"/>
      </w:r>
      <w:r w:rsidRPr="00367411">
        <w:rPr>
          <w:rFonts w:ascii="宋体" w:eastAsia="宋体" w:hAnsi="宋体" w:cs="宋体"/>
          <w:noProof/>
          <w:kern w:val="0"/>
          <w:sz w:val="24"/>
        </w:rPr>
        <w:drawing>
          <wp:inline distT="0" distB="0" distL="0" distR="0">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宋体" w:eastAsia="宋体" w:hAnsi="宋体" w:cs="宋体"/>
          <w:kern w:val="0"/>
          <w:sz w:val="24"/>
        </w:rPr>
        <w:fldChar w:fldCharType="end"/>
      </w:r>
    </w:p>
    <w:p w:rsidR="00A66470" w:rsidRDefault="00A66470" w:rsidP="003F49E5">
      <w:pPr>
        <w:widowControl/>
        <w:jc w:val="center"/>
        <w:rPr>
          <w:rFonts w:ascii="宋体" w:eastAsia="宋体" w:hAnsi="宋体" w:cs="宋体"/>
          <w:kern w:val="0"/>
          <w:sz w:val="24"/>
        </w:rPr>
      </w:pPr>
    </w:p>
    <w:p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rsidR="003F49E5" w:rsidRDefault="00CB0EC8" w:rsidP="00CB0EC8">
      <w:pPr>
        <w:jc w:val="center"/>
      </w:pPr>
      <w:r>
        <w:rPr>
          <w:rFonts w:hint="eastAsia"/>
          <w:noProof/>
        </w:rPr>
        <w:lastRenderedPageBreak/>
        <w:drawing>
          <wp:inline distT="0" distB="0" distL="0" distR="0">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rsidR="00367411" w:rsidRPr="003F49E5" w:rsidRDefault="003F49E5" w:rsidP="000C1AD3">
      <w:pPr>
        <w:pStyle w:val="3"/>
      </w:pPr>
      <w:r w:rsidRPr="003F49E5">
        <w:t>Can we distinguish models from data alone?</w:t>
      </w:r>
    </w:p>
    <w:p w:rsidR="00283D6E" w:rsidRDefault="00584EAD" w:rsidP="00367411">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rsidR="00DE29C3" w:rsidRDefault="00DE29C3" w:rsidP="00367411"/>
    <w:p w:rsidR="00DE29C3" w:rsidRDefault="00DE29C3" w:rsidP="00DE29C3">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rsidR="00DE29C3" w:rsidRDefault="00DE29C3" w:rsidP="00DE29C3"/>
    <w:p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rsidR="003C216F" w:rsidRDefault="00DA4E0D" w:rsidP="00DA4E0D">
      <w:pPr>
        <w:jc w:val="center"/>
      </w:pPr>
      <w:r>
        <w:rPr>
          <w:rFonts w:hint="eastAsia"/>
          <w:noProof/>
        </w:rPr>
        <w:lastRenderedPageBreak/>
        <w:drawing>
          <wp:inline distT="0" distB="0" distL="0" distR="0" wp14:anchorId="19C55F7B" wp14:editId="43ECBFF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rsidR="007B483F" w:rsidRDefault="007B483F" w:rsidP="007B483F">
      <w:pPr>
        <w:pStyle w:val="1"/>
        <w:numPr>
          <w:ilvl w:val="0"/>
          <w:numId w:val="2"/>
        </w:numPr>
      </w:pPr>
      <w:r w:rsidRPr="007B483F">
        <w:t>The Effects of Interventions</w:t>
      </w:r>
    </w:p>
    <w:p w:rsidR="009825A8" w:rsidRPr="009825A8" w:rsidRDefault="009825A8" w:rsidP="009825A8">
      <w:pPr>
        <w:rPr>
          <w:rFonts w:ascii="宋体" w:hAnsi="宋体" w:cs="宋体"/>
          <w:sz w:val="24"/>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rsidR="0084626C" w:rsidRDefault="0084626C" w:rsidP="0084626C">
      <w:pPr>
        <w:pStyle w:val="2"/>
        <w:numPr>
          <w:ilvl w:val="1"/>
          <w:numId w:val="2"/>
        </w:numPr>
      </w:pPr>
      <w:r>
        <w:t>Interventions</w:t>
      </w:r>
    </w:p>
    <w:p w:rsidR="003D724E" w:rsidRDefault="003D724E" w:rsidP="003D724E">
      <w:r>
        <w:t xml:space="preserve">The </w:t>
      </w:r>
      <w:r w:rsidRPr="003D724E">
        <w:rPr>
          <w:b/>
          <w:bCs/>
        </w:rPr>
        <w:t>do-calculus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rsidR="0021427C" w:rsidRPr="00BE5605" w:rsidRDefault="009825A8" w:rsidP="0021427C">
      <w:pPr>
        <w:pStyle w:val="4"/>
        <w:rPr>
          <w:rFonts w:eastAsiaTheme="majorHAnsi"/>
        </w:rPr>
      </w:pPr>
      <w:r w:rsidRPr="00AA3EBE">
        <w:rPr>
          <w:rFonts w:hint="eastAsia"/>
        </w:rPr>
        <w:lastRenderedPageBreak/>
        <w:t>D</w:t>
      </w:r>
      <w:r w:rsidRPr="00AA3EBE">
        <w:t>efinition 2</w:t>
      </w:r>
      <w:r w:rsidR="00850B44" w:rsidRPr="00AA3EBE">
        <w:t xml:space="preserve"> (Interventional Distribution) </w:t>
      </w:r>
    </w:p>
    <w:p w:rsidR="009825A8" w:rsidRDefault="00850B44" w:rsidP="00850B44">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rsidR="00054F2A" w:rsidRDefault="00054F2A" w:rsidP="00850B44"/>
    <w:p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rsidR="00054F2A" w:rsidRDefault="001D1268" w:rsidP="00850B44">
      <w:r w:rsidRPr="001D1268">
        <w:rPr>
          <w:noProof/>
        </w:rPr>
        <w:drawing>
          <wp:inline distT="0" distB="0" distL="0" distR="0" wp14:anchorId="5041CB64" wp14:editId="1601A4DA">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3"/>
                    <a:stretch>
                      <a:fillRect/>
                    </a:stretch>
                  </pic:blipFill>
                  <pic:spPr>
                    <a:xfrm>
                      <a:off x="0" y="0"/>
                      <a:ext cx="5270500" cy="793115"/>
                    </a:xfrm>
                    <a:prstGeom prst="rect">
                      <a:avLst/>
                    </a:prstGeom>
                  </pic:spPr>
                </pic:pic>
              </a:graphicData>
            </a:graphic>
          </wp:inline>
        </w:drawing>
      </w:r>
    </w:p>
    <w:p w:rsidR="00402C0A" w:rsidRDefault="00402C0A" w:rsidP="00850B44"/>
    <w:p w:rsidR="00402C0A" w:rsidRDefault="00402C0A" w:rsidP="00850B44">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rsidR="00402C0A" w:rsidRDefault="00402C0A" w:rsidP="00850B44"/>
    <w:p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rsidR="00AD76BD" w:rsidRPr="00AD76BD" w:rsidRDefault="00544938" w:rsidP="00AD76BD">
      <w:pPr>
        <w:pStyle w:val="2"/>
        <w:numPr>
          <w:ilvl w:val="1"/>
          <w:numId w:val="2"/>
        </w:numPr>
      </w:pPr>
      <w:r w:rsidRPr="00544938">
        <w:t>The Adjustment Formula</w:t>
      </w:r>
    </w:p>
    <w:p w:rsidR="009D465D" w:rsidRPr="00AD76BD" w:rsidRDefault="00D54625" w:rsidP="00C71189">
      <w:r w:rsidRPr="00AD76BD">
        <w:rPr>
          <w:rFonts w:hint="eastAsia"/>
        </w:rPr>
        <w:t>In</w:t>
      </w:r>
      <w:r w:rsidRPr="00AD76BD">
        <w:t xml:space="preserve"> the classical example of </w:t>
      </w:r>
      <w:r w:rsidR="009D465D" w:rsidRPr="00AD76BD">
        <w:t xml:space="preserve">Simpson’s paradox, where </w:t>
      </w:r>
      <m:oMath>
        <m:r>
          <w:rPr>
            <w:rFonts w:ascii="Cambria Math" w:hAnsi="Cambria Math"/>
          </w:rPr>
          <m:t>X</m:t>
        </m:r>
      </m:oMath>
      <w:r w:rsidR="009D465D" w:rsidRPr="00AD76BD">
        <w:t xml:space="preserve"> stands for drug usage, </w:t>
      </w:r>
      <m:oMath>
        <m:r>
          <w:rPr>
            <w:rFonts w:ascii="Cambria Math" w:hAnsi="Cambria Math"/>
          </w:rPr>
          <m:t>Y</m:t>
        </m:r>
      </m:oMath>
      <w:r w:rsidR="009D465D" w:rsidRPr="00AD76BD">
        <w:t xml:space="preserve"> stands for recovery, and </w:t>
      </w:r>
      <m:oMath>
        <m:r>
          <w:rPr>
            <w:rFonts w:ascii="Cambria Math" w:hAnsi="Cambria Math"/>
          </w:rPr>
          <m:t>Z</m:t>
        </m:r>
      </m:oMath>
      <w:r w:rsidR="009D465D" w:rsidRPr="00AD76BD">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hAnsi="Cambria Math"/>
          </w:rPr>
          <m:t>do(X = 1)</m:t>
        </m:r>
      </m:oMath>
      <w:r w:rsidR="009D465D" w:rsidRPr="00AD76BD">
        <w:t xml:space="preserve"> and the second by </w:t>
      </w:r>
      <m:oMath>
        <m:r>
          <w:rPr>
            <w:rFonts w:ascii="Cambria Math" w:hAnsi="Cambria Math"/>
          </w:rPr>
          <m:t>do(X = 0)</m:t>
        </m:r>
      </m:oMath>
      <w:r w:rsidR="009D465D" w:rsidRPr="00AD76BD">
        <w:t>, our task is to estimate the difference</w:t>
      </w:r>
    </w:p>
    <w:p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rsidR="00456670" w:rsidRDefault="00456670" w:rsidP="00456670">
      <w:pPr>
        <w:widowControl/>
        <w:jc w:val="center"/>
        <w:rPr>
          <w:rFonts w:ascii="宋体" w:eastAsia="宋体" w:hAnsi="宋体" w:cs="宋体"/>
          <w:kern w:val="0"/>
          <w:sz w:val="24"/>
        </w:rPr>
      </w:pPr>
      <w:r w:rsidRPr="00456670">
        <w:rPr>
          <w:rFonts w:ascii="宋体" w:eastAsia="宋体" w:hAnsi="宋体" w:cs="宋体"/>
          <w:kern w:val="0"/>
          <w:sz w:val="24"/>
        </w:rPr>
        <w:lastRenderedPageBreak/>
        <w:fldChar w:fldCharType="begin"/>
      </w:r>
      <w:r w:rsidRPr="00456670">
        <w:rPr>
          <w:rFonts w:ascii="宋体" w:eastAsia="宋体" w:hAnsi="宋体" w:cs="宋体"/>
          <w:kern w:val="0"/>
          <w:sz w:val="24"/>
        </w:rPr>
        <w:instrText xml:space="preserve"> INCLUDEPICTURE "https://david-salazar.github.io/post/2020-07-22-causality-invariance-under-interventions_files/figure-html/drug,%20coffee-1.png" \* MERGEFORMATINET </w:instrText>
      </w:r>
      <w:r w:rsidRPr="00456670">
        <w:rPr>
          <w:rFonts w:ascii="宋体" w:eastAsia="宋体" w:hAnsi="宋体" w:cs="宋体"/>
          <w:kern w:val="0"/>
          <w:sz w:val="24"/>
        </w:rPr>
        <w:fldChar w:fldCharType="separate"/>
      </w:r>
      <w:r w:rsidRPr="00456670">
        <w:rPr>
          <w:rFonts w:ascii="宋体" w:eastAsia="宋体" w:hAnsi="宋体" w:cs="宋体"/>
          <w:noProof/>
          <w:kern w:val="0"/>
          <w:sz w:val="24"/>
        </w:rPr>
        <w:drawing>
          <wp:inline distT="0" distB="0" distL="0" distR="0">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宋体" w:eastAsia="宋体" w:hAnsi="宋体" w:cs="宋体"/>
          <w:kern w:val="0"/>
          <w:sz w:val="24"/>
        </w:rPr>
        <w:fldChar w:fldCharType="end"/>
      </w:r>
    </w:p>
    <w:p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rsidR="00CF7AE7" w:rsidRPr="00CF7AE7" w:rsidRDefault="00CF7AE7" w:rsidP="00CF7AE7">
      <w:pPr>
        <w:widowControl/>
        <w:jc w:val="center"/>
        <w:rPr>
          <w:rFonts w:ascii="宋体" w:eastAsia="宋体" w:hAnsi="宋体" w:cs="宋体"/>
          <w:kern w:val="0"/>
          <w:sz w:val="24"/>
        </w:rPr>
      </w:pPr>
      <w:r w:rsidRPr="00CF7AE7">
        <w:rPr>
          <w:rFonts w:ascii="宋体" w:eastAsia="宋体" w:hAnsi="宋体" w:cs="宋体"/>
          <w:kern w:val="0"/>
          <w:sz w:val="24"/>
        </w:rPr>
        <w:fldChar w:fldCharType="begin"/>
      </w:r>
      <w:r w:rsidRPr="00CF7AE7">
        <w:rPr>
          <w:rFonts w:ascii="宋体" w:eastAsia="宋体" w:hAnsi="宋体" w:cs="宋体"/>
          <w:kern w:val="0"/>
          <w:sz w:val="24"/>
        </w:rPr>
        <w:instrText xml:space="preserve"> INCLUDEPICTURE "https://david-salazar.github.io/post/2020-07-22-causality-invariance-under-interventions_files/figure-html/drug-eliminated-1.png" \* MERGEFORMATINET </w:instrText>
      </w:r>
      <w:r w:rsidRPr="00CF7AE7">
        <w:rPr>
          <w:rFonts w:ascii="宋体" w:eastAsia="宋体" w:hAnsi="宋体" w:cs="宋体"/>
          <w:kern w:val="0"/>
          <w:sz w:val="24"/>
        </w:rPr>
        <w:fldChar w:fldCharType="separate"/>
      </w:r>
      <w:r w:rsidRPr="00CF7AE7">
        <w:rPr>
          <w:rFonts w:ascii="宋体" w:eastAsia="宋体" w:hAnsi="宋体" w:cs="宋体"/>
          <w:noProof/>
          <w:kern w:val="0"/>
          <w:sz w:val="24"/>
        </w:rPr>
        <w:drawing>
          <wp:inline distT="0" distB="0" distL="0" distR="0">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宋体" w:eastAsia="宋体" w:hAnsi="宋体" w:cs="宋体"/>
          <w:kern w:val="0"/>
          <w:sz w:val="24"/>
        </w:rPr>
        <w:fldChar w:fldCharType="end"/>
      </w:r>
    </w:p>
    <w:p w:rsidR="00AF76E5" w:rsidRPr="00AD76BD" w:rsidRDefault="00AF76E5" w:rsidP="00AD76BD">
      <w:pPr>
        <w:rPr>
          <w:rFonts w:asciiTheme="minorHAnsi" w:eastAsiaTheme="minorHAnsi" w:hAnsiTheme="minorHAnsi" w:hint="eastAsia"/>
        </w:rPr>
      </w:pPr>
    </w:p>
    <w:sectPr w:rsidR="00AF76E5" w:rsidRPr="00AD76BD" w:rsidSect="004E60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正文)">
    <w:altName w:val="DengXian"/>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xsys">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26FC164A"/>
    <w:lvl w:ilvl="0" w:tplc="18D05F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306CB"/>
    <w:rsid w:val="00054F2A"/>
    <w:rsid w:val="00070AFE"/>
    <w:rsid w:val="000929AF"/>
    <w:rsid w:val="000C1AD3"/>
    <w:rsid w:val="000D1084"/>
    <w:rsid w:val="001454B3"/>
    <w:rsid w:val="0016500F"/>
    <w:rsid w:val="00175FFA"/>
    <w:rsid w:val="00185C5D"/>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C216F"/>
    <w:rsid w:val="003D5BFF"/>
    <w:rsid w:val="003D724E"/>
    <w:rsid w:val="003F49E5"/>
    <w:rsid w:val="00402C0A"/>
    <w:rsid w:val="00402F98"/>
    <w:rsid w:val="00425019"/>
    <w:rsid w:val="00450ADB"/>
    <w:rsid w:val="004517D6"/>
    <w:rsid w:val="004520C7"/>
    <w:rsid w:val="0045313F"/>
    <w:rsid w:val="00456670"/>
    <w:rsid w:val="004907A0"/>
    <w:rsid w:val="00497860"/>
    <w:rsid w:val="004A4134"/>
    <w:rsid w:val="004B1928"/>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04B3B"/>
    <w:rsid w:val="00722522"/>
    <w:rsid w:val="007239C9"/>
    <w:rsid w:val="00750746"/>
    <w:rsid w:val="00766975"/>
    <w:rsid w:val="00785FFB"/>
    <w:rsid w:val="007B483F"/>
    <w:rsid w:val="007C5DC2"/>
    <w:rsid w:val="007D4CC8"/>
    <w:rsid w:val="007F0AB7"/>
    <w:rsid w:val="0084626C"/>
    <w:rsid w:val="00850B44"/>
    <w:rsid w:val="00876559"/>
    <w:rsid w:val="009376E7"/>
    <w:rsid w:val="00952FAD"/>
    <w:rsid w:val="009709EB"/>
    <w:rsid w:val="009825A8"/>
    <w:rsid w:val="009B1D49"/>
    <w:rsid w:val="009B285A"/>
    <w:rsid w:val="009D465D"/>
    <w:rsid w:val="009E6BE2"/>
    <w:rsid w:val="00A16F25"/>
    <w:rsid w:val="00A21252"/>
    <w:rsid w:val="00A52FFC"/>
    <w:rsid w:val="00A63F3C"/>
    <w:rsid w:val="00A66470"/>
    <w:rsid w:val="00A74052"/>
    <w:rsid w:val="00AA3EBE"/>
    <w:rsid w:val="00AC2F3A"/>
    <w:rsid w:val="00AD76BD"/>
    <w:rsid w:val="00AE5718"/>
    <w:rsid w:val="00AF76E5"/>
    <w:rsid w:val="00B00B30"/>
    <w:rsid w:val="00B05CD5"/>
    <w:rsid w:val="00B20738"/>
    <w:rsid w:val="00B30058"/>
    <w:rsid w:val="00B41351"/>
    <w:rsid w:val="00B6263F"/>
    <w:rsid w:val="00BB5D84"/>
    <w:rsid w:val="00BE5605"/>
    <w:rsid w:val="00C24C52"/>
    <w:rsid w:val="00C25EB3"/>
    <w:rsid w:val="00C6413E"/>
    <w:rsid w:val="00C71189"/>
    <w:rsid w:val="00CA53F5"/>
    <w:rsid w:val="00CB0EC8"/>
    <w:rsid w:val="00CD1343"/>
    <w:rsid w:val="00CE516D"/>
    <w:rsid w:val="00CF7AE7"/>
    <w:rsid w:val="00D020C9"/>
    <w:rsid w:val="00D26879"/>
    <w:rsid w:val="00D54625"/>
    <w:rsid w:val="00DA34CC"/>
    <w:rsid w:val="00DA4E0D"/>
    <w:rsid w:val="00DD0AD2"/>
    <w:rsid w:val="00DE29C3"/>
    <w:rsid w:val="00E00B7A"/>
    <w:rsid w:val="00E209DB"/>
    <w:rsid w:val="00E3184D"/>
    <w:rsid w:val="00E475CC"/>
    <w:rsid w:val="00E90396"/>
    <w:rsid w:val="00E9189E"/>
    <w:rsid w:val="00E91B47"/>
    <w:rsid w:val="00EA0C55"/>
    <w:rsid w:val="00EB751B"/>
    <w:rsid w:val="00EC6BB8"/>
    <w:rsid w:val="00EE2BDB"/>
    <w:rsid w:val="00EE5ABC"/>
    <w:rsid w:val="00EE6ECE"/>
    <w:rsid w:val="00EF1969"/>
    <w:rsid w:val="00EF1B30"/>
    <w:rsid w:val="00F14DF5"/>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0BF5"/>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widowControl w:val="0"/>
      <w:jc w:val="both"/>
    </w:pPr>
    <w:rPr>
      <w:rFonts w:ascii="Calibri" w:hAnsi="Calibri"/>
    </w:rPr>
  </w:style>
  <w:style w:type="paragraph" w:styleId="1">
    <w:name w:val="heading 1"/>
    <w:basedOn w:val="a"/>
    <w:next w:val="a"/>
    <w:link w:val="10"/>
    <w:uiPriority w:val="9"/>
    <w:qFormat/>
    <w:rsid w:val="00BE5605"/>
    <w:pPr>
      <w:keepNext/>
      <w:keepLines/>
      <w:spacing w:before="340" w:after="330" w:line="578" w:lineRule="auto"/>
      <w:outlineLvl w:val="0"/>
    </w:pPr>
    <w:rPr>
      <w:rFonts w:ascii="DengXian (正文)" w:hAnsi="DengXian (正文)"/>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718"/>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7C5DC2"/>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7C5DC2"/>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BE5605"/>
    <w:rPr>
      <w:rFonts w:ascii="DengXian (正文)" w:hAnsi="DengXian (正文)"/>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24C52"/>
    <w:rPr>
      <w:rFonts w:ascii="宋体" w:eastAsia="宋体" w:hAnsi="宋体" w:cs="宋体"/>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宋体" w:eastAsia="宋体"/>
      <w:sz w:val="18"/>
      <w:szCs w:val="18"/>
    </w:rPr>
  </w:style>
  <w:style w:type="character" w:customStyle="1" w:styleId="a7">
    <w:name w:val="批注框文本 字符"/>
    <w:basedOn w:val="a0"/>
    <w:link w:val="a6"/>
    <w:uiPriority w:val="99"/>
    <w:semiHidden/>
    <w:rsid w:val="0057218A"/>
    <w:rPr>
      <w:rFonts w:ascii="宋体" w:eastAsia="宋体"/>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313718"/>
    <w:rPr>
      <w:rFonts w:asciiTheme="majorHAnsi" w:eastAsiaTheme="majorEastAsia" w:hAnsiTheme="majorHAnsi" w:cstheme="majorBidi"/>
      <w:b/>
      <w:bCs/>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37</cp:revision>
  <cp:lastPrinted>2020-09-13T09:42:00Z</cp:lastPrinted>
  <dcterms:created xsi:type="dcterms:W3CDTF">2020-09-13T09:42:00Z</dcterms:created>
  <dcterms:modified xsi:type="dcterms:W3CDTF">2020-09-14T15:49:00Z</dcterms:modified>
</cp:coreProperties>
</file>