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0" w:after="0" w:line="480" w:lineRule="exact"/>
        <w:jc w:val="left"/>
      </w:pPr>
    </w:p>
    <w:p>
      <w:pPr>
        <w:snapToGrid w:val="0"/>
        <w:spacing w:before="0" w:after="0" w:line="560" w:lineRule="exact"/>
        <w:jc w:val="left"/>
      </w:pPr>
      <w:r>
        <w:rPr>
          <w:rFonts w:ascii="微软雅黑" w:hAnsi="微软雅黑" w:eastAsia="微软雅黑"/>
          <w:b/>
          <w:bCs/>
          <w:color w:val="3A3838"/>
          <w:sz w:val="56"/>
          <w:szCs w:val="56"/>
        </w:rPr>
        <w:t xml:space="preserve">会议纪要                                     </w:t>
      </w:r>
    </w:p>
    <w:p>
      <w:p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2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exact"/>
        <w:jc w:val="left"/>
        <w:rPr>
          <w:rFonts w:ascii="微软雅黑" w:hAnsi="微软雅黑" w:eastAsia="微软雅黑"/>
        </w:rPr>
      </w:pPr>
    </w:p>
    <w:p>
      <w:pPr>
        <w:snapToGrid w:val="0"/>
        <w:spacing w:before="0" w:after="0" w:line="480" w:lineRule="exact"/>
        <w:jc w:val="left"/>
      </w:pPr>
      <w:r>
        <w:rPr>
          <w:rFonts w:ascii="微软雅黑" w:hAnsi="微软雅黑" w:eastAsia="微软雅黑"/>
          <w:b/>
          <w:bCs/>
          <w:color w:val="3A3838"/>
          <w:sz w:val="22"/>
          <w:szCs w:val="22"/>
        </w:rPr>
        <w:t>时间 | 2019年07月22日  11:30 ~14:00</w:t>
      </w:r>
    </w:p>
    <w:p>
      <w:pPr>
        <w:snapToGrid w:val="0"/>
        <w:spacing w:before="0" w:after="0" w:line="480" w:lineRule="exact"/>
        <w:jc w:val="left"/>
      </w:pPr>
      <w:r>
        <w:rPr>
          <w:rFonts w:ascii="微软雅黑" w:hAnsi="微软雅黑" w:eastAsia="微软雅黑"/>
          <w:b/>
          <w:bCs/>
          <w:color w:val="3A3838"/>
          <w:sz w:val="22"/>
          <w:szCs w:val="22"/>
        </w:rPr>
        <w:t>地点 | 五楼会议室</w:t>
      </w:r>
    </w:p>
    <w:p>
      <w:pPr>
        <w:snapToGrid w:val="0"/>
        <w:spacing w:before="0" w:after="0" w:line="480" w:lineRule="exact"/>
        <w:jc w:val="left"/>
      </w:pPr>
      <w:r>
        <w:rPr>
          <w:rFonts w:ascii="微软雅黑" w:hAnsi="微软雅黑" w:eastAsia="微软雅黑"/>
          <w:b/>
          <w:bCs/>
          <w:color w:val="3A3838"/>
          <w:sz w:val="22"/>
          <w:szCs w:val="22"/>
        </w:rPr>
        <w:t xml:space="preserve">参与人员 | 高毅 高佑成 颜俊 胡建霞 钟响 覃志毅 </w:t>
      </w:r>
      <w:r>
        <w:rPr>
          <w:rFonts w:ascii="微软雅黑" w:hAnsi="微软雅黑" w:eastAsia="微软雅黑"/>
          <w:b/>
          <w:bCs/>
          <w:color w:val="3A3838"/>
          <w:sz w:val="22"/>
          <w:szCs w:val="22"/>
          <w:shd w:val="clear"/>
        </w:rPr>
        <w:t>唐家锡</w:t>
      </w:r>
      <w:r>
        <w:rPr>
          <w:rFonts w:hint="eastAsia" w:ascii="微软雅黑" w:hAnsi="微软雅黑" w:eastAsia="微软雅黑"/>
          <w:b/>
          <w:bCs/>
          <w:color w:val="3A3838"/>
          <w:sz w:val="22"/>
          <w:szCs w:val="22"/>
          <w:shd w:val="clear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3A3838"/>
          <w:sz w:val="22"/>
          <w:szCs w:val="22"/>
          <w:shd w:val="clear"/>
        </w:rPr>
        <w:t>黄凯 李志高 姚泊漳</w:t>
      </w:r>
    </w:p>
    <w:p>
      <w:p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560" w:lineRule="exact"/>
        <w:jc w:val="left"/>
        <w:rPr>
          <w:rFonts w:ascii="微软雅黑" w:hAnsi="微软雅黑" w:eastAsia="微软雅黑"/>
        </w:rPr>
      </w:pPr>
    </w:p>
    <w:p>
      <w:pPr>
        <w:snapToGrid w:val="0"/>
        <w:spacing w:before="0" w:after="0" w:line="240" w:lineRule="exact"/>
        <w:jc w:val="left"/>
        <w:rPr>
          <w:rFonts w:ascii="微软雅黑" w:hAnsi="微软雅黑" w:eastAsia="微软雅黑"/>
        </w:rPr>
      </w:pPr>
    </w:p>
    <w:p>
      <w:p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5495FD"/>
          <w:sz w:val="36"/>
          <w:szCs w:val="36"/>
        </w:rPr>
        <w:t xml:space="preserve"> </w:t>
      </w:r>
      <w:r>
        <w:rPr>
          <w:rFonts w:ascii="微软雅黑" w:hAnsi="微软雅黑" w:eastAsia="微软雅黑"/>
          <w:b/>
          <w:bCs/>
          <w:color w:val="5495FD"/>
          <w:sz w:val="32"/>
          <w:szCs w:val="32"/>
        </w:rPr>
        <w:t>会议议题</w:t>
      </w:r>
      <w:r>
        <w:rPr>
          <w:rFonts w:ascii="微软雅黑" w:hAnsi="微软雅黑" w:eastAsia="微软雅黑"/>
          <w:b/>
          <w:bCs/>
          <w:color w:val="5495FD"/>
          <w:sz w:val="36"/>
          <w:szCs w:val="36"/>
        </w:rPr>
        <w:t xml:space="preserve"> </w:t>
      </w:r>
    </w:p>
    <w:p>
      <w:pPr>
        <w:snapToGrid w:val="0"/>
        <w:spacing w:before="0" w:after="0" w:line="80" w:lineRule="exact"/>
        <w:jc w:val="left"/>
        <w:rPr>
          <w:rFonts w:ascii="微软雅黑" w:hAnsi="微软雅黑" w:eastAsia="微软雅黑"/>
        </w:rPr>
      </w:pPr>
    </w:p>
    <w:p>
      <w:pPr>
        <w:snapToGrid w:val="0"/>
        <w:spacing w:before="0" w:after="0" w:line="480" w:lineRule="exact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益丰大药房会员分析</w:t>
      </w:r>
    </w:p>
    <w:p>
      <w:pPr>
        <w:snapToGrid w:val="0"/>
        <w:spacing w:line="480" w:lineRule="exact"/>
        <w:jc w:val="left"/>
        <w:rPr>
          <w:rFonts w:ascii="微软雅黑" w:hAnsi="微软雅黑" w:eastAsia="微软雅黑"/>
        </w:rPr>
      </w:pPr>
    </w:p>
    <w:p>
      <w:p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5495FD"/>
          <w:sz w:val="36"/>
          <w:szCs w:val="36"/>
        </w:rPr>
        <w:t xml:space="preserve"> </w:t>
      </w:r>
      <w:r>
        <w:rPr>
          <w:rFonts w:ascii="微软雅黑" w:hAnsi="微软雅黑" w:eastAsia="微软雅黑"/>
          <w:b/>
          <w:bCs/>
          <w:color w:val="5495FD"/>
          <w:sz w:val="32"/>
          <w:szCs w:val="32"/>
        </w:rPr>
        <w:t>会议结论</w:t>
      </w:r>
    </w:p>
    <w:p>
      <w:pPr>
        <w:snapToGrid w:val="0"/>
        <w:spacing w:before="0" w:after="0" w:line="80" w:lineRule="exact"/>
        <w:jc w:val="left"/>
        <w:rPr>
          <w:rFonts w:ascii="微软雅黑" w:hAnsi="微软雅黑" w:eastAsia="微软雅黑"/>
        </w:rPr>
      </w:pPr>
    </w:p>
    <w:p>
      <w:pPr>
        <w:numPr>
          <w:ilvl w:val="0"/>
          <w:numId w:val="1"/>
        </w:numPr>
        <w:snapToGrid w:val="0"/>
        <w:spacing w:before="0" w:after="0" w:line="480" w:lineRule="exact"/>
        <w:ind w:leftChars="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万邦数据中1500亿的</w:t>
      </w:r>
      <w:r>
        <w:rPr>
          <w:rFonts w:ascii="微软雅黑" w:hAnsi="微软雅黑" w:eastAsia="微软雅黑"/>
          <w:b/>
          <w:bCs/>
          <w:sz w:val="24"/>
          <w:szCs w:val="24"/>
        </w:rPr>
        <w:t>构成中，非医疗机构的体</w:t>
      </w: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量，电商对我们的影响</w:t>
      </w:r>
    </w:p>
    <w:p>
      <w:pPr>
        <w:snapToGrid w:val="0"/>
        <w:spacing w:before="0" w:after="0" w:line="80" w:lineRule="exact"/>
        <w:jc w:val="left"/>
        <w:rPr>
          <w:rFonts w:ascii="微软雅黑" w:hAnsi="微软雅黑" w:eastAsia="微软雅黑"/>
        </w:rPr>
      </w:pPr>
    </w:p>
    <w:p>
      <w:pPr>
        <w:numPr>
          <w:ilvl w:val="0"/>
          <w:numId w:val="2"/>
        </w:numPr>
        <w:snapToGrid w:val="0"/>
        <w:spacing w:before="0" w:after="0" w:line="480" w:lineRule="exact"/>
        <w:ind w:leftChars="0" w:hangingChars="200"/>
        <w:jc w:val="left"/>
      </w:pPr>
      <w:r>
        <w:rPr>
          <w:rFonts w:ascii="Microsoft YaHei, 微软雅黑" w:hAnsi="Microsoft YaHei, 微软雅黑" w:eastAsia="Microsoft YaHei, 微软雅黑"/>
          <w:color w:val="000000"/>
          <w:sz w:val="21"/>
          <w:szCs w:val="21"/>
        </w:rPr>
        <w:t>确认销售规模</w:t>
      </w:r>
      <w:r>
        <w:rPr>
          <w:rFonts w:ascii="微软雅黑" w:hAnsi="微软雅黑" w:eastAsia="微软雅黑"/>
          <w:color w:val="3A3838"/>
          <w:sz w:val="21"/>
          <w:szCs w:val="21"/>
        </w:rPr>
        <w:t xml:space="preserve"> </w:t>
      </w:r>
      <w:r>
        <w:rPr>
          <w:rFonts w:ascii="微软雅黑" w:hAnsi="微软雅黑" w:eastAsia="微软雅黑"/>
          <w:color w:val="3A3838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16D86B"/>
          <w:sz w:val="24"/>
          <w:szCs w:val="24"/>
        </w:rPr>
        <w:t>@</w:t>
      </w:r>
      <w:r>
        <w:rPr>
          <w:rFonts w:ascii="微软雅黑" w:hAnsi="微软雅黑" w:eastAsia="微软雅黑"/>
          <w:color w:val="23D176"/>
          <w:sz w:val="24"/>
          <w:szCs w:val="24"/>
        </w:rPr>
        <w:t xml:space="preserve">颜俊@赵峰 </w:t>
      </w:r>
    </w:p>
    <w:p>
      <w:pPr>
        <w:numPr>
          <w:ilvl w:val="0"/>
          <w:numId w:val="2"/>
        </w:numPr>
        <w:snapToGrid w:val="0"/>
        <w:spacing w:line="480" w:lineRule="exact"/>
        <w:ind w:leftChars="0" w:hangingChars="200"/>
        <w:jc w:val="left"/>
      </w:pPr>
      <w:r>
        <w:rPr>
          <w:rFonts w:ascii="Microsoft YaHei, 微软雅黑" w:hAnsi="Microsoft YaHei, 微软雅黑" w:eastAsia="Microsoft YaHei, 微软雅黑"/>
          <w:sz w:val="21"/>
          <w:szCs w:val="21"/>
        </w:rPr>
        <w:t>确认处方导流占比</w:t>
      </w:r>
      <w:r>
        <w:rPr>
          <w:rFonts w:ascii="微软雅黑" w:hAnsi="微软雅黑" w:eastAsia="微软雅黑"/>
          <w:color w:val="16D86B"/>
          <w:sz w:val="24"/>
          <w:szCs w:val="24"/>
        </w:rPr>
        <w:t>@</w:t>
      </w:r>
      <w:r>
        <w:rPr>
          <w:rFonts w:ascii="微软雅黑" w:hAnsi="微软雅黑" w:eastAsia="微软雅黑"/>
          <w:color w:val="23D176"/>
          <w:sz w:val="24"/>
          <w:szCs w:val="24"/>
        </w:rPr>
        <w:t xml:space="preserve">颜俊  </w:t>
      </w:r>
    </w:p>
    <w:p>
      <w:pPr>
        <w:numPr>
          <w:ilvl w:val="0"/>
          <w:numId w:val="1"/>
        </w:numPr>
        <w:snapToGrid w:val="0"/>
        <w:spacing w:line="480" w:lineRule="exact"/>
        <w:ind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战略性的讨论一下和支付宝的合作深度。支付宝找一个线下大型企业合作，赋能整合行业</w:t>
      </w:r>
    </w:p>
    <w:p>
      <w:pPr>
        <w:numPr>
          <w:ilvl w:val="0"/>
          <w:numId w:val="2"/>
        </w:numPr>
        <w:snapToGrid w:val="0"/>
        <w:spacing w:line="480" w:lineRule="exact"/>
        <w:ind w:hangingChars="200"/>
        <w:jc w:val="left"/>
        <w:rPr>
          <w:sz w:val="21"/>
          <w:szCs w:val="21"/>
        </w:rPr>
      </w:pPr>
      <w:r>
        <w:rPr>
          <w:rFonts w:ascii="Microsoft YaHei, 微软雅黑" w:hAnsi="Microsoft YaHei, 微软雅黑" w:eastAsia="Microsoft YaHei, 微软雅黑"/>
          <w:sz w:val="21"/>
          <w:szCs w:val="21"/>
        </w:rPr>
        <w:t>办卡战略分析数据 ，对未来零售的影响</w:t>
      </w:r>
      <w:r>
        <w:rPr>
          <w:rFonts w:ascii="微软雅黑" w:hAnsi="微软雅黑" w:eastAsia="微软雅黑"/>
          <w:color w:val="23D176"/>
          <w:sz w:val="24"/>
          <w:szCs w:val="24"/>
          <w:shd w:val="clear"/>
        </w:rPr>
        <w:t>@颜俊@胡建霞</w:t>
      </w:r>
    </w:p>
    <w:p>
      <w:pPr>
        <w:numPr>
          <w:ilvl w:val="0"/>
          <w:numId w:val="1"/>
        </w:numPr>
        <w:snapToGrid w:val="0"/>
        <w:spacing w:line="480" w:lineRule="exact"/>
        <w:ind w:hangingChars="200"/>
        <w:jc w:val="left"/>
        <w:rPr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  <w:shd w:val="clear"/>
        </w:rPr>
        <w:t>复购率口径，90天是否更科学</w:t>
      </w:r>
      <w:r>
        <w:rPr>
          <w:rFonts w:ascii="Microsoft YaHei, 微软雅黑" w:hAnsi="Microsoft YaHei, 微软雅黑" w:eastAsia="Microsoft YaHei, 微软雅黑"/>
          <w:b/>
          <w:bCs/>
          <w:color w:val="000000"/>
          <w:sz w:val="20"/>
          <w:szCs w:val="20"/>
          <w:shd w:val="clear"/>
        </w:rPr>
        <w:t>？</w:t>
      </w:r>
    </w:p>
    <w:p>
      <w:pPr>
        <w:numPr>
          <w:ilvl w:val="0"/>
          <w:numId w:val="2"/>
        </w:numPr>
        <w:snapToGrid w:val="0"/>
        <w:spacing w:line="480" w:lineRule="exact"/>
        <w:ind w:hangingChars="200"/>
        <w:jc w:val="left"/>
        <w:rPr>
          <w:sz w:val="20"/>
          <w:szCs w:val="20"/>
        </w:rPr>
      </w:pPr>
      <w:r>
        <w:rPr>
          <w:rFonts w:ascii="Microsoft YaHei, 微软雅黑" w:hAnsi="Microsoft YaHei, 微软雅黑" w:eastAsia="Microsoft YaHei, 微软雅黑"/>
          <w:color w:val="000000"/>
          <w:sz w:val="20"/>
          <w:szCs w:val="20"/>
          <w:shd w:val="clear"/>
        </w:rPr>
        <w:t>复购率口径与运营讨论如何一致</w:t>
      </w:r>
      <w:r>
        <w:rPr>
          <w:rFonts w:ascii="微软雅黑" w:hAnsi="微软雅黑" w:eastAsia="微软雅黑"/>
          <w:color w:val="23D176"/>
          <w:sz w:val="24"/>
          <w:szCs w:val="24"/>
          <w:shd w:val="clear"/>
        </w:rPr>
        <w:t>@颜俊@胡建霞@李志高</w:t>
      </w:r>
    </w:p>
    <w:p>
      <w:pPr>
        <w:numPr>
          <w:ilvl w:val="0"/>
          <w:numId w:val="2"/>
        </w:numPr>
        <w:snapToGrid w:val="0"/>
        <w:spacing w:line="480" w:lineRule="exact"/>
        <w:ind w:hangingChars="200"/>
        <w:jc w:val="left"/>
        <w:rPr>
          <w:sz w:val="20"/>
          <w:szCs w:val="20"/>
        </w:rPr>
      </w:pPr>
      <w:r>
        <w:rPr>
          <w:rFonts w:ascii="Microsoft YaHei, 微软雅黑" w:hAnsi="Microsoft YaHei, 微软雅黑" w:eastAsia="Microsoft YaHei, 微软雅黑"/>
          <w:color w:val="000000"/>
          <w:sz w:val="20"/>
          <w:szCs w:val="20"/>
          <w:shd w:val="clear"/>
        </w:rPr>
        <w:t>线下复购率90天还是60天，55天取高位数是否合理？</w:t>
      </w:r>
      <w:r>
        <w:rPr>
          <w:rFonts w:ascii="微软雅黑" w:hAnsi="微软雅黑" w:eastAsia="微软雅黑"/>
          <w:color w:val="23D176"/>
          <w:sz w:val="24"/>
          <w:szCs w:val="24"/>
          <w:shd w:val="clear"/>
        </w:rPr>
        <w:t>@颜俊@胡建霞@李志高</w:t>
      </w:r>
    </w:p>
    <w:p>
      <w:pPr>
        <w:numPr>
          <w:ilvl w:val="0"/>
          <w:numId w:val="1"/>
        </w:numPr>
        <w:snapToGrid w:val="0"/>
        <w:spacing w:line="480" w:lineRule="exact"/>
        <w:ind w:hangingChars="200"/>
        <w:jc w:val="left"/>
        <w:rPr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color w:val="000000"/>
          <w:sz w:val="24"/>
          <w:szCs w:val="24"/>
          <w:shd w:val="clear"/>
        </w:rPr>
        <w:t>年复购会员人均销售额、频次双降的原因</w:t>
      </w:r>
      <w:r>
        <w:rPr>
          <w:rFonts w:ascii="Microsoft YaHei, 微软雅黑" w:hAnsi="Microsoft YaHei, 微软雅黑" w:eastAsia="Microsoft YaHei, 微软雅黑"/>
          <w:b/>
          <w:bCs/>
          <w:sz w:val="20"/>
          <w:szCs w:val="20"/>
        </w:rPr>
        <w:t>？</w:t>
      </w:r>
    </w:p>
    <w:p>
      <w:pPr>
        <w:numPr>
          <w:ilvl w:val="0"/>
          <w:numId w:val="2"/>
        </w:numPr>
        <w:snapToGrid w:val="0"/>
        <w:spacing w:line="480" w:lineRule="exact"/>
        <w:ind w:hangingChars="200"/>
        <w:jc w:val="left"/>
        <w:rPr>
          <w:sz w:val="20"/>
          <w:szCs w:val="20"/>
        </w:rPr>
      </w:pPr>
      <w:r>
        <w:rPr>
          <w:rFonts w:ascii="Microsoft YaHei, 微软雅黑" w:hAnsi="Microsoft YaHei, 微软雅黑" w:eastAsia="Microsoft YaHei, 微软雅黑"/>
          <w:sz w:val="20"/>
          <w:szCs w:val="20"/>
        </w:rPr>
        <w:t>员工的服务水平下降与考核机制,各种项目全部要分析一次,对员工的行为的影响有多大？</w:t>
      </w:r>
      <w:r>
        <w:rPr>
          <w:rFonts w:ascii="微软雅黑" w:hAnsi="微软雅黑" w:eastAsia="微软雅黑"/>
          <w:color w:val="23D176"/>
          <w:sz w:val="24"/>
          <w:szCs w:val="24"/>
          <w:shd w:val="clear"/>
        </w:rPr>
        <w:t>@颜俊@胡建霞</w:t>
      </w:r>
    </w:p>
    <w:p>
      <w:pPr>
        <w:numPr>
          <w:ilvl w:val="0"/>
          <w:numId w:val="1"/>
        </w:numPr>
        <w:snapToGrid w:val="0"/>
        <w:spacing w:line="480" w:lineRule="exact"/>
        <w:ind w:hangingChars="200"/>
        <w:jc w:val="left"/>
        <w:rPr>
          <w:sz w:val="24"/>
          <w:szCs w:val="24"/>
        </w:rPr>
      </w:pPr>
      <w:r>
        <w:rPr>
          <w:rFonts w:ascii="Microsoft YaHei, 微软雅黑" w:hAnsi="Microsoft YaHei, 微软雅黑" w:eastAsia="Microsoft YaHei, 微软雅黑"/>
          <w:b/>
          <w:bCs/>
          <w:sz w:val="24"/>
          <w:szCs w:val="24"/>
        </w:rPr>
        <w:t>基于各个年龄段的会员分析</w:t>
      </w:r>
    </w:p>
    <w:p>
      <w:pPr>
        <w:numPr>
          <w:ilvl w:val="0"/>
          <w:numId w:val="2"/>
        </w:numPr>
        <w:snapToGrid w:val="0"/>
        <w:spacing w:line="480" w:lineRule="exact"/>
        <w:ind w:hangingChars="200"/>
        <w:jc w:val="left"/>
        <w:rPr>
          <w:sz w:val="20"/>
          <w:szCs w:val="20"/>
        </w:rPr>
      </w:pPr>
      <w:r>
        <w:rPr>
          <w:rFonts w:ascii="Microsoft YaHei, 微软雅黑" w:hAnsi="Microsoft YaHei, 微软雅黑" w:eastAsia="Microsoft YaHei, 微软雅黑"/>
          <w:sz w:val="20"/>
          <w:szCs w:val="20"/>
        </w:rPr>
        <w:t>结合毛利额</w:t>
      </w:r>
      <w:r>
        <w:rPr>
          <w:rFonts w:hint="eastAsia" w:ascii="Microsoft YaHei, 微软雅黑" w:hAnsi="Microsoft YaHei, 微软雅黑" w:eastAsia="Microsoft YaHei, 微软雅黑"/>
          <w:sz w:val="20"/>
          <w:szCs w:val="20"/>
          <w:lang w:eastAsia="zh-CN"/>
        </w:rPr>
        <w:t>与性别</w:t>
      </w:r>
      <w:bookmarkStart w:id="0" w:name="_GoBack"/>
      <w:bookmarkEnd w:id="0"/>
      <w:r>
        <w:rPr>
          <w:rFonts w:ascii="Microsoft YaHei, 微软雅黑" w:hAnsi="Microsoft YaHei, 微软雅黑" w:eastAsia="Microsoft YaHei, 微软雅黑"/>
          <w:sz w:val="20"/>
          <w:szCs w:val="20"/>
        </w:rPr>
        <w:t>贡献分析</w:t>
      </w:r>
      <w:r>
        <w:rPr>
          <w:rFonts w:ascii="微软雅黑" w:hAnsi="微软雅黑" w:eastAsia="微软雅黑"/>
          <w:color w:val="23D176"/>
          <w:sz w:val="24"/>
          <w:szCs w:val="24"/>
          <w:shd w:val="clear"/>
        </w:rPr>
        <w:t>@颜俊@胡建霞</w:t>
      </w:r>
    </w:p>
    <w:p>
      <w:pPr>
        <w:numPr>
          <w:ilvl w:val="0"/>
          <w:numId w:val="2"/>
        </w:numPr>
        <w:snapToGrid w:val="0"/>
        <w:spacing w:line="480" w:lineRule="exact"/>
        <w:ind w:hangingChars="200"/>
        <w:jc w:val="left"/>
        <w:rPr>
          <w:sz w:val="20"/>
          <w:szCs w:val="20"/>
        </w:rPr>
      </w:pPr>
      <w:r>
        <w:rPr>
          <w:rFonts w:ascii="Microsoft YaHei, 微软雅黑" w:hAnsi="Microsoft YaHei, 微软雅黑" w:eastAsia="Microsoft YaHei, 微软雅黑"/>
          <w:sz w:val="20"/>
          <w:szCs w:val="20"/>
        </w:rPr>
        <w:t>顾客画像写成文字，纠正骨干层顾客画像的认知</w:t>
      </w:r>
      <w:r>
        <w:rPr>
          <w:rFonts w:ascii="微软雅黑" w:hAnsi="微软雅黑" w:eastAsia="微软雅黑"/>
          <w:color w:val="23D176"/>
          <w:sz w:val="24"/>
          <w:szCs w:val="24"/>
          <w:shd w:val="clear"/>
        </w:rPr>
        <w:t>@颜俊@胡建霞</w:t>
      </w:r>
    </w:p>
    <w:p>
      <w:pPr>
        <w:numPr>
          <w:ilvl w:val="0"/>
          <w:numId w:val="2"/>
        </w:numPr>
        <w:snapToGrid w:val="0"/>
        <w:spacing w:line="480" w:lineRule="exact"/>
        <w:ind w:hangingChars="200"/>
        <w:jc w:val="left"/>
        <w:rPr>
          <w:sz w:val="20"/>
          <w:szCs w:val="20"/>
        </w:rPr>
      </w:pPr>
      <w:r>
        <w:rPr>
          <w:rFonts w:ascii="Microsoft YaHei, 微软雅黑" w:hAnsi="Microsoft YaHei, 微软雅黑" w:eastAsia="Microsoft YaHei, 微软雅黑"/>
          <w:sz w:val="20"/>
          <w:szCs w:val="20"/>
        </w:rPr>
        <w:t>成立项目组就每一个点都需要挖掘转化成生产力，比如行为、考核</w:t>
      </w:r>
      <w:r>
        <w:rPr>
          <w:rFonts w:ascii="微软雅黑" w:hAnsi="微软雅黑" w:eastAsia="微软雅黑"/>
          <w:color w:val="23D176"/>
          <w:sz w:val="24"/>
          <w:szCs w:val="24"/>
          <w:shd w:val="clear"/>
        </w:rPr>
        <w:t>@颜俊@胡建霞</w:t>
      </w:r>
    </w:p>
    <w:p>
      <w:pPr>
        <w:numPr>
          <w:ilvl w:val="0"/>
          <w:numId w:val="1"/>
        </w:numPr>
        <w:snapToGrid w:val="0"/>
        <w:spacing w:line="480" w:lineRule="exact"/>
        <w:ind w:hangingChars="200"/>
        <w:jc w:val="left"/>
        <w:rPr>
          <w:sz w:val="24"/>
          <w:szCs w:val="24"/>
        </w:rPr>
      </w:pPr>
      <w:r>
        <w:rPr>
          <w:rFonts w:ascii="Microsoft YaHei, 微软雅黑" w:hAnsi="Microsoft YaHei, 微软雅黑" w:eastAsia="Microsoft YaHei, 微软雅黑"/>
          <w:b/>
          <w:bCs/>
          <w:sz w:val="24"/>
          <w:szCs w:val="24"/>
        </w:rPr>
        <w:t>随着店型的变小，会员销售占比值下降超10%的原因</w:t>
      </w:r>
      <w:r>
        <w:rPr>
          <w:rFonts w:ascii="Microsoft YaHei, 微软雅黑" w:hAnsi="Microsoft YaHei, 微软雅黑" w:eastAsia="Microsoft YaHei, 微软雅黑"/>
          <w:sz w:val="20"/>
          <w:szCs w:val="20"/>
        </w:rPr>
        <w:t>？</w:t>
      </w:r>
    </w:p>
    <w:p>
      <w:pPr>
        <w:numPr>
          <w:ilvl w:val="0"/>
          <w:numId w:val="2"/>
        </w:numPr>
        <w:snapToGrid w:val="0"/>
        <w:spacing w:line="480" w:lineRule="exact"/>
        <w:ind w:hangingChars="200"/>
        <w:jc w:val="left"/>
        <w:rPr>
          <w:sz w:val="20"/>
          <w:szCs w:val="20"/>
        </w:rPr>
      </w:pPr>
      <w:r>
        <w:rPr>
          <w:rFonts w:ascii="Microsoft YaHei, 微软雅黑" w:hAnsi="Microsoft YaHei, 微软雅黑" w:eastAsia="Microsoft YaHei, 微软雅黑"/>
          <w:sz w:val="20"/>
          <w:szCs w:val="20"/>
        </w:rPr>
        <w:t>新开门店确定是办卡压力？是被逼出来的?考核方案是否有问题？</w:t>
      </w:r>
      <w:r>
        <w:rPr>
          <w:rFonts w:ascii="微软雅黑" w:hAnsi="微软雅黑" w:eastAsia="微软雅黑"/>
          <w:color w:val="23D176"/>
          <w:sz w:val="24"/>
          <w:szCs w:val="24"/>
          <w:shd w:val="clear"/>
        </w:rPr>
        <w:t>@胡建霞</w:t>
      </w:r>
    </w:p>
    <w:p>
      <w:pPr>
        <w:numPr>
          <w:ilvl w:val="0"/>
          <w:numId w:val="2"/>
        </w:numPr>
        <w:snapToGrid w:val="0"/>
        <w:spacing w:line="480" w:lineRule="exact"/>
        <w:ind w:hangingChars="200"/>
        <w:jc w:val="left"/>
        <w:rPr>
          <w:sz w:val="20"/>
          <w:szCs w:val="20"/>
        </w:rPr>
      </w:pPr>
      <w:r>
        <w:rPr>
          <w:rFonts w:ascii="Microsoft YaHei, 微软雅黑" w:hAnsi="Microsoft YaHei, 微软雅黑" w:eastAsia="Microsoft YaHei, 微软雅黑"/>
          <w:sz w:val="20"/>
          <w:szCs w:val="20"/>
        </w:rPr>
        <w:t>将小二店拆分新老店再进行分析</w:t>
      </w:r>
      <w:r>
        <w:rPr>
          <w:rFonts w:ascii="微软雅黑" w:hAnsi="微软雅黑" w:eastAsia="微软雅黑"/>
          <w:color w:val="23D176"/>
          <w:sz w:val="24"/>
          <w:szCs w:val="24"/>
          <w:shd w:val="clear"/>
        </w:rPr>
        <w:t>@姚泊漳</w:t>
      </w:r>
    </w:p>
    <w:p>
      <w:pPr>
        <w:numPr>
          <w:ilvl w:val="0"/>
          <w:numId w:val="1"/>
        </w:numPr>
        <w:snapToGrid w:val="0"/>
        <w:spacing w:line="480" w:lineRule="exact"/>
        <w:ind w:hangingChars="200"/>
        <w:jc w:val="left"/>
        <w:rPr>
          <w:sz w:val="24"/>
          <w:szCs w:val="24"/>
        </w:rPr>
      </w:pPr>
      <w:r>
        <w:rPr>
          <w:rFonts w:ascii="Microsoft YaHei, 微软雅黑" w:hAnsi="Microsoft YaHei, 微软雅黑" w:eastAsia="Microsoft YaHei, 微软雅黑"/>
          <w:b/>
          <w:bCs/>
          <w:sz w:val="24"/>
          <w:szCs w:val="24"/>
        </w:rPr>
        <w:t>商品固定的部分析模板</w:t>
      </w:r>
    </w:p>
    <w:p>
      <w:pPr>
        <w:numPr>
          <w:ilvl w:val="0"/>
          <w:numId w:val="2"/>
        </w:numPr>
        <w:snapToGrid w:val="0"/>
        <w:spacing w:line="480" w:lineRule="exact"/>
        <w:ind w:hangingChars="200"/>
        <w:jc w:val="left"/>
        <w:rPr>
          <w:sz w:val="20"/>
          <w:szCs w:val="20"/>
        </w:rPr>
      </w:pPr>
      <w:r>
        <w:rPr>
          <w:rFonts w:ascii="Microsoft YaHei, 微软雅黑" w:hAnsi="Microsoft YaHei, 微软雅黑" w:eastAsia="Microsoft YaHei, 微软雅黑"/>
          <w:sz w:val="20"/>
          <w:szCs w:val="20"/>
        </w:rPr>
        <w:t>见分析报告P15，P22</w:t>
      </w:r>
      <w:r>
        <w:rPr>
          <w:rFonts w:ascii="微软雅黑" w:hAnsi="微软雅黑" w:eastAsia="微软雅黑"/>
          <w:color w:val="23D176"/>
          <w:sz w:val="24"/>
          <w:szCs w:val="24"/>
          <w:shd w:val="clear"/>
        </w:rPr>
        <w:t>@唐家锡</w:t>
      </w:r>
    </w:p>
    <w:p>
      <w:pPr>
        <w:snapToGrid w:val="0"/>
        <w:spacing w:line="480" w:lineRule="exact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snapToGrid w:val="0"/>
        <w:spacing w:before="0" w:after="0" w:line="160" w:lineRule="exact"/>
        <w:ind w:leftChars="200"/>
        <w:jc w:val="left"/>
        <w:rPr>
          <w:rFonts w:ascii="微软雅黑" w:hAnsi="微软雅黑" w:eastAsia="微软雅黑"/>
        </w:rPr>
      </w:pPr>
    </w:p>
    <w:p>
      <w:pPr>
        <w:snapToGrid w:val="0"/>
        <w:spacing w:line="480" w:lineRule="exact"/>
        <w:jc w:val="left"/>
        <w:rPr>
          <w:rFonts w:ascii="微软雅黑" w:hAnsi="微软雅黑" w:eastAsia="微软雅黑"/>
        </w:rPr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  <w:jc w:val="left"/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 YaHei, 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"/>
      <w:lvlJc w:val="left"/>
      <w:pPr>
        <w:ind w:left="420" w:hanging="420"/>
      </w:pPr>
      <w:rPr>
        <w:rFonts w:ascii="Wingdings" w:hAnsi="Wingdings" w:eastAsia="Wingdings"/>
        <w:sz w:val="20"/>
        <w:szCs w:val="20"/>
      </w:rPr>
    </w:lvl>
    <w:lvl w:ilvl="1" w:tentative="0">
      <w:start w:val="1"/>
      <w:numFmt w:val="bullet"/>
      <w:lvlText w:val="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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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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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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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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57F56FC6"/>
    <w:rsid w:val="625D7E4B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8</TotalTime>
  <ScaleCrop>false</ScaleCrop>
  <LinksUpToDate>false</LinksUpToDate>
  <CharactersWithSpaces>123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一念之间</cp:lastModifiedBy>
  <dcterms:modified xsi:type="dcterms:W3CDTF">2019-07-23T08:08:22Z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