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精准营销效果评估改造方案</w:t>
      </w: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147469492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0"/>
          <w:sz w:val="20"/>
          <w:szCs w:val="20"/>
        </w:rPr>
      </w:sdtEndPr>
      <w:sdtContent>
        <w:p>
          <w:pPr>
            <w:jc w:val="center"/>
          </w:pPr>
          <w:bookmarkStart w:id="0" w:name="_Toc29987_WPSOffice_Type2"/>
          <w:r>
            <w:rPr>
              <w:rFonts w:ascii="宋体" w:hAnsi="宋体" w:eastAsia="宋体"/>
              <w:b/>
              <w:bCs/>
              <w:sz w:val="36"/>
              <w:szCs w:val="40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"_Toc9309_WPSOffice_Level1"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</w:rPr>
            <w:t>一、现状</w:t>
          </w:r>
          <w:r>
            <w:rPr>
              <w:b/>
              <w:bCs/>
            </w:rPr>
            <w:tab/>
          </w:r>
          <w:bookmarkStart w:id="1" w:name="_Toc9309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"_Toc29987_WPSOffice_Level2" </w:instrText>
          </w:r>
          <w:r>
            <w:fldChar w:fldCharType="separate"/>
          </w:r>
          <w:r>
            <w:rPr>
              <w:rFonts w:hint="eastAsia" w:asciiTheme="majorHAnsi" w:hAnsiTheme="majorHAnsi" w:eastAsiaTheme="majorEastAsia" w:cstheme="majorBidi"/>
            </w:rPr>
            <w:t>1、业务</w:t>
          </w:r>
          <w:r>
            <w:tab/>
          </w:r>
          <w:bookmarkStart w:id="2" w:name="_Toc29987_WPSOffice_Level2Page"/>
          <w:r>
            <w:t>1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"_Toc14245_WPSOffice_Level2" </w:instrText>
          </w:r>
          <w:r>
            <w:fldChar w:fldCharType="separate"/>
          </w:r>
          <w:r>
            <w:rPr>
              <w:rFonts w:hint="eastAsia" w:asciiTheme="majorHAnsi" w:hAnsiTheme="majorHAnsi" w:eastAsiaTheme="majorEastAsia" w:cstheme="majorBidi"/>
            </w:rPr>
            <w:t>2、技术实现</w:t>
          </w:r>
          <w:r>
            <w:tab/>
          </w:r>
          <w:bookmarkStart w:id="3" w:name="_Toc14245_WPSOffice_Level2Page"/>
          <w:r>
            <w:t>2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"_Toc29987_WPSOffice_Level1"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</w:rPr>
            <w:t>二、改造</w:t>
          </w:r>
          <w:r>
            <w:rPr>
              <w:b/>
              <w:bCs/>
            </w:rPr>
            <w:tab/>
          </w:r>
          <w:bookmarkStart w:id="4" w:name="_Toc29987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"_Toc500_WPSOffice_Level2" </w:instrText>
          </w:r>
          <w:r>
            <w:fldChar w:fldCharType="separate"/>
          </w:r>
          <w:r>
            <w:rPr>
              <w:rFonts w:hint="eastAsia" w:asciiTheme="majorHAnsi" w:hAnsiTheme="majorHAnsi" w:eastAsiaTheme="majorEastAsia" w:cstheme="majorBidi"/>
            </w:rPr>
            <w:t>1、待解决问题</w:t>
          </w:r>
          <w:r>
            <w:tab/>
          </w:r>
          <w:bookmarkStart w:id="5" w:name="_Toc500_WPSOffice_Level2Page"/>
          <w:r>
            <w:t>3</w:t>
          </w:r>
          <w:bookmarkEnd w:id="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"_Toc7092_WPSOffice_Level2" </w:instrText>
          </w:r>
          <w:r>
            <w:fldChar w:fldCharType="separate"/>
          </w:r>
          <w:r>
            <w:rPr>
              <w:rFonts w:hint="eastAsia" w:asciiTheme="majorHAnsi" w:hAnsiTheme="majorHAnsi" w:eastAsiaTheme="majorEastAsia" w:cstheme="majorBidi"/>
            </w:rPr>
            <w:t>2、设计思路</w:t>
          </w:r>
          <w:r>
            <w:tab/>
          </w:r>
          <w:bookmarkStart w:id="6" w:name="_Toc7092_WPSOffice_Level2Page"/>
          <w:r>
            <w:t>3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"_Toc6618_WPSOffice_Level2" </w:instrText>
          </w:r>
          <w:r>
            <w:fldChar w:fldCharType="separate"/>
          </w:r>
          <w:r>
            <w:rPr>
              <w:rFonts w:hint="eastAsia" w:asciiTheme="majorHAnsi" w:hAnsiTheme="majorHAnsi" w:eastAsiaTheme="majorEastAsia" w:cstheme="majorBidi"/>
            </w:rPr>
            <w:t>3、技术实现</w:t>
          </w:r>
          <w:r>
            <w:tab/>
          </w:r>
          <w:bookmarkStart w:id="7" w:name="_Toc6618_WPSOffice_Level2Page"/>
          <w:r>
            <w:t>5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"_Toc23787_WPSOffice_Level2" </w:instrText>
          </w:r>
          <w:r>
            <w:fldChar w:fldCharType="separate"/>
          </w:r>
          <w:r>
            <w:rPr>
              <w:rFonts w:hint="eastAsia" w:asciiTheme="majorHAnsi" w:hAnsiTheme="majorHAnsi" w:eastAsiaTheme="majorEastAsia" w:cstheme="majorBidi"/>
            </w:rPr>
            <w:t>4、效果评估准则</w:t>
          </w:r>
          <w:r>
            <w:tab/>
          </w:r>
          <w:bookmarkStart w:id="8" w:name="_Toc23787_WPSOffice_Level2Page"/>
          <w:r>
            <w:t>6</w:t>
          </w:r>
          <w:bookmarkEnd w:id="8"/>
          <w:r>
            <w:fldChar w:fldCharType="end"/>
          </w:r>
        </w:p>
      </w:sdtContent>
    </w:sdt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9" w:name="_Toc9309_WPSOffice_Level1"/>
      <w:r>
        <w:rPr>
          <w:rFonts w:hint="eastAsia"/>
        </w:rPr>
        <w:t>一、现状</w:t>
      </w:r>
      <w:bookmarkEnd w:id="9"/>
    </w:p>
    <w:p>
      <w:pPr>
        <w:pStyle w:val="3"/>
      </w:pPr>
      <w:bookmarkStart w:id="10" w:name="_Toc29987_WPSOffice_Level2"/>
      <w:r>
        <w:rPr>
          <w:rFonts w:hint="eastAsia"/>
        </w:rPr>
        <w:t>1、业务</w:t>
      </w:r>
      <w:bookmarkEnd w:id="10"/>
    </w:p>
    <w:p>
      <w:r>
        <w:rPr>
          <w:rFonts w:hint="eastAsia"/>
        </w:rPr>
        <w:t>当前效果评估分为四类，分别是主流券、主题券、小票以及其他微信支付宝等第三方券；18年主要工作在主流券、主题券的效果支持上。随着业务对券考核的归拢，其它渠道的券也需进行考核或效果展示。当前各类券的统计方式如下：</w:t>
      </w:r>
    </w:p>
    <w:p/>
    <w:tbl>
      <w:tblPr>
        <w:tblStyle w:val="8"/>
        <w:tblW w:w="948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475"/>
        <w:gridCol w:w="4394"/>
        <w:gridCol w:w="26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0" w:type="dxa"/>
            <w:tcBorders>
              <w:top w:val="single" w:color="FF6700" w:sz="8" w:space="0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shd w:val="clear" w:color="000000" w:fill="AAEA2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券分类</w:t>
            </w:r>
            <w:r>
              <w:rPr>
                <w:rFonts w:ascii="Calibri" w:hAnsi="Calibri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single" w:color="FF6700" w:sz="8" w:space="0"/>
              <w:left w:val="nil"/>
              <w:bottom w:val="single" w:color="FF6700" w:sz="8" w:space="0"/>
              <w:right w:val="single" w:color="FF6700" w:sz="8" w:space="0"/>
            </w:tcBorders>
            <w:shd w:val="clear" w:color="000000" w:fill="AAEA2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用户分类</w:t>
            </w:r>
            <w:r>
              <w:rPr>
                <w:rFonts w:ascii="Calibri" w:hAnsi="Calibri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single" w:color="FF6700" w:sz="8" w:space="0"/>
              <w:left w:val="nil"/>
              <w:bottom w:val="single" w:color="FF6700" w:sz="8" w:space="0"/>
              <w:right w:val="single" w:color="FF6700" w:sz="8" w:space="0"/>
            </w:tcBorders>
            <w:shd w:val="clear" w:color="000000" w:fill="AAEA2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公式</w:t>
            </w:r>
            <w:r>
              <w:rPr>
                <w:rFonts w:ascii="Calibri" w:hAnsi="Calibri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single" w:color="FF6700" w:sz="8" w:space="0"/>
              <w:left w:val="nil"/>
              <w:bottom w:val="single" w:color="FF6700" w:sz="8" w:space="0"/>
              <w:right w:val="single" w:color="FF6700" w:sz="8" w:space="0"/>
            </w:tcBorders>
            <w:shd w:val="clear" w:color="000000" w:fill="AAEA25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逻辑</w:t>
            </w:r>
            <w:r>
              <w:rPr>
                <w:rFonts w:ascii="Calibri" w:hAnsi="Calibri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0" w:type="dxa"/>
            <w:vMerge w:val="restart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主流券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新客（无消费）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发券会员在有效期内销售金额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券有效期内回头指定销售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950" w:type="dxa"/>
            <w:vMerge w:val="continue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新客（有消费）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对用户分流后，采用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Abtest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计算口径：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类用户全量销售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-B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类用户全量销售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纯销售金额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>ABtest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对比销售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950" w:type="dxa"/>
            <w:vMerge w:val="continue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老客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对用户分流后，采用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Abtest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计算口径：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类用户全量销售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-B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类用户全量销售</w:t>
            </w:r>
            <w:r>
              <w:rPr>
                <w:rFonts w:ascii="Arial" w:hAnsi="Arial" w:eastAsia="微软雅黑" w:cs="Arial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纯销售金额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>ABtest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对比销售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0" w:type="dxa"/>
            <w:vMerge w:val="continue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流失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发券会员在有效期内销售金额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券有效期内回头指定销售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0" w:type="dxa"/>
            <w:vMerge w:val="restart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主题券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生日券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券有效期内用券整单销售额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0" w:type="dxa"/>
            <w:vMerge w:val="continue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新人券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券有效期内用券整单销售额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，根据券模板指定统计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50" w:type="dxa"/>
            <w:vMerge w:val="continue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老客公众号绑定送券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券有效期内用券整单销售额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券有效期内用券销售，根据券模板指定统计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0" w:type="dxa"/>
            <w:vMerge w:val="continue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积分相关券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依据兑换的券面内容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0" w:type="dxa"/>
            <w:vMerge w:val="continue"/>
            <w:tcBorders>
              <w:top w:val="nil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爆品券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单次用券该商品销售额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0" w:type="dxa"/>
            <w:tcBorders>
              <w:top w:val="nil"/>
              <w:left w:val="single" w:color="FF6700" w:sz="8" w:space="0"/>
              <w:bottom w:val="nil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小票券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联合用药券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单次用券该商品销售额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</w:t>
            </w:r>
            <w:r>
              <w:rPr>
                <w:rFonts w:ascii="Calibri" w:hAnsi="Calibri" w:eastAsia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50" w:type="dxa"/>
            <w:vMerge w:val="restart"/>
            <w:tcBorders>
              <w:top w:val="single" w:color="FF6700" w:sz="8" w:space="0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1475" w:type="dxa"/>
            <w:tcBorders>
              <w:top w:val="single" w:color="FF6700" w:sz="8" w:space="0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支付宝</w:t>
            </w:r>
          </w:p>
        </w:tc>
        <w:tc>
          <w:tcPr>
            <w:tcW w:w="4394" w:type="dxa"/>
            <w:tcBorders>
              <w:top w:val="single" w:color="FF6700" w:sz="8" w:space="0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67" w:type="dxa"/>
            <w:tcBorders>
              <w:top w:val="single" w:color="FF6700" w:sz="8" w:space="0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券有效期内用券销售，18年12月根据渠道关联券模板统计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50" w:type="dxa"/>
            <w:vMerge w:val="continue"/>
            <w:tcBorders>
              <w:top w:val="single" w:color="FF6700" w:sz="8" w:space="0"/>
              <w:left w:val="single" w:color="FF6700" w:sz="8" w:space="0"/>
              <w:bottom w:val="single" w:color="FF6700" w:sz="8" w:space="0"/>
              <w:right w:val="single" w:color="FF6700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微信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67" w:type="dxa"/>
            <w:tcBorders>
              <w:top w:val="nil"/>
              <w:left w:val="nil"/>
              <w:bottom w:val="single" w:color="FF6700" w:sz="8" w:space="0"/>
              <w:right w:val="single" w:color="FF67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券有效期内用券销售，18年12月根据渠道关联券模板统计</w:t>
            </w:r>
          </w:p>
        </w:tc>
      </w:tr>
    </w:tbl>
    <w:p/>
    <w:p>
      <w:r>
        <w:rPr>
          <w:rFonts w:hint="eastAsia"/>
        </w:rPr>
        <w:t>主流券：目前由两部分效果统计构成，ABtest 和回头指定方式，当前可满足需求。</w:t>
      </w:r>
    </w:p>
    <w:p/>
    <w:p>
      <w:pPr>
        <w:rPr>
          <w:color w:val="FF0000"/>
          <w:sz w:val="24"/>
          <w:szCs w:val="24"/>
        </w:rPr>
      </w:pPr>
      <w:r>
        <w:rPr>
          <w:rFonts w:hint="eastAsia"/>
        </w:rPr>
        <w:t>主题券：目前大部分券模板由业务手工创建，通过一级、二级名称来区分类型，例：“运营主题券 - 新注册会员专享券”；有一部分券模板是由BI创建，这类模板数量较多，</w:t>
      </w:r>
      <w:r>
        <w:rPr>
          <w:rFonts w:hint="eastAsia"/>
          <w:sz w:val="24"/>
          <w:szCs w:val="24"/>
        </w:rPr>
        <w:t>同时还</w:t>
      </w:r>
      <w:r>
        <w:rPr>
          <w:rFonts w:hint="eastAsia"/>
          <w:color w:val="FF0000"/>
          <w:sz w:val="24"/>
          <w:szCs w:val="24"/>
        </w:rPr>
        <w:t>存在复用的情况，因此，新增的有些主题券无法按这种方式进行效果统计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考虑到后续会有越来越多的场景，同时考虑券模板的复用，因此，由“发券系统”通过给对应渠道进行标识，来区分发券用券渠道。</w:t>
      </w:r>
    </w:p>
    <w:p/>
    <w:p/>
    <w:p>
      <w:pPr>
        <w:pStyle w:val="3"/>
      </w:pPr>
      <w:bookmarkStart w:id="11" w:name="_Toc14245_WPSOffice_Level2"/>
      <w:r>
        <w:rPr>
          <w:rFonts w:hint="eastAsia"/>
        </w:rPr>
        <w:t>2、技术实现</w:t>
      </w:r>
      <w:bookmarkEnd w:id="11"/>
    </w:p>
    <w:p>
      <w:r>
        <w:rPr>
          <w:rFonts w:hint="eastAsia"/>
        </w:rPr>
        <w:t>目前主流券与主题券、小票的底层脚本不复用；同时，在设计上没有考虑全面，出现新的需求加入时，不能快速调整，对业务可变的，没有预留可变空间。具体问题如下：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因之前无渠道标识的原因，主流券与主题券、小票没有形成共同的底层模型；</w:t>
      </w:r>
    </w:p>
    <w:p>
      <w:pPr>
        <w:numPr>
          <w:ilvl w:val="0"/>
          <w:numId w:val="1"/>
        </w:numPr>
      </w:pPr>
      <w:r>
        <w:rPr>
          <w:rFonts w:hint="eastAsia"/>
        </w:rPr>
        <w:t>在计算回头数据等指标时，不同的维度层级会造成重复，需根据不同层级，不同指标多次排序；</w:t>
      </w:r>
    </w:p>
    <w:p>
      <w:pPr>
        <w:numPr>
          <w:ilvl w:val="0"/>
          <w:numId w:val="1"/>
        </w:numPr>
      </w:pPr>
      <w:r>
        <w:rPr>
          <w:rFonts w:hint="eastAsia"/>
        </w:rPr>
        <w:t>目前面临券模板重复使用，多渠道使用，效果评估的设计不能满足该改变，需改造。</w:t>
      </w:r>
    </w:p>
    <w:p/>
    <w:p/>
    <w:p/>
    <w:p/>
    <w:p/>
    <w:p/>
    <w:p>
      <w:pPr>
        <w:pStyle w:val="2"/>
      </w:pPr>
      <w:bookmarkStart w:id="12" w:name="_Toc29987_WPSOffice_Level1"/>
      <w:r>
        <w:rPr>
          <w:rFonts w:hint="eastAsia"/>
        </w:rPr>
        <w:t>二、改造</w:t>
      </w:r>
      <w:bookmarkEnd w:id="12"/>
    </w:p>
    <w:p>
      <w:pPr>
        <w:pStyle w:val="3"/>
      </w:pPr>
      <w:bookmarkStart w:id="13" w:name="_Toc500_WPSOffice_Level2"/>
      <w:r>
        <w:rPr>
          <w:rFonts w:hint="eastAsia"/>
        </w:rPr>
        <w:t>1、待解决问题</w:t>
      </w:r>
      <w:bookmarkEnd w:id="13"/>
    </w:p>
    <w:p>
      <w:r>
        <w:rPr>
          <w:rFonts w:hint="eastAsia"/>
        </w:rPr>
        <w:t>1）不同渠道同模板可以复用，效果如何区分？</w:t>
      </w:r>
    </w:p>
    <w:p>
      <w:r>
        <w:rPr>
          <w:rFonts w:hint="eastAsia"/>
        </w:rPr>
        <w:t>2）针对是哪些渠道或券模板考核或不考核，效果统计时如何灵活调整？</w:t>
      </w:r>
    </w:p>
    <w:p>
      <w:r>
        <w:rPr>
          <w:rFonts w:hint="eastAsia"/>
        </w:rPr>
        <w:t>3）针对新增渠道的效果统计逻辑的不同，如何保证现有效果统计代码不出问题？（允许新增效果没法及时支持）</w:t>
      </w:r>
    </w:p>
    <w:p>
      <w:r>
        <w:rPr>
          <w:rFonts w:hint="eastAsia"/>
        </w:rPr>
        <w:t>4）针对渠道内的某个活动如何看效果？（活动分类无法在渠道中体现）</w:t>
      </w:r>
    </w:p>
    <w:p>
      <w:r>
        <w:rPr>
          <w:rFonts w:hint="eastAsia"/>
        </w:rPr>
        <w:t>5）创建券模板的业务人员账号如何灵活调整？（目前创建模板的人员不只精准营销业务人员，还有一部分其他部分人员创建，精准营销券的池子暂由创建人员确定）</w:t>
      </w:r>
    </w:p>
    <w:p>
      <w:r>
        <w:rPr>
          <w:rFonts w:hint="eastAsia"/>
        </w:rPr>
        <w:t>6）</w:t>
      </w:r>
      <w:r>
        <w:t>业务自定义内容，如渠道是否计入考核标识以及统计方式的调整，是否确保</w:t>
      </w:r>
      <w:r>
        <w:rPr>
          <w:rFonts w:hint="eastAsia"/>
        </w:rPr>
        <w:t>只在</w:t>
      </w:r>
      <w:r>
        <w:t>月初调整？</w:t>
      </w:r>
    </w:p>
    <w:p/>
    <w:p>
      <w:pPr>
        <w:pStyle w:val="3"/>
      </w:pPr>
      <w:bookmarkStart w:id="14" w:name="_Toc7092_WPSOffice_Level2"/>
      <w:r>
        <w:rPr>
          <w:rFonts w:hint="eastAsia"/>
        </w:rPr>
        <w:t>2、设计思路</w:t>
      </w:r>
      <w:bookmarkEnd w:id="14"/>
    </w:p>
    <w:p>
      <w:r>
        <w:rPr>
          <w:rFonts w:hint="eastAsia"/>
        </w:rPr>
        <w:t>1）针对问题1）：不同渠道同模板可以复用，效果如何区分？</w:t>
      </w:r>
    </w:p>
    <w:p>
      <w:r>
        <w:rPr>
          <w:rFonts w:hint="eastAsia"/>
        </w:rPr>
        <w:t>所有关于券的效果统计全部采用渠道方式进行统计，即使是同一个券模板，也能通过渠道进行区分，渠道定义见表《渠道维表》，示例如下所示：</w:t>
      </w:r>
    </w:p>
    <w:p>
      <w:r>
        <w:rPr>
          <w:rFonts w:hint="eastAsia"/>
        </w:rPr>
        <w:t xml:space="preserve"> </w:t>
      </w:r>
      <w:r>
        <w:rPr>
          <w:rFonts w:hint="eastAsia" w:eastAsia="宋体"/>
        </w:rPr>
        <w:drawing>
          <wp:inline distT="0" distB="0" distL="0" distR="0">
            <wp:extent cx="5273675" cy="3848735"/>
            <wp:effectExtent l="19050" t="0" r="3175" b="0"/>
            <wp:docPr id="1" name="图片 3" descr="1547105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1547105939(1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87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业务技术配合：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券系统技术方需保证给每一张券准确地划分上对应地渠道标识，并随着券日志表提供给BI方；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券系统技术方需提供《渠道维表》 一、二、三级渠道，若有新增，需及时告知BI方；</w:t>
      </w:r>
    </w:p>
    <w:p>
      <w:pPr>
        <w:ind w:left="420"/>
        <w:rPr>
          <w:rFonts w:eastAsia="宋体"/>
        </w:rPr>
      </w:pPr>
    </w:p>
    <w:p>
      <w:r>
        <w:rPr>
          <w:rFonts w:hint="eastAsia"/>
        </w:rPr>
        <w:t>2）针对问题2）：针对是哪些渠道或券模板考核或不考核，效果统计时如何灵活调整？</w:t>
      </w:r>
    </w:p>
    <w:p>
      <w:r>
        <w:rPr>
          <w:rFonts w:hint="eastAsia"/>
        </w:rPr>
        <w:t>是否计入考核，分两类情况： 一类在渠道层级上就可以区分是否计入考核，第二类同三级渠道下，只有部分计入考核。第一类可在《渠道维表》中新增“是否考核”字段，值为（0：不考核；1：全部考核；2：部分考核）；第二类由业务维护一张《非考核券模板表》维表，示例如下所示：</w:t>
      </w:r>
    </w:p>
    <w:p/>
    <w:tbl>
      <w:tblPr>
        <w:tblStyle w:val="8"/>
        <w:tblW w:w="7640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40"/>
        <w:gridCol w:w="1980"/>
        <w:gridCol w:w="2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三级渠道编号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券模板ID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券模板名称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od_010101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</w:tbl>
    <w:p/>
    <w:p>
      <w:r>
        <w:rPr>
          <w:rFonts w:hint="eastAsia"/>
        </w:rPr>
        <w:t>业务技术配合：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业务在新增渠道时，需告知BI方《渠道维表》中“是否考核”字段值；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业务在新增渠道时，需告知BI方《非考核券模板维表》 所有字段；</w:t>
      </w:r>
    </w:p>
    <w:p/>
    <w:p>
      <w:r>
        <w:rPr>
          <w:rFonts w:hint="eastAsia"/>
        </w:rPr>
        <w:t>3） 针对问题3）：针对新增渠道的效果统计逻辑的不同，如何保证现有效果统计代码不出问题？</w:t>
      </w:r>
    </w:p>
    <w:p>
      <w:r>
        <w:rPr>
          <w:rFonts w:hint="eastAsia"/>
        </w:rPr>
        <w:t>目前券的统计方式总共分类两类：一类是“用券销售”；另一类是“对比销售”；若有新增渠道，可在《渠道维表》中新增“效果统计方式”，值为（0：用券销售；1：对比销售，2...）</w:t>
      </w:r>
    </w:p>
    <w:p/>
    <w:p>
      <w:r>
        <w:rPr>
          <w:rFonts w:hint="eastAsia"/>
        </w:rPr>
        <w:t>业务配合: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业务在新增渠道时，需告知BI方《渠道维表》中“效果统计方式”字段值；</w:t>
      </w:r>
    </w:p>
    <w:p/>
    <w:p/>
    <w:p/>
    <w:p>
      <w:r>
        <w:rPr>
          <w:rFonts w:hint="eastAsia"/>
        </w:rPr>
        <w:t>4）针对问题4）：针对渠道内的某个活动如何看效果？（活动分类无法在渠道中体现）</w:t>
      </w:r>
    </w:p>
    <w:p>
      <w:r>
        <w:rPr>
          <w:rFonts w:hint="eastAsia"/>
        </w:rPr>
        <w:t>针对这部分活动效果，仍采用原有按券模板名称一级、二级进行区分计算。券模板名称例示如下所示：</w:t>
      </w:r>
    </w:p>
    <w:p/>
    <w:p>
      <w:r>
        <w:rPr>
          <w:rFonts w:hint="eastAsia"/>
        </w:rPr>
        <w:t>业务配合：</w:t>
      </w:r>
    </w:p>
    <w:p>
      <w:pPr>
        <w:numPr>
          <w:ilvl w:val="0"/>
          <w:numId w:val="2"/>
        </w:numPr>
      </w:pPr>
      <w:r>
        <w:rPr>
          <w:rFonts w:hint="eastAsia"/>
        </w:rPr>
        <w:t>业务若要看某渠道的活动效果，需要在券模板名称中体现一级、二级，若不按此格式填写，则无法统计该效果；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业务对券模板命名规则需进行归类汇总，不可随意命名。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业务方维护《券类型维度表》</w:t>
      </w:r>
    </w:p>
    <w:p>
      <w:pPr>
        <w:ind w:left="420"/>
        <w:rPr>
          <w:rFonts w:eastAsia="宋体"/>
        </w:rPr>
      </w:pPr>
    </w:p>
    <w:p/>
    <w:p/>
    <w:p>
      <w:r>
        <w:rPr>
          <w:rFonts w:hint="eastAsia"/>
        </w:rPr>
        <w:t>5） 针对问题5）：创建券模板的业务人员账号如何灵活调整？</w:t>
      </w:r>
    </w:p>
    <w:p>
      <w:r>
        <w:rPr>
          <w:rFonts w:hint="eastAsia"/>
        </w:rPr>
        <w:t>将券模板创建人的信息通过维表维护，具体见《券模板创建人维表》，示例如下：</w:t>
      </w:r>
    </w:p>
    <w:tbl>
      <w:tblPr>
        <w:tblStyle w:val="8"/>
        <w:tblW w:w="38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100"/>
      </w:tblGrid>
      <w:tr>
        <w:tblPrEx>
          <w:tblLayout w:type="fixed"/>
        </w:tblPrEx>
        <w:trPr>
          <w:trHeight w:val="285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创建人编码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创建人名称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　</w:t>
            </w:r>
          </w:p>
        </w:tc>
      </w:tr>
    </w:tbl>
    <w:p/>
    <w:p>
      <w:r>
        <w:rPr>
          <w:rFonts w:hint="eastAsia"/>
        </w:rPr>
        <w:t>业务配合：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若有新的创建人或去掉某创建人创建的券模板需要进行效果统计，则业务人员需告知BI方添加或修改创建人信息；</w:t>
      </w:r>
    </w:p>
    <w:p/>
    <w:p/>
    <w:p>
      <w:r>
        <w:rPr>
          <w:rFonts w:hint="eastAsia"/>
        </w:rPr>
        <w:t>6）针对问题6）：</w:t>
      </w:r>
      <w:r>
        <w:t>业务自定义内容，如渠道是否计入考核标识以及统计方式的调整，是否确保</w:t>
      </w:r>
      <w:r>
        <w:rPr>
          <w:rFonts w:hint="eastAsia"/>
        </w:rPr>
        <w:t>只在</w:t>
      </w:r>
      <w:r>
        <w:t>月初调整？</w:t>
      </w:r>
    </w:p>
    <w:p>
      <w:r>
        <w:rPr>
          <w:rFonts w:hint="eastAsia"/>
        </w:rPr>
        <w:t>与业务确认，影响考核统计的因素，不会在月中调整，只会在每月1号做调整。若存在月中需调整的，或能计算，则由业务手工计算，当月无法通过损益报表提供。</w:t>
      </w:r>
    </w:p>
    <w:p/>
    <w:p>
      <w:pPr>
        <w:rPr>
          <w:color w:val="000000"/>
        </w:rPr>
      </w:pPr>
    </w:p>
    <w:p>
      <w:pPr>
        <w:numPr>
          <w:ilvl w:val="0"/>
          <w:numId w:val="3"/>
        </w:num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15" w:name="_Toc6618_WPSOffice_Level2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技术实现</w:t>
      </w:r>
      <w:bookmarkEnd w:id="15"/>
    </w:p>
    <w:p/>
    <w:p>
      <w:pPr>
        <w:numPr>
          <w:ilvl w:val="0"/>
          <w:numId w:val="4"/>
        </w:numPr>
        <w:rPr>
          <w:color w:val="000000"/>
        </w:rPr>
      </w:pPr>
      <w:r>
        <w:rPr>
          <w:rFonts w:hint="eastAsia"/>
          <w:color w:val="000000"/>
        </w:rPr>
        <w:t>整个过程业务、技术与BI间的输出流程：</w:t>
      </w:r>
    </w:p>
    <w:tbl>
      <w:tblPr>
        <w:tblStyle w:val="9"/>
        <w:tblW w:w="9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2079"/>
        <w:gridCol w:w="1097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过程</w:t>
            </w:r>
          </w:p>
        </w:tc>
        <w:tc>
          <w:tcPr>
            <w:tcW w:w="207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具体内容</w:t>
            </w:r>
          </w:p>
        </w:tc>
        <w:tc>
          <w:tcPr>
            <w:tcW w:w="10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责任方</w:t>
            </w:r>
          </w:p>
        </w:tc>
        <w:tc>
          <w:tcPr>
            <w:tcW w:w="477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15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初始化</w:t>
            </w:r>
          </w:p>
        </w:tc>
        <w:tc>
          <w:tcPr>
            <w:tcW w:w="207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按渠道统计效果</w:t>
            </w:r>
          </w:p>
        </w:tc>
        <w:tc>
          <w:tcPr>
            <w:tcW w:w="10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业务、技术、BI</w:t>
            </w:r>
          </w:p>
        </w:tc>
        <w:tc>
          <w:tcPr>
            <w:tcW w:w="4771" w:type="dxa"/>
          </w:tcPr>
          <w:p>
            <w:r>
              <w:rPr>
                <w:rFonts w:hint="eastAsia"/>
                <w:color w:val="000000"/>
              </w:rPr>
              <w:t>技术：给每笔券打上渠道标识，提供</w:t>
            </w:r>
            <w:r>
              <w:rPr>
                <w:rFonts w:hint="eastAsia"/>
              </w:rPr>
              <w:t>《渠道维表》 一、二、三级渠道标识；</w:t>
            </w:r>
          </w:p>
          <w:p>
            <w:r>
              <w:rPr>
                <w:rFonts w:hint="eastAsia"/>
              </w:rPr>
              <w:t>业务：提供《渠道维表》中字段“是否考核”、“考核方式”、“促销方式”；</w:t>
            </w:r>
          </w:p>
          <w:p>
            <w:r>
              <w:rPr>
                <w:rFonts w:hint="eastAsia"/>
              </w:rPr>
              <w:t>提供《非考核券模板维表》、《券模板创建人维表》、《券类型维度表》</w:t>
            </w:r>
          </w:p>
          <w:p>
            <w:r>
              <w:rPr>
                <w:rFonts w:hint="eastAsia"/>
              </w:rPr>
              <w:t>BI：将上述维表维护入库，效果评估报表开发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15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新增渠道</w:t>
            </w:r>
          </w:p>
        </w:tc>
        <w:tc>
          <w:tcPr>
            <w:tcW w:w="207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若是新增渠道</w:t>
            </w:r>
          </w:p>
        </w:tc>
        <w:tc>
          <w:tcPr>
            <w:tcW w:w="10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业务、技术、BI</w:t>
            </w:r>
          </w:p>
        </w:tc>
        <w:tc>
          <w:tcPr>
            <w:tcW w:w="477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技术：给每笔券打上渠道标识，告知业务与BI</w:t>
            </w:r>
          </w:p>
          <w:p>
            <w:r>
              <w:rPr>
                <w:rFonts w:hint="eastAsia"/>
                <w:color w:val="000000"/>
              </w:rPr>
              <w:t>业务：</w:t>
            </w:r>
            <w:r>
              <w:rPr>
                <w:rFonts w:hint="eastAsia"/>
              </w:rPr>
              <w:t>提供《渠道维表》中字段“是否考核”、“考核方式”、“促销方式”；</w:t>
            </w:r>
          </w:p>
          <w:p>
            <w:r>
              <w:rPr>
                <w:rFonts w:hint="eastAsia"/>
              </w:rPr>
              <w:t>BI：将新增渠道维护入库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15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修改是否考核 </w:t>
            </w:r>
          </w:p>
        </w:tc>
        <w:tc>
          <w:tcPr>
            <w:tcW w:w="207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修改考核方式</w:t>
            </w:r>
          </w:p>
        </w:tc>
        <w:tc>
          <w:tcPr>
            <w:tcW w:w="109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业务、BI</w:t>
            </w:r>
          </w:p>
        </w:tc>
        <w:tc>
          <w:tcPr>
            <w:tcW w:w="477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业务：告知BI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BI:维护</w:t>
            </w:r>
            <w:r>
              <w:rPr>
                <w:rFonts w:hint="eastAsia"/>
              </w:rPr>
              <w:t>入库，</w:t>
            </w:r>
            <w:r>
              <w:rPr>
                <w:rFonts w:hint="eastAsia"/>
                <w:color w:val="000000"/>
              </w:rPr>
              <w:t>只能在月初修改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158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券模板创建人新增修改</w:t>
            </w:r>
          </w:p>
        </w:tc>
        <w:tc>
          <w:tcPr>
            <w:tcW w:w="2079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97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771" w:type="dxa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158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新增券一级、二级类型</w:t>
            </w:r>
          </w:p>
        </w:tc>
        <w:tc>
          <w:tcPr>
            <w:tcW w:w="2079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97" w:type="dxa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771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业务：（上线前需经过BI确认）</w:t>
            </w:r>
          </w:p>
        </w:tc>
      </w:tr>
    </w:tbl>
    <w:p>
      <w:pPr>
        <w:rPr>
          <w:rFonts w:hint="eastAsia"/>
        </w:rPr>
      </w:pPr>
    </w:p>
    <w:p/>
    <w:p>
      <w:pPr>
        <w:numPr>
          <w:ilvl w:val="0"/>
          <w:numId w:val="4"/>
        </w:numPr>
      </w:pPr>
      <w:r>
        <w:rPr>
          <w:rFonts w:hint="eastAsia"/>
        </w:rPr>
        <w:t>需维护维度表</w:t>
      </w:r>
    </w:p>
    <w:p>
      <w:pPr>
        <w:numPr>
          <w:ilvl w:val="0"/>
          <w:numId w:val="5"/>
        </w:numPr>
      </w:pPr>
      <w:r>
        <w:rPr>
          <w:rFonts w:hint="eastAsia"/>
        </w:rPr>
        <w:t>《渠道维表》 ：技术方需提供该文档，以数据库表形式或EXCEL形式提供给业务与BI，且若有新增，需及时告知业务与BI；</w:t>
      </w:r>
    </w:p>
    <w:p>
      <w:r>
        <w:rPr>
          <w:rFonts w:hint="eastAsia"/>
        </w:rPr>
        <w:t xml:space="preserve">                   BI方需将该表维护进BI数据库。</w:t>
      </w:r>
    </w:p>
    <w:p>
      <w:r>
        <w:rPr>
          <w:rFonts w:hint="eastAsia"/>
        </w:rPr>
        <w:t xml:space="preserve">                   </w:t>
      </w:r>
      <w:bookmarkStart w:id="16" w:name="_MON_1610266243"/>
      <w:bookmarkEnd w:id="16"/>
    </w:p>
    <w:p>
      <w:pPr>
        <w:numPr>
          <w:ilvl w:val="0"/>
          <w:numId w:val="6"/>
        </w:numPr>
      </w:pPr>
      <w:r>
        <w:rPr>
          <w:rFonts w:hint="eastAsia"/>
        </w:rPr>
        <w:t>《非考核券模板维表》 ：业务方维护，以EXCEL形式提供给BI；</w:t>
      </w:r>
    </w:p>
    <w:p>
      <w:pPr>
        <w:ind w:firstLine="420" w:firstLineChars="200"/>
      </w:pPr>
      <w:r>
        <w:rPr>
          <w:rFonts w:hint="eastAsia"/>
        </w:rPr>
        <w:t xml:space="preserve">                       BI方需将该表维护进BI数据库。</w:t>
      </w:r>
    </w:p>
    <w:p>
      <w:pPr>
        <w:ind w:firstLine="420" w:firstLineChars="200"/>
      </w:pPr>
      <w:r>
        <w:rPr>
          <w:rFonts w:hint="eastAsia"/>
        </w:rPr>
        <w:t xml:space="preserve">                       </w:t>
      </w:r>
      <w:bookmarkStart w:id="17" w:name="_MON_1610266281"/>
      <w:bookmarkEnd w:id="17"/>
    </w:p>
    <w:p>
      <w:pPr>
        <w:numPr>
          <w:ilvl w:val="0"/>
          <w:numId w:val="6"/>
        </w:numPr>
      </w:pPr>
      <w:r>
        <w:rPr>
          <w:rFonts w:hint="eastAsia"/>
        </w:rPr>
        <w:t>《券模板创建人维表》 ：业务方维护，以EXCEL形式提供给BI；</w:t>
      </w:r>
    </w:p>
    <w:p>
      <w:pPr>
        <w:ind w:firstLine="420" w:firstLineChars="200"/>
      </w:pPr>
      <w:r>
        <w:rPr>
          <w:rFonts w:hint="eastAsia"/>
        </w:rPr>
        <w:t xml:space="preserve">                       BI方需将该表维护进BI数据库。</w:t>
      </w:r>
    </w:p>
    <w:p>
      <w:pPr>
        <w:ind w:firstLine="420" w:firstLineChars="200"/>
      </w:pPr>
      <w:r>
        <w:rPr>
          <w:rFonts w:hint="eastAsia"/>
        </w:rPr>
        <w:t xml:space="preserve">                       </w:t>
      </w:r>
    </w:p>
    <w:p>
      <w:pPr>
        <w:numPr>
          <w:ilvl w:val="0"/>
          <w:numId w:val="6"/>
        </w:numPr>
      </w:pPr>
      <w:r>
        <w:rPr>
          <w:rFonts w:hint="eastAsia"/>
        </w:rPr>
        <w:t>《券类型维度表》 ：业务方维护，以EXCEL形式提供给BI；</w:t>
      </w:r>
    </w:p>
    <w:p>
      <w:r>
        <w:rPr>
          <w:rFonts w:hint="eastAsia"/>
        </w:rPr>
        <w:t xml:space="preserve">                       BI方需将该表维护进BI数据库。</w:t>
      </w:r>
    </w:p>
    <w:p>
      <w:r>
        <w:rPr>
          <w:rFonts w:hint="eastAsia"/>
        </w:rPr>
        <w:t xml:space="preserve">                        </w:t>
      </w:r>
      <w:bookmarkStart w:id="18" w:name="_MON_1610266297"/>
      <w:bookmarkEnd w:id="18"/>
    </w:p>
    <w:p>
      <w:pPr>
        <w:numPr>
          <w:ilvl w:val="0"/>
          <w:numId w:val="4"/>
        </w:numPr>
      </w:pPr>
      <w:r>
        <w:rPr>
          <w:rFonts w:hint="eastAsia"/>
        </w:rPr>
        <w:t>主题、主流、小票公用券信息底层与销售信息底层。</w:t>
      </w:r>
    </w:p>
    <w:p>
      <w:pPr>
        <w:numPr>
          <w:ilvl w:val="0"/>
          <w:numId w:val="4"/>
        </w:numPr>
      </w:pPr>
      <w:r>
        <w:rPr>
          <w:rFonts w:hint="eastAsia"/>
        </w:rPr>
        <w:t>考核类报表按渠道统计效果，进入月度考核与损益；活动分析类报表按券一级、二级统计。</w:t>
      </w:r>
    </w:p>
    <w:p>
      <w:pPr>
        <w:numPr>
          <w:ilvl w:val="0"/>
          <w:numId w:val="4"/>
        </w:numPr>
      </w:pPr>
      <w:r>
        <w:rPr>
          <w:rFonts w:hint="eastAsia"/>
        </w:rPr>
        <w:t>考核类报表除ABTEST以外，均按对公口径统计入月度考核与损益；分析口径按各类报表的优先级与必要性分次开发。</w:t>
      </w:r>
    </w:p>
    <w:p/>
    <w:p/>
    <w:p>
      <w:pPr>
        <w:numPr>
          <w:ilvl w:val="0"/>
          <w:numId w:val="3"/>
        </w:num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19" w:name="_Toc23787_WPSOffice_Level2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效果评估准则</w:t>
      </w:r>
      <w:bookmarkEnd w:id="19"/>
    </w:p>
    <w:p>
      <w:pPr>
        <w:numPr>
          <w:ilvl w:val="0"/>
          <w:numId w:val="2"/>
        </w:numPr>
        <w:spacing w:line="360" w:lineRule="auto"/>
        <w:rPr>
          <w:rFonts w:eastAsia="宋体"/>
        </w:rPr>
      </w:pPr>
      <w:r>
        <w:rPr>
          <w:rFonts w:hint="eastAsia"/>
        </w:rPr>
        <w:t>扩展原则：</w:t>
      </w:r>
    </w:p>
    <w:p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每类券或是新增券，都需打上渠道，且确定“是否考核”、“效果统计方式”、“促销类型”，要根据新增信息，及时更新相关维度表</w:t>
      </w:r>
    </w:p>
    <w:p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若要中途变更是否考核标识与统计方式，请在月初变更，因为目前暂定开发月报，中途随意变更会扰乱正常的效果评估程序；（不开发日报的原因是，我们只能有一个日期参数，因此若是日报，后续前端导出汇总月报会繁琐。）</w:t>
      </w:r>
    </w:p>
    <w:p>
      <w:pPr>
        <w:numPr>
          <w:ilvl w:val="0"/>
          <w:numId w:val="7"/>
        </w:numPr>
        <w:spacing w:line="360" w:lineRule="auto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Zt_coupon表需添加一列活动字段</w:t>
      </w:r>
      <w:bookmarkStart w:id="20" w:name="_GoBack"/>
      <w:bookmarkEnd w:id="2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CA7CC"/>
    <w:multiLevelType w:val="singleLevel"/>
    <w:tmpl w:val="DBBCA7C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12482C7"/>
    <w:multiLevelType w:val="singleLevel"/>
    <w:tmpl w:val="E12482C7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F5790270"/>
    <w:multiLevelType w:val="singleLevel"/>
    <w:tmpl w:val="F57902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2091D9F"/>
    <w:multiLevelType w:val="singleLevel"/>
    <w:tmpl w:val="52091D9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4A71F1B"/>
    <w:multiLevelType w:val="singleLevel"/>
    <w:tmpl w:val="54A71F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DB409DD"/>
    <w:multiLevelType w:val="singleLevel"/>
    <w:tmpl w:val="5DB409D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24CEC3D"/>
    <w:multiLevelType w:val="singleLevel"/>
    <w:tmpl w:val="724CEC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62E7"/>
    <w:rsid w:val="00035B80"/>
    <w:rsid w:val="000610EB"/>
    <w:rsid w:val="0006646A"/>
    <w:rsid w:val="000D62B3"/>
    <w:rsid w:val="00191B47"/>
    <w:rsid w:val="001A297D"/>
    <w:rsid w:val="00225F88"/>
    <w:rsid w:val="00256DE0"/>
    <w:rsid w:val="0028295F"/>
    <w:rsid w:val="002B6AE2"/>
    <w:rsid w:val="002C73FD"/>
    <w:rsid w:val="002E1962"/>
    <w:rsid w:val="003030EB"/>
    <w:rsid w:val="00356B83"/>
    <w:rsid w:val="003831FF"/>
    <w:rsid w:val="00393265"/>
    <w:rsid w:val="0044305B"/>
    <w:rsid w:val="004436A9"/>
    <w:rsid w:val="004A70D3"/>
    <w:rsid w:val="004C5585"/>
    <w:rsid w:val="005A7B91"/>
    <w:rsid w:val="005F4086"/>
    <w:rsid w:val="006071C3"/>
    <w:rsid w:val="00611E0A"/>
    <w:rsid w:val="006162E7"/>
    <w:rsid w:val="006B0B94"/>
    <w:rsid w:val="006B5FD6"/>
    <w:rsid w:val="006D38CA"/>
    <w:rsid w:val="00702C38"/>
    <w:rsid w:val="007541DA"/>
    <w:rsid w:val="007634CC"/>
    <w:rsid w:val="00766581"/>
    <w:rsid w:val="00773923"/>
    <w:rsid w:val="007775BE"/>
    <w:rsid w:val="00820BE5"/>
    <w:rsid w:val="00897DC7"/>
    <w:rsid w:val="00901932"/>
    <w:rsid w:val="00921E46"/>
    <w:rsid w:val="00921EFE"/>
    <w:rsid w:val="009D712E"/>
    <w:rsid w:val="00A03DD4"/>
    <w:rsid w:val="00A109BB"/>
    <w:rsid w:val="00A55E1E"/>
    <w:rsid w:val="00A6655A"/>
    <w:rsid w:val="00AF59B0"/>
    <w:rsid w:val="00B066D7"/>
    <w:rsid w:val="00B151E3"/>
    <w:rsid w:val="00B84685"/>
    <w:rsid w:val="00BD2711"/>
    <w:rsid w:val="00C52BF0"/>
    <w:rsid w:val="00D03098"/>
    <w:rsid w:val="00D25C22"/>
    <w:rsid w:val="00DC3B66"/>
    <w:rsid w:val="00DE2576"/>
    <w:rsid w:val="00DE7D64"/>
    <w:rsid w:val="00E40F3E"/>
    <w:rsid w:val="00E849A0"/>
    <w:rsid w:val="00ED353E"/>
    <w:rsid w:val="00F155E1"/>
    <w:rsid w:val="00F42D3F"/>
    <w:rsid w:val="00F7484C"/>
    <w:rsid w:val="00F8522D"/>
    <w:rsid w:val="00FC592B"/>
    <w:rsid w:val="011F40FA"/>
    <w:rsid w:val="02A45BC7"/>
    <w:rsid w:val="03655D92"/>
    <w:rsid w:val="04291F91"/>
    <w:rsid w:val="04B07FC5"/>
    <w:rsid w:val="04B8423E"/>
    <w:rsid w:val="04BE31C9"/>
    <w:rsid w:val="04DA0895"/>
    <w:rsid w:val="05641225"/>
    <w:rsid w:val="058E585D"/>
    <w:rsid w:val="077A6053"/>
    <w:rsid w:val="07BE4DD4"/>
    <w:rsid w:val="08093984"/>
    <w:rsid w:val="0827340E"/>
    <w:rsid w:val="082B67C5"/>
    <w:rsid w:val="087846A3"/>
    <w:rsid w:val="093C7502"/>
    <w:rsid w:val="094C23F0"/>
    <w:rsid w:val="0A4210AF"/>
    <w:rsid w:val="0A4536B9"/>
    <w:rsid w:val="0A99364F"/>
    <w:rsid w:val="0AA677FB"/>
    <w:rsid w:val="0B206B01"/>
    <w:rsid w:val="0BF8597B"/>
    <w:rsid w:val="0C4F1DB6"/>
    <w:rsid w:val="0C9F02D2"/>
    <w:rsid w:val="0CC971F0"/>
    <w:rsid w:val="0CEA1EF2"/>
    <w:rsid w:val="0D712E6A"/>
    <w:rsid w:val="0D912D8F"/>
    <w:rsid w:val="0F491F83"/>
    <w:rsid w:val="0FD50CB7"/>
    <w:rsid w:val="0FF3613D"/>
    <w:rsid w:val="10747335"/>
    <w:rsid w:val="10C6520A"/>
    <w:rsid w:val="10CF607F"/>
    <w:rsid w:val="10E41793"/>
    <w:rsid w:val="11C375F4"/>
    <w:rsid w:val="14356D0B"/>
    <w:rsid w:val="14605262"/>
    <w:rsid w:val="15024F01"/>
    <w:rsid w:val="15757CE3"/>
    <w:rsid w:val="16516F65"/>
    <w:rsid w:val="1689789C"/>
    <w:rsid w:val="16D73D15"/>
    <w:rsid w:val="17426DAF"/>
    <w:rsid w:val="17532F5C"/>
    <w:rsid w:val="17D848E7"/>
    <w:rsid w:val="17F73F2C"/>
    <w:rsid w:val="17FC36F2"/>
    <w:rsid w:val="194E421D"/>
    <w:rsid w:val="1A884F7E"/>
    <w:rsid w:val="1B7D5D84"/>
    <w:rsid w:val="1BED2826"/>
    <w:rsid w:val="1EC1706D"/>
    <w:rsid w:val="1FC53639"/>
    <w:rsid w:val="2050467D"/>
    <w:rsid w:val="21785F54"/>
    <w:rsid w:val="22245245"/>
    <w:rsid w:val="228B1F5B"/>
    <w:rsid w:val="23E02667"/>
    <w:rsid w:val="25FD1B46"/>
    <w:rsid w:val="262D13C5"/>
    <w:rsid w:val="266167D1"/>
    <w:rsid w:val="26CB173A"/>
    <w:rsid w:val="272769C1"/>
    <w:rsid w:val="27344812"/>
    <w:rsid w:val="27716E0D"/>
    <w:rsid w:val="28783DB6"/>
    <w:rsid w:val="2AD6175C"/>
    <w:rsid w:val="2AEF1F7D"/>
    <w:rsid w:val="2CD44FBD"/>
    <w:rsid w:val="2D345117"/>
    <w:rsid w:val="2D4B6954"/>
    <w:rsid w:val="2D557A6A"/>
    <w:rsid w:val="2D61145A"/>
    <w:rsid w:val="2E2D4ED6"/>
    <w:rsid w:val="2E9979FE"/>
    <w:rsid w:val="2EEE0975"/>
    <w:rsid w:val="2F5D04C3"/>
    <w:rsid w:val="2FF75BA9"/>
    <w:rsid w:val="30213B70"/>
    <w:rsid w:val="30CE69EB"/>
    <w:rsid w:val="30F139C4"/>
    <w:rsid w:val="32182ABD"/>
    <w:rsid w:val="33067A5C"/>
    <w:rsid w:val="33757C3F"/>
    <w:rsid w:val="35234D84"/>
    <w:rsid w:val="35E63F23"/>
    <w:rsid w:val="36B60B02"/>
    <w:rsid w:val="3988192A"/>
    <w:rsid w:val="3B1E3226"/>
    <w:rsid w:val="3D450EFD"/>
    <w:rsid w:val="3D963B8C"/>
    <w:rsid w:val="3E352A36"/>
    <w:rsid w:val="3EE200CE"/>
    <w:rsid w:val="3F3E70A6"/>
    <w:rsid w:val="3F410A5A"/>
    <w:rsid w:val="3FE42A7E"/>
    <w:rsid w:val="403F190F"/>
    <w:rsid w:val="43B35777"/>
    <w:rsid w:val="444D7443"/>
    <w:rsid w:val="44CC5197"/>
    <w:rsid w:val="464956EB"/>
    <w:rsid w:val="4826263B"/>
    <w:rsid w:val="482C54F1"/>
    <w:rsid w:val="48795D6D"/>
    <w:rsid w:val="494D4C75"/>
    <w:rsid w:val="49CF0479"/>
    <w:rsid w:val="4A7340CA"/>
    <w:rsid w:val="4B5B3234"/>
    <w:rsid w:val="4C1B6B44"/>
    <w:rsid w:val="4C5163F2"/>
    <w:rsid w:val="4C8978E6"/>
    <w:rsid w:val="4D6D3B3C"/>
    <w:rsid w:val="4E87751E"/>
    <w:rsid w:val="4ED1099E"/>
    <w:rsid w:val="4EFA1C38"/>
    <w:rsid w:val="4FDA6325"/>
    <w:rsid w:val="51B70423"/>
    <w:rsid w:val="52412E6D"/>
    <w:rsid w:val="52815DAA"/>
    <w:rsid w:val="52EE5CE3"/>
    <w:rsid w:val="531B6078"/>
    <w:rsid w:val="534E6397"/>
    <w:rsid w:val="5384706F"/>
    <w:rsid w:val="53A52DFE"/>
    <w:rsid w:val="53ED63B5"/>
    <w:rsid w:val="54003309"/>
    <w:rsid w:val="54011829"/>
    <w:rsid w:val="541146CB"/>
    <w:rsid w:val="558D5320"/>
    <w:rsid w:val="56F61A5F"/>
    <w:rsid w:val="58A77A08"/>
    <w:rsid w:val="58C54D81"/>
    <w:rsid w:val="5AE3219B"/>
    <w:rsid w:val="5B3D5156"/>
    <w:rsid w:val="5B3F3949"/>
    <w:rsid w:val="5B7F60C3"/>
    <w:rsid w:val="5B873141"/>
    <w:rsid w:val="5C180C03"/>
    <w:rsid w:val="5D0677B3"/>
    <w:rsid w:val="5D1A6D97"/>
    <w:rsid w:val="5E212D41"/>
    <w:rsid w:val="5E3B1B3B"/>
    <w:rsid w:val="5F3D65C0"/>
    <w:rsid w:val="606A75C5"/>
    <w:rsid w:val="612F48DA"/>
    <w:rsid w:val="61987D34"/>
    <w:rsid w:val="62DE2DF1"/>
    <w:rsid w:val="66480CFB"/>
    <w:rsid w:val="66F25E86"/>
    <w:rsid w:val="67B91914"/>
    <w:rsid w:val="687E50A3"/>
    <w:rsid w:val="694A7275"/>
    <w:rsid w:val="69500187"/>
    <w:rsid w:val="6A1B2EFA"/>
    <w:rsid w:val="6A387BBF"/>
    <w:rsid w:val="6D14138C"/>
    <w:rsid w:val="6EDB60CD"/>
    <w:rsid w:val="6F047366"/>
    <w:rsid w:val="6F970FEC"/>
    <w:rsid w:val="70CC452D"/>
    <w:rsid w:val="717A7960"/>
    <w:rsid w:val="7234333C"/>
    <w:rsid w:val="72933F7C"/>
    <w:rsid w:val="73695799"/>
    <w:rsid w:val="7381085F"/>
    <w:rsid w:val="73D1257C"/>
    <w:rsid w:val="747A7019"/>
    <w:rsid w:val="788E6CF4"/>
    <w:rsid w:val="789C5DA0"/>
    <w:rsid w:val="79082258"/>
    <w:rsid w:val="791D2725"/>
    <w:rsid w:val="793D6305"/>
    <w:rsid w:val="794A7BF6"/>
    <w:rsid w:val="794D1D67"/>
    <w:rsid w:val="79907274"/>
    <w:rsid w:val="7A814848"/>
    <w:rsid w:val="7AD573F0"/>
    <w:rsid w:val="7D8A4F8E"/>
    <w:rsid w:val="7D996B63"/>
    <w:rsid w:val="7F5E0C3E"/>
    <w:rsid w:val="7F8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文档结构图 Char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614</Words>
  <Characters>3502</Characters>
  <Lines>29</Lines>
  <Paragraphs>8</Paragraphs>
  <TotalTime>0</TotalTime>
  <ScaleCrop>false</ScaleCrop>
  <LinksUpToDate>false</LinksUpToDate>
  <CharactersWithSpaces>4108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2019-01-15T08:13:00Z</dcterms:created>
  <dc:creator>le</dc:creator>
  <cp:lastModifiedBy>Catherine</cp:lastModifiedBy>
  <dcterms:modified xsi:type="dcterms:W3CDTF">2019-06-04T06:31:56Z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