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文档加载步骤说明</w:t>
      </w:r>
    </w:p>
    <w:p>
      <w:r>
        <w:t>加载器负责把磁盘上的文件读成 LangChain 的 Document 对象，再由解析适配器映射成领域模型 Page。</w:t>
      </w:r>
    </w:p>
    <w:p>
      <w:r>
        <w:t>DOCX 属于流式文本，没有天然的页边界，因此整份文档统一记为第 1 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产出</w:t>
            </w:r>
          </w:p>
        </w:tc>
      </w:tr>
      <w:tr>
        <w:tc>
          <w:tcPr>
            <w:tcW w:type="dxa" w:w="4320"/>
          </w:tcPr>
          <w:p>
            <w:r>
              <w:t>加载</w:t>
            </w:r>
          </w:p>
        </w:tc>
        <w:tc>
          <w:tcPr>
            <w:tcW w:type="dxa" w:w="4320"/>
          </w:tcPr>
          <w:p>
            <w:r>
              <w:t>Document 列表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