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低轨卫星网络拥塞感知的多业务智能路由方法"/>
    <w:p>
      <w:pPr>
        <w:pStyle w:val="Heading1"/>
        <w:spacing w:lineRule="auto" w:line="360"/>
        <w:jc w:val="center"/>
      </w:pPr>
      <w:r>
        <w:rPr>
          <w:rFonts w:hint="eastAsia" w:ascii="Times New Roman" w:hAnsi="Times New Roman" w:eastAsia="黑体"/>
          <w:b w:val="0"/>
          <w:color w:val="000000"/>
          <w:sz w:val="28"/>
        </w:rPr>
        <w:t xml:space="preserve">低轨卫星网络拥塞感知的多业务智能路由方法</w:t>
      </w:r>
    </w:p>
    <w:p>
      <w:pPr>
        <w:pStyle w:val="FirstParagraph"/>
        <w:spacing w:lineRule="auto" w:line="360"/>
        <w:jc w:val="both"/>
        <w:ind w:firstLineChars="200"/>
      </w:pPr>
      <w:r>
        <w:rPr>
          <w:rFonts w:hint="eastAsia" w:ascii="Times New Roman" w:hAnsi="Times New Roman" w:eastAsia="宋体"/>
          <w:b w:val="0"/>
          <w:color w:val="000000"/>
          <w:sz w:val="21"/>
        </w:rPr>
        <w:t xml:space="preserve">姚飞</w:t>
      </w:r>
      <w:r>
        <w:rPr>
          <w:rFonts w:ascii="Times New Roman" w:hAnsi="Times New Roman" w:eastAsia="宋体"/>
          <w:b w:val="0"/>
          <w:color w:val="000000"/>
          <w:sz w:val="15"/>
          <w:vertAlign w:val="superscript"/>
        </w:rPr>
        <w:t xml:space="preserve">1</w:t>
      </w:r>
    </w:p>
    <w:p>
      <w:pPr>
        <w:pStyle w:val="BodyText"/>
        <w:spacing w:lineRule="auto" w:line="360"/>
        <w:jc w:val="both"/>
        <w:ind w:firstLineChars="200"/>
      </w:pPr>
      <w:r>
        <w:rPr>
          <w:rFonts w:ascii="Times New Roman" w:hAnsi="Times New Roman" w:eastAsia="宋体"/>
          <w:b w:val="0"/>
          <w:color w:val="000000"/>
          <w:sz w:val="21"/>
        </w:rPr>
        <w:t xml:space="preserve">(1. </w:t>
      </w:r>
      <w:r>
        <w:rPr>
          <w:rFonts w:hint="eastAsia" w:ascii="Times New Roman" w:hAnsi="Times New Roman" w:eastAsia="宋体"/>
          <w:b w:val="0"/>
          <w:color w:val="000000"/>
          <w:sz w:val="21"/>
        </w:rPr>
        <w:t xml:space="preserve">东南大学信息科学与工程学院；江苏</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南京；210096)</w:t>
      </w:r>
    </w:p>
    <w:p>
      <w:pPr>
        <w:pStyle w:val="BodyText"/>
        <w:spacing w:lineRule="auto" w:line="336"/>
      </w:pPr>
      <w:r>
        <w:rPr>
          <w:rFonts w:hint="eastAsia" w:ascii="Times New Roman" w:hAnsi="Times New Roman" w:eastAsia="楷体"/>
          <w:b/>
          <w:color w:val="000000"/>
          <w:sz w:val="21"/>
        </w:rPr>
        <w:t xml:space="preserve">摘</w:t>
      </w:r>
      <w:r>
        <w:rPr>
          <w:rFonts w:ascii="Times New Roman" w:hAnsi="Times New Roman" w:eastAsia="楷体"/>
          <w:b w:val="0"/>
          <w:color w:val="000000"/>
          <w:sz w:val="21"/>
        </w:rPr>
        <w:t xml:space="preserve">　</w:t>
      </w:r>
      <w:r>
        <w:rPr>
          <w:rFonts w:hint="eastAsia" w:ascii="Times New Roman" w:hAnsi="Times New Roman" w:eastAsia="楷体"/>
          <w:b w:val="0"/>
          <w:color w:val="000000"/>
          <w:sz w:val="21"/>
        </w:rPr>
        <w:t xml:space="preserve">要：针对低轨(Low</w:t>
      </w:r>
      <w:r>
        <w:rPr>
          <w:rFonts w:ascii="Times New Roman" w:hAnsi="Times New Roman" w:eastAsia="楷体"/>
          <w:b w:val="0"/>
          <w:color w:val="000000"/>
          <w:sz w:val="21"/>
        </w:rPr>
        <w:t xml:space="preserve"> Earth Orbit, </w:t>
      </w:r>
      <w:r>
        <w:rPr>
          <w:rFonts w:hint="eastAsia" w:ascii="Times New Roman" w:hAnsi="Times New Roman" w:eastAsia="楷体"/>
          <w:b w:val="0"/>
          <w:color w:val="000000"/>
          <w:sz w:val="21"/>
        </w:rPr>
        <w:t xml:space="preserve">LEO)卫星网络在高负载下最短路径易造成链路拥塞、且难以兼顾多业务差异化服务质量(Quality</w:t>
      </w:r>
      <w:r>
        <w:rPr>
          <w:rFonts w:ascii="Times New Roman" w:hAnsi="Times New Roman" w:eastAsia="楷体"/>
          <w:b w:val="0"/>
          <w:color w:val="000000"/>
          <w:sz w:val="21"/>
        </w:rPr>
        <w:t xml:space="preserve"> of Service, </w:t>
      </w:r>
      <w:r>
        <w:rPr>
          <w:rFonts w:hint="eastAsia" w:ascii="Times New Roman" w:hAnsi="Times New Roman" w:eastAsia="楷体"/>
          <w:b w:val="0"/>
          <w:color w:val="000000"/>
          <w:sz w:val="21"/>
        </w:rPr>
        <w:t xml:space="preserve">QoS)的问题，本文提出一种拥塞感知的多业务智能路由方法(Congestion-Aware</w:t>
      </w:r>
      <w:r>
        <w:rPr>
          <w:rFonts w:ascii="Times New Roman" w:hAnsi="Times New Roman" w:eastAsia="楷体"/>
          <w:b w:val="0"/>
          <w:color w:val="000000"/>
          <w:sz w:val="21"/>
        </w:rPr>
        <w:t xml:space="preserve"> Multi-service QoS Routing, </w:t>
      </w:r>
      <w:r>
        <w:rPr>
          <w:rFonts w:hint="eastAsia" w:ascii="Times New Roman" w:hAnsi="Times New Roman" w:eastAsia="楷体"/>
          <w:b w:val="0"/>
          <w:color w:val="000000"/>
          <w:sz w:val="21"/>
        </w:rPr>
        <w:t xml:space="preserve">CA-MQR)。该方法以拥塞感知为主线：将逐跳路由建模为部分可观测马尔可夫决策过程(Partially</w:t>
      </w:r>
      <w:r>
        <w:rPr>
          <w:rFonts w:ascii="Times New Roman" w:hAnsi="Times New Roman" w:eastAsia="楷体"/>
          <w:b w:val="0"/>
          <w:color w:val="000000"/>
          <w:sz w:val="21"/>
        </w:rPr>
        <w:t xml:space="preserve"> Observable Markov Decision Process, </w:t>
      </w:r>
      <w:r>
        <w:rPr>
          <w:rFonts w:hint="eastAsia" w:ascii="Times New Roman" w:hAnsi="Times New Roman" w:eastAsia="楷体"/>
          <w:b w:val="0"/>
          <w:color w:val="000000"/>
          <w:sz w:val="21"/>
        </w:rPr>
        <w:t xml:space="preserve">POMDP)，把邻居链路的实时利用率与业务类型标识引入状态空间，并针对时延敏感、带宽密集与可靠性优先三类业务设计差异化奖励函数，使智能体在保证可靠到达的前提下主动规避拥塞热点、为不同业务提供差异化的QoS保障。在此基础上，进一步设计下游拥塞势场以获得超越单跳的拥塞纵深感知，并采用竞争式双深度Q网络(Dueling</w:t>
      </w:r>
      <w:r>
        <w:rPr>
          <w:rFonts w:ascii="Times New Roman" w:hAnsi="Times New Roman" w:eastAsia="楷体"/>
          <w:b w:val="0"/>
          <w:color w:val="000000"/>
          <w:sz w:val="21"/>
        </w:rPr>
        <w:t xml:space="preserve"> Double Deep </w:t>
      </w:r>
      <w:r>
        <w:rPr>
          <w:rFonts w:hint="eastAsia" w:ascii="Times New Roman" w:hAnsi="Times New Roman" w:eastAsia="楷体"/>
          <w:b w:val="0"/>
          <w:color w:val="000000"/>
          <w:sz w:val="21"/>
        </w:rPr>
        <w:t xml:space="preserve">Q-Network)提升训练稳定性。基于Walker</w:t>
      </w:r>
      <w:r>
        <w:rPr>
          <w:rFonts w:ascii="Times New Roman" w:hAnsi="Times New Roman" w:eastAsia="楷体"/>
          <w:b w:val="0"/>
          <w:color w:val="000000"/>
          <w:sz w:val="21"/>
        </w:rPr>
        <w:t xml:space="preserve"> </w:t>
      </w:r>
      <w:r>
        <w:rPr>
          <w:rFonts w:hint="eastAsia" w:ascii="Times New Roman" w:hAnsi="Times New Roman" w:eastAsia="楷体"/>
          <w:b w:val="0"/>
          <w:color w:val="000000"/>
          <w:sz w:val="21"/>
        </w:rPr>
        <w:t xml:space="preserve">Delta星座构建纯Python流级仿真平台，在拥塞传导条件下与随机路由、最短路径(Dijkstra)、等价多路径(Equal-Cost</w:t>
      </w:r>
      <w:r>
        <w:rPr>
          <w:rFonts w:ascii="Times New Roman" w:hAnsi="Times New Roman" w:eastAsia="楷体"/>
          <w:b w:val="0"/>
          <w:color w:val="000000"/>
          <w:sz w:val="21"/>
        </w:rPr>
        <w:t xml:space="preserve"> Multi-Path, </w:t>
      </w:r>
      <w:r>
        <w:rPr>
          <w:rFonts w:hint="eastAsia" w:ascii="Times New Roman" w:hAnsi="Times New Roman" w:eastAsia="楷体"/>
          <w:b w:val="0"/>
          <w:color w:val="000000"/>
          <w:sz w:val="21"/>
        </w:rPr>
        <w:t xml:space="preserve">ECMP)及拥塞无感知的深度Q网络进行对比。仿真结果表明，在归一化负载为1.4的重载场景下，CA-MQR的平均端到端时延相比Dijkstra降低约66%，三类业务的QoS满足率均优于对比方法；消融实验验证了各设计模块的有效性；在流量热点汇聚的严重拥塞场景下，下游拥塞势场可进一步将P95尾部时延降低约32%。</w:t>
      </w:r>
    </w:p>
    <w:p>
      <w:pPr>
        <w:pStyle w:val="BodyText"/>
        <w:spacing w:lineRule="auto" w:line="336"/>
      </w:pPr>
      <w:r>
        <w:rPr>
          <w:rFonts w:hint="eastAsia" w:ascii="Times New Roman" w:hAnsi="Times New Roman" w:eastAsia="楷体"/>
          <w:b/>
          <w:color w:val="000000"/>
          <w:sz w:val="21"/>
        </w:rPr>
        <w:t xml:space="preserve">关键词：低轨卫星网络；多业务QoS；深度强化学习；拥塞感知；负载均衡</w:t>
      </w:r>
    </w:p>
    <w:bookmarkEnd w:id="9"/>
    <w:bookmarkStart w:id="10" w:name="引言"/>
    <w:p>
      <w:pPr>
        <w:pStyle w:val="Heading1"/>
        <w:spacing w:lineRule="auto" w:line="360"/>
      </w:pPr>
      <w:r>
        <w:rPr>
          <w:rFonts w:hint="eastAsia" w:ascii="Times New Roman" w:hAnsi="Times New Roman" w:eastAsia="黑体"/>
          <w:b w:val="0"/>
          <w:color w:val="000000"/>
          <w:sz w:val="28"/>
        </w:rPr>
        <w:t xml:space="preserve">引言</w:t>
      </w:r>
    </w:p>
    <w:p>
      <w:pPr>
        <w:pStyle w:val="FirstParagraph"/>
        <w:spacing w:lineRule="auto" w:line="360"/>
        <w:jc w:val="both"/>
        <w:ind w:firstLineChars="200"/>
      </w:pPr>
      <w:r>
        <w:rPr>
          <w:rFonts w:hint="eastAsia" w:ascii="Times New Roman" w:hAnsi="Times New Roman" w:eastAsia="宋体"/>
          <w:b w:val="0"/>
          <w:color w:val="000000"/>
          <w:sz w:val="21"/>
        </w:rPr>
        <w:t xml:space="preserve">低轨卫星网络凭借低传播时延与全球覆盖能力，已成为6G天地一体化网络的重要组成部分</w:t>
      </w:r>
      <w:r>
        <w:rPr>
          <w:rFonts w:ascii="Times New Roman" w:hAnsi="Times New Roman" w:eastAsia="宋体"/>
          <w:b w:val="0"/>
          <w:color w:val="000000"/>
          <w:sz w:val="15"/>
          <w:vertAlign w:val="superscript"/>
        </w:rPr>
        <w:t xml:space="preserve">[1]</w:t>
      </w:r>
      <w:r>
        <w:rPr>
          <w:rFonts w:hint="eastAsia" w:ascii="Times New Roman" w:hAnsi="Times New Roman" w:eastAsia="宋体"/>
          <w:b w:val="0"/>
          <w:color w:val="000000"/>
          <w:sz w:val="21"/>
        </w:rPr>
        <w:t xml:space="preserve">。随着SpaceX</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Starlink、我国千帆星座等大规模星座的快速部署，LEO卫星网络正从理论走向工程现实</w:t>
      </w:r>
      <w:r>
        <w:rPr>
          <w:rFonts w:ascii="Times New Roman" w:hAnsi="Times New Roman" w:eastAsia="宋体"/>
          <w:b w:val="0"/>
          <w:color w:val="000000"/>
          <w:sz w:val="15"/>
          <w:vertAlign w:val="superscript"/>
        </w:rPr>
        <w:t xml:space="preserve">[2]</w:t>
      </w:r>
      <w:r>
        <w:rPr>
          <w:rFonts w:hint="eastAsia" w:ascii="Times New Roman" w:hAnsi="Times New Roman" w:eastAsia="宋体"/>
          <w:b w:val="0"/>
          <w:color w:val="000000"/>
          <w:sz w:val="21"/>
        </w:rPr>
        <w:t xml:space="preserve">。然而，卫星以约7.8</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km/s的速度高速运行，网络拓扑呈分钟级动态变化；同时星间链路承载的业务类型日益多样，应急通信、遥感回传、工业控制等业务在时延、带宽与可靠性上的需求差异显著。如何在高动态、多业务并发条件下实现高效路由，是LEO卫星网络面临的核心挑战之一</w:t>
      </w:r>
      <w:r>
        <w:rPr>
          <w:rFonts w:ascii="Times New Roman" w:hAnsi="Times New Roman" w:eastAsia="宋体"/>
          <w:b w:val="0"/>
          <w:color w:val="000000"/>
          <w:sz w:val="15"/>
          <w:vertAlign w:val="superscript"/>
        </w:rPr>
        <w:t xml:space="preserve">[3]</w:t>
      </w:r>
      <w:r>
        <w:rPr>
          <w:rFonts w:ascii="Times New Roman" w:hAnsi="Times New Roman" w:eastAsia="宋体"/>
          <w:b w:val="0"/>
          <w:color w:val="000000"/>
          <w:sz w:val="21"/>
        </w:rPr>
        <w:t xml:space="preserve">。</w:t>
      </w:r>
    </w:p>
    <w:p>
      <w:pPr>
        <w:pStyle w:val="BodyText"/>
        <w:spacing w:lineRule="auto" w:line="360"/>
        <w:jc w:val="both"/>
        <w:ind w:firstLineChars="200"/>
      </w:pPr>
      <w:r>
        <w:rPr>
          <w:rFonts w:hint="eastAsia" w:ascii="Times New Roman" w:hAnsi="Times New Roman" w:eastAsia="宋体"/>
          <w:b w:val="0"/>
          <w:color w:val="000000"/>
          <w:sz w:val="21"/>
        </w:rPr>
        <w:t xml:space="preserve">传统路由方法在上述场景中存在明显局限。以Dijkstra为代表的最短路径算法仅依据静态链路代价选路：在轻载条件下其已接近最优，但在高负载条件下，由于所有业务流均被导向同一批最短路径，会造成少数链路过载、排队时延急剧上升，即产生”热点拥塞”问题</w:t>
      </w:r>
      <w:r>
        <w:rPr>
          <w:rFonts w:ascii="Times New Roman" w:hAnsi="Times New Roman" w:eastAsia="宋体"/>
          <w:b w:val="0"/>
          <w:color w:val="000000"/>
          <w:sz w:val="15"/>
          <w:vertAlign w:val="superscript"/>
        </w:rPr>
        <w:t xml:space="preserve">[4]</w:t>
      </w:r>
      <w:r>
        <w:rPr>
          <w:rFonts w:hint="eastAsia" w:ascii="Times New Roman" w:hAnsi="Times New Roman" w:eastAsia="宋体"/>
          <w:b w:val="0"/>
          <w:color w:val="000000"/>
          <w:sz w:val="21"/>
        </w:rPr>
        <w:t xml:space="preserve">；等价多路径等启发式方法虽能在一定程度上分散负载，但其分流依据是静态权重的随机扰动，缺乏对实时网络状态的感知与对业务差异的区分能力。</w:t>
      </w:r>
    </w:p>
    <w:p>
      <w:pPr>
        <w:pStyle w:val="BodyText"/>
        <w:spacing w:lineRule="auto" w:line="360"/>
        <w:jc w:val="both"/>
        <w:ind w:firstLineChars="200"/>
      </w:pPr>
      <w:r>
        <w:rPr>
          <w:rFonts w:hint="eastAsia" w:ascii="Times New Roman" w:hAnsi="Times New Roman" w:eastAsia="宋体"/>
          <w:b w:val="0"/>
          <w:color w:val="000000"/>
          <w:sz w:val="21"/>
        </w:rPr>
        <w:t xml:space="preserve">近年来，深度强化学习(Deep</w:t>
      </w:r>
      <w:r>
        <w:rPr>
          <w:rFonts w:ascii="Times New Roman" w:hAnsi="Times New Roman" w:eastAsia="宋体"/>
          <w:b w:val="0"/>
          <w:color w:val="000000"/>
          <w:sz w:val="21"/>
        </w:rPr>
        <w:t xml:space="preserve"> Reinforcement Learning, </w:t>
      </w:r>
      <w:r>
        <w:rPr>
          <w:rFonts w:hint="eastAsia" w:ascii="Times New Roman" w:hAnsi="Times New Roman" w:eastAsia="宋体"/>
          <w:b w:val="0"/>
          <w:color w:val="000000"/>
          <w:sz w:val="21"/>
        </w:rPr>
        <w:t xml:space="preserve">DRL)因其对动态环境的自适应能力，被广泛用于卫星网络路由</w:t>
      </w:r>
      <w:r>
        <w:rPr>
          <w:rFonts w:ascii="Times New Roman" w:hAnsi="Times New Roman" w:eastAsia="宋体"/>
          <w:b w:val="0"/>
          <w:color w:val="000000"/>
          <w:sz w:val="15"/>
          <w:vertAlign w:val="superscript"/>
        </w:rPr>
        <w:t xml:space="preserve">[5][6]</w:t>
      </w:r>
      <w:r>
        <w:rPr>
          <w:rFonts w:hint="eastAsia" w:ascii="Times New Roman" w:hAnsi="Times New Roman" w:eastAsia="宋体"/>
          <w:b w:val="0"/>
          <w:color w:val="000000"/>
          <w:sz w:val="21"/>
        </w:rPr>
        <w:t xml:space="preserve">。文献</w:t>
      </w:r>
      <w:r>
        <w:rPr>
          <w:rFonts w:ascii="Times New Roman" w:hAnsi="Times New Roman" w:eastAsia="宋体"/>
          <w:b w:val="0"/>
          <w:color w:val="000000"/>
          <w:sz w:val="15"/>
          <w:vertAlign w:val="superscript"/>
        </w:rPr>
        <w:t xml:space="preserve">[7]</w:t>
      </w:r>
      <w:r>
        <w:rPr>
          <w:rFonts w:hint="eastAsia" w:ascii="Times New Roman" w:hAnsi="Times New Roman" w:eastAsia="宋体"/>
          <w:b w:val="0"/>
          <w:color w:val="000000"/>
          <w:sz w:val="21"/>
        </w:rPr>
        <w:t xml:space="preserve">将业务类型编入状态空间并设计多QoS加权奖励，实现了三类业务的差异化路由；文献</w:t>
      </w:r>
      <w:r>
        <w:rPr>
          <w:rFonts w:ascii="Times New Roman" w:hAnsi="Times New Roman" w:eastAsia="宋体"/>
          <w:b w:val="0"/>
          <w:color w:val="000000"/>
          <w:sz w:val="15"/>
          <w:vertAlign w:val="superscript"/>
        </w:rPr>
        <w:t xml:space="preserve">[8]</w:t>
      </w:r>
      <w:r>
        <w:rPr>
          <w:rFonts w:hint="eastAsia" w:ascii="Times New Roman" w:hAnsi="Times New Roman" w:eastAsia="宋体"/>
          <w:b w:val="0"/>
          <w:color w:val="000000"/>
          <w:sz w:val="21"/>
        </w:rPr>
        <w:t xml:space="preserve">将图强化学习引入卫星路由以适应动态拓扑。然而，现有DRL路由工作仍存在两点不足：其一，多数方法在无拥塞或弱拥塞的静态场景下评估，此时最短路径本身已接近最优，DRL难以体现优势；其二，多数方法未将链路实时拥塞状态显式引入决策，在高负载下难以有效规避热点。事实上，DRL路由相对最短路径的优势恰恰来源于其对动态拥塞的感知能力：端到端时延由传播时延与排队时延共同构成，在拥塞条件下排队时延占据主导，而最短路径对排队状态完全不敏感</w:t>
      </w:r>
      <w:r>
        <w:rPr>
          <w:rFonts w:ascii="Times New Roman" w:hAnsi="Times New Roman" w:eastAsia="宋体"/>
          <w:b w:val="0"/>
          <w:color w:val="000000"/>
          <w:sz w:val="15"/>
          <w:vertAlign w:val="superscript"/>
        </w:rPr>
        <w:t xml:space="preserve">[5]</w:t>
      </w:r>
      <w:r>
        <w:rPr>
          <w:rFonts w:ascii="Times New Roman" w:hAnsi="Times New Roman" w:eastAsia="宋体"/>
          <w:b w:val="0"/>
          <w:color w:val="000000"/>
          <w:sz w:val="21"/>
        </w:rPr>
        <w:t xml:space="preserve">。</w:t>
      </w:r>
    </w:p>
    <w:p>
      <w:pPr>
        <w:pStyle w:val="BodyText"/>
        <w:spacing w:lineRule="auto" w:line="360"/>
        <w:jc w:val="both"/>
        <w:ind w:firstLineChars="200"/>
      </w:pPr>
      <w:r>
        <w:rPr>
          <w:rFonts w:hint="eastAsia" w:ascii="Times New Roman" w:hAnsi="Times New Roman" w:eastAsia="宋体"/>
          <w:b w:val="0"/>
          <w:color w:val="000000"/>
          <w:sz w:val="21"/>
        </w:rPr>
        <w:t xml:space="preserve">针对上述不足，本文以”拥塞感知”为主线，提出多业务智能路由方法CA-MQR，并从主干建模、纵深增强与求解优化三个层面展开，主要贡献如下：</w:t>
      </w:r>
    </w:p>
    <w:p>
      <w:pPr>
        <w:numPr>
          <w:ilvl w:val="0"/>
          <w:numId w:val="1001"/>
        </w:numPr>
        <w:spacing w:lineRule="auto" w:line="360"/>
        <w:jc w:val="both"/>
        <w:ind w:firstLineChars="200"/>
      </w:pPr>
      <w:r>
        <w:rPr>
          <w:rFonts w:hint="eastAsia" w:ascii="Times New Roman" w:hAnsi="Times New Roman" w:eastAsia="宋体"/>
          <w:b w:val="0"/>
          <w:bCs/>
          <w:color w:val="000000"/>
          <w:sz w:val="21"/>
        </w:rPr>
        <w:t xml:space="preserve">拥塞感知的多业务路由建模(主干)</w:t>
      </w:r>
      <w:r>
        <w:rPr>
          <w:rFonts w:hint="eastAsia" w:ascii="Times New Roman" w:hAnsi="Times New Roman" w:eastAsia="宋体"/>
          <w:b w:val="0"/>
          <w:color w:val="000000"/>
          <w:sz w:val="21"/>
        </w:rPr>
        <w:t xml:space="preserve">：将逐跳路由建模为POMDP，把邻居链路实时利用率与业务类型引入状态，并为三类业务设计差异化奖励函数，使单一策略在感知拥塞的同时实现多业务QoS的差异化保障；</w:t>
      </w:r>
    </w:p>
    <w:p>
      <w:pPr>
        <w:numPr>
          <w:ilvl w:val="0"/>
          <w:numId w:val="1001"/>
        </w:numPr>
        <w:spacing w:lineRule="auto" w:line="360"/>
        <w:jc w:val="both"/>
        <w:ind w:firstLineChars="200"/>
      </w:pPr>
      <w:r>
        <w:rPr>
          <w:rFonts w:hint="eastAsia" w:ascii="Times New Roman" w:hAnsi="Times New Roman" w:eastAsia="宋体"/>
          <w:b w:val="0"/>
          <w:bCs/>
          <w:color w:val="000000"/>
          <w:sz w:val="21"/>
        </w:rPr>
        <w:t xml:space="preserve">下游拥塞势场(纵深增强)</w:t>
      </w:r>
      <w:r>
        <w:rPr>
          <w:rFonts w:hint="eastAsia" w:ascii="Times New Roman" w:hAnsi="Times New Roman" w:eastAsia="宋体"/>
          <w:b w:val="0"/>
          <w:color w:val="000000"/>
          <w:sz w:val="21"/>
        </w:rPr>
        <w:t xml:space="preserve">：针对单跳视野难以感知拥塞纵深的问题，设计一种轻量的下游拥塞势场，通过邻居间局部迭代将下游拥塞汇聚为状态特征，引导智能体提前规避通往拥塞区域的方向；</w:t>
      </w:r>
    </w:p>
    <w:p>
      <w:pPr>
        <w:numPr>
          <w:ilvl w:val="0"/>
          <w:numId w:val="1001"/>
        </w:numPr>
        <w:spacing w:lineRule="auto" w:line="360"/>
        <w:jc w:val="both"/>
        <w:ind w:firstLineChars="200"/>
      </w:pPr>
      <w:r>
        <w:rPr>
          <w:rFonts w:hint="eastAsia" w:ascii="Times New Roman" w:hAnsi="Times New Roman" w:eastAsia="宋体"/>
          <w:b w:val="0"/>
          <w:bCs/>
          <w:color w:val="000000"/>
          <w:sz w:val="21"/>
        </w:rPr>
        <w:t xml:space="preserve">竞争式双深度Q网络求解(求解优化)</w:t>
      </w:r>
      <w:r>
        <w:rPr>
          <w:rFonts w:hint="eastAsia" w:ascii="Times New Roman" w:hAnsi="Times New Roman" w:eastAsia="宋体"/>
          <w:b w:val="0"/>
          <w:color w:val="000000"/>
          <w:sz w:val="21"/>
        </w:rPr>
        <w:t xml:space="preserve">：采用竞争式网络将状态价值与动作优势解耦，并结合双深度Q网络与动作掩码，提升训练稳定性与路由可行性。</w:t>
      </w:r>
    </w:p>
    <w:p>
      <w:pPr>
        <w:pStyle w:val="FirstParagraph"/>
        <w:spacing w:lineRule="auto" w:line="360"/>
        <w:jc w:val="both"/>
        <w:ind w:firstLineChars="200"/>
      </w:pPr>
      <w:r>
        <w:rPr>
          <w:rFonts w:hint="eastAsia" w:ascii="Times New Roman" w:hAnsi="Times New Roman" w:eastAsia="宋体"/>
          <w:b w:val="0"/>
          <w:color w:val="000000"/>
          <w:sz w:val="21"/>
        </w:rPr>
        <w:t xml:space="preserve">此外，本文构建了带拥塞传导的纯Python流级仿真平台，通过负载扫描、消融实验与特定场景验证，系统评估了上述设计的有效性。本文后续安排如下：第1节阐述系统模型；第2节阐述CA-MQR方法；第3节给出实验与结果分析；最后总结全文。表1列出本文主要符号。</w:t>
      </w:r>
    </w:p>
    <w:p>
      <w:pPr>
        <w:pStyle w:val="BodyText"/>
        <w:jc w:val="center"/>
      </w:pPr>
      <w:r>
        <w:rPr>
          <w:rFonts w:hint="eastAsia" w:ascii="Times New Roman" w:hAnsi="Times New Roman" w:eastAsia="黑体"/>
          <w:b w:val="0"/>
          <w:color w:val="000000"/>
          <w:sz w:val="18"/>
        </w:rPr>
        <w:t xml:space="preserve">表1</w:t>
      </w:r>
      <w:r>
        <w:rPr>
          <w:rFonts w:ascii="Times New Roman" w:hAnsi="Times New Roman" w:eastAsia="黑体"/>
          <w:b w:val="0"/>
          <w:color w:val="000000"/>
          <w:sz w:val="18"/>
        </w:rPr>
        <w:t xml:space="preserve"> </w:t>
      </w:r>
      <w:r>
        <w:rPr>
          <w:rFonts w:hint="eastAsia" w:ascii="Times New Roman" w:hAnsi="Times New Roman" w:eastAsia="黑体"/>
          <w:b w:val="0"/>
          <w:color w:val="000000"/>
          <w:sz w:val="18"/>
        </w:rPr>
        <w:t xml:space="preserve">主要符号含义</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符号</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含义</w:t>
            </w:r>
          </w:p>
        </w:tc>
      </w:tr>
      <w:tr>
        <w:tc>
          <w:tcPr>
            <w:tcBorders>
              <w:top w:val="none" w:sz="0" w:space="0" w:color="auto"/>
              <w:bottom w:val="none" w:sz="0" w:space="0" w:color="auto"/>
              <w:left w:val="none" w:sz="0" w:space="0" w:color="auto"/>
              <w:right w:val="none" w:sz="0" w:space="0" w:color="auto"/>
            </w:tcBorders>
          </w:tcPr>
          <w:p>
            <w:pPr>
              <w:pStyle w:val="Compact"/>
              <w:jc w:val="center"/>
            </w:pPr>
            <m:oMath>
              <m:r>
                <m:t>G</m:t>
              </m:r>
              <m:r>
                <m:rPr>
                  <m:sty m:val="p"/>
                </m:rPr>
                <m:t>(</m:t>
              </m:r>
              <m:r>
                <m:t>t</m:t>
              </m:r>
              <m:r>
                <m:rPr>
                  <m:sty m:val="p"/>
                </m:rPr>
                <m:t>)</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时刻</w:t>
            </w:r>
            <m:oMath>
              <m:r>
                <m:t>t</m:t>
              </m:r>
            </m:oMath>
            <w:r>
              <w:rPr>
                <w:rFonts w:hint="eastAsia" w:ascii="Times New Roman" w:hAnsi="Times New Roman" w:eastAsia="宋体"/>
                <w:b w:val="0"/>
                <w:color w:val="000000"/>
                <w:sz w:val="18"/>
              </w:rPr>
              <w:t xml:space="preserve">的网络拓扑图</w:t>
            </w:r>
          </w:p>
        </w:tc>
      </w:tr>
      <w:tr>
        <w:tc>
          <w:tcPr>
            <w:tcBorders>
              <w:top w:val="none" w:sz="0" w:space="0" w:color="auto"/>
              <w:bottom w:val="none" w:sz="0" w:space="0" w:color="auto"/>
              <w:left w:val="none" w:sz="0" w:space="0" w:color="auto"/>
              <w:right w:val="none" w:sz="0" w:space="0" w:color="auto"/>
            </w:tcBorders>
          </w:tcPr>
          <w:p>
            <w:pPr>
              <w:pStyle w:val="Compact"/>
              <w:jc w:val="center"/>
            </w:pPr>
            <m:oMath>
              <m:r>
                <m:t>V</m:t>
              </m:r>
              <m:r>
                <m:rPr>
                  <m:sty m:val="p"/>
                </m:rPr>
                <m:t>,</m:t>
              </m:r>
              <m:r>
                <m:t>E</m:t>
              </m:r>
              <m:r>
                <m:rPr>
                  <m:sty m:val="p"/>
                </m:rPr>
                <m:t>(</m:t>
              </m:r>
              <m:r>
                <m:t>t</m:t>
              </m:r>
              <m:r>
                <m:rPr>
                  <m:sty m:val="p"/>
                </m:rPr>
                <m:t>)</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卫星节点集合、时刻</w:t>
            </w:r>
            <m:oMath>
              <m:r>
                <m:t>t</m:t>
              </m:r>
            </m:oMath>
            <w:r>
              <w:rPr>
                <w:rFonts w:hint="eastAsia" w:ascii="Times New Roman" w:hAnsi="Times New Roman" w:eastAsia="宋体"/>
                <w:b w:val="0"/>
                <w:color w:val="000000"/>
                <w:sz w:val="18"/>
              </w:rPr>
              <w:t xml:space="preserve">的链路集合</w:t>
            </w:r>
          </w:p>
        </w:tc>
      </w:tr>
      <w:tr>
        <w:tc>
          <w:tcPr>
            <w:tcBorders>
              <w:top w:val="none" w:sz="0" w:space="0" w:color="auto"/>
              <w:bottom w:val="none" w:sz="0" w:space="0" w:color="auto"/>
              <w:left w:val="none" w:sz="0" w:space="0" w:color="auto"/>
              <w:right w:val="none" w:sz="0" w:space="0" w:color="auto"/>
            </w:tcBorders>
          </w:tcPr>
          <w:p>
            <w:pPr>
              <w:pStyle w:val="Compact"/>
              <w:jc w:val="center"/>
            </w:pPr>
            <m:oMath>
              <m:sSub>
                <m:e>
                  <m:r>
                    <m:t>ℓ</m:t>
                  </m:r>
                </m:e>
                <m:sub>
                  <m:r>
                    <m:t>i</m:t>
                  </m:r>
                  <m:r>
                    <m:t>j</m:t>
                  </m:r>
                </m:sub>
              </m:sSub>
              <m:r>
                <m:rPr>
                  <m:sty m:val="p"/>
                </m:rPr>
                <m:t>,</m:t>
              </m:r>
              <m:sSub>
                <m:e>
                  <m:r>
                    <m:t>d</m:t>
                  </m:r>
                </m:e>
                <m:sub>
                  <m:r>
                    <m:t>i</m:t>
                  </m:r>
                  <m:r>
                    <m:t>j</m:t>
                  </m:r>
                </m:sub>
              </m:sSub>
            </m:oMath>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链路</w:t>
            </w:r>
            <m:oMath>
              <m:r>
                <m:rPr>
                  <m:sty m:val="p"/>
                </m:rPr>
                <m:t>(</m:t>
              </m:r>
              <m:r>
                <m:t>i</m:t>
              </m:r>
              <m:r>
                <m:rPr>
                  <m:sty m:val="p"/>
                </m:rPr>
                <m:t>,</m:t>
              </m:r>
              <m:r>
                <m:t>j</m:t>
              </m:r>
              <m:r>
                <m:rPr>
                  <m:sty m:val="p"/>
                </m:rPr>
                <m:t>)</m:t>
              </m:r>
            </m:oMath>
            <w:r>
              <w:rPr>
                <w:rFonts w:hint="eastAsia" w:ascii="Times New Roman" w:hAnsi="Times New Roman" w:eastAsia="宋体"/>
                <w:b w:val="0"/>
                <w:color w:val="000000"/>
                <w:sz w:val="18"/>
              </w:rPr>
              <w:t xml:space="preserve">的几何距离、时延</w:t>
            </w:r>
          </w:p>
        </w:tc>
      </w:tr>
      <w:tr>
        <w:tc>
          <w:tcPr>
            <w:tcBorders>
              <w:top w:val="none" w:sz="0" w:space="0" w:color="auto"/>
              <w:bottom w:val="none" w:sz="0" w:space="0" w:color="auto"/>
              <w:left w:val="none" w:sz="0" w:space="0" w:color="auto"/>
              <w:right w:val="none" w:sz="0" w:space="0" w:color="auto"/>
            </w:tcBorders>
          </w:tcPr>
          <w:p>
            <w:pPr>
              <w:pStyle w:val="Compact"/>
              <w:jc w:val="center"/>
            </w:pPr>
            <m:oMath>
              <m:sSub>
                <m:e>
                  <m:r>
                    <m:t>C</m:t>
                  </m:r>
                </m:e>
                <m:sub>
                  <m:r>
                    <m:t>i</m:t>
                  </m:r>
                  <m:r>
                    <m:t>j</m:t>
                  </m:r>
                </m:sub>
              </m:sSub>
              <m:r>
                <m:rPr>
                  <m:sty m:val="p"/>
                </m:rPr>
                <m:t>,</m:t>
              </m:r>
              <m:sSub>
                <m:e>
                  <m:r>
                    <m:t>ρ</m:t>
                  </m:r>
                </m:e>
                <m:sub>
                  <m:r>
                    <m:t>i</m:t>
                  </m:r>
                  <m:r>
                    <m:t>j</m:t>
                  </m:r>
                </m:sub>
              </m:sSub>
              <m:r>
                <m:rPr>
                  <m:sty m:val="p"/>
                </m:rPr>
                <m:t>,</m:t>
              </m:r>
              <m:sSub>
                <m:e>
                  <m:r>
                    <m:t>u</m:t>
                  </m:r>
                </m:e>
                <m:sub>
                  <m:r>
                    <m:t>i</m:t>
                  </m:r>
                  <m:r>
                    <m:t>j</m:t>
                  </m:r>
                </m:sub>
              </m:sSub>
            </m:oMath>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链路容量、负载占用、利用率</w:t>
            </w:r>
          </w:p>
        </w:tc>
      </w:tr>
      <w:tr>
        <w:tc>
          <w:tcPr>
            <w:tcBorders>
              <w:top w:val="none" w:sz="0" w:space="0" w:color="auto"/>
              <w:bottom w:val="none" w:sz="0" w:space="0" w:color="auto"/>
              <w:left w:val="none" w:sz="0" w:space="0" w:color="auto"/>
              <w:right w:val="none" w:sz="0" w:space="0" w:color="auto"/>
            </w:tcBorders>
          </w:tcPr>
          <w:p>
            <w:pPr>
              <w:pStyle w:val="Compact"/>
              <w:jc w:val="center"/>
            </w:pPr>
            <m:oMath>
              <m:r>
                <m:t>D</m:t>
              </m:r>
              <m:r>
                <m:rPr>
                  <m:sty m:val="p"/>
                </m:rPr>
                <m:t>(</m:t>
              </m:r>
              <m:r>
                <m:t>p</m:t>
              </m:r>
              <m:r>
                <m:rPr>
                  <m:sty m:val="p"/>
                </m:rPr>
                <m:t>)</m:t>
              </m:r>
              <m:r>
                <m:rPr>
                  <m:sty m:val="p"/>
                </m:rPr>
                <m:t>,</m:t>
              </m:r>
              <m:r>
                <m:t>B</m:t>
              </m:r>
              <m:r>
                <m:rPr>
                  <m:sty m:val="p"/>
                </m:rPr>
                <m:t>(</m:t>
              </m:r>
              <m:r>
                <m:t>p</m:t>
              </m:r>
              <m:r>
                <m:rPr>
                  <m:sty m:val="p"/>
                </m:rPr>
                <m:t>)</m:t>
              </m:r>
              <m:r>
                <m:rPr>
                  <m:sty m:val="p"/>
                </m:rPr>
                <m:t>,</m:t>
              </m:r>
              <m:r>
                <m:t>L</m:t>
              </m:r>
              <m:r>
                <m:rPr>
                  <m:sty m:val="p"/>
                </m:rPr>
                <m:t>(</m:t>
              </m:r>
              <m:r>
                <m:t>p</m:t>
              </m:r>
              <m:r>
                <m:rPr>
                  <m:sty m:val="p"/>
                </m:rPr>
                <m:t>)</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路径</w:t>
            </w:r>
            <m:oMath>
              <m:r>
                <m:t>p</m:t>
              </m:r>
            </m:oMath>
            <w:r>
              <w:rPr>
                <w:rFonts w:hint="eastAsia" w:ascii="Times New Roman" w:hAnsi="Times New Roman" w:eastAsia="宋体"/>
                <w:b w:val="0"/>
                <w:color w:val="000000"/>
                <w:sz w:val="18"/>
              </w:rPr>
              <w:t xml:space="preserve">的端到端时延、瓶颈带宽、丢包率</w:t>
            </w:r>
          </w:p>
        </w:tc>
      </w:tr>
      <w:tr>
        <w:tc>
          <w:tcPr>
            <w:tcBorders>
              <w:top w:val="none" w:sz="0" w:space="0" w:color="auto"/>
              <w:bottom w:val="none" w:sz="0" w:space="0" w:color="auto"/>
              <w:left w:val="none" w:sz="0" w:space="0" w:color="auto"/>
              <w:right w:val="none" w:sz="0" w:space="0" w:color="auto"/>
            </w:tcBorders>
          </w:tcPr>
          <w:p>
            <w:pPr>
              <w:pStyle w:val="Compact"/>
              <w:jc w:val="center"/>
            </w:pPr>
            <m:oMath>
              <m:sSub>
                <m:e>
                  <m:r>
                    <m:t>ψ</m:t>
                  </m:r>
                </m:e>
                <m:sub>
                  <m:r>
                    <m:t>i</m:t>
                  </m:r>
                </m:sub>
              </m:sSub>
            </m:oMath>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节点</w:t>
            </w:r>
            <m:oMath>
              <m:r>
                <m:t>i</m:t>
              </m:r>
            </m:oMath>
            <w:r>
              <w:rPr>
                <w:rFonts w:hint="eastAsia" w:ascii="Times New Roman" w:hAnsi="Times New Roman" w:eastAsia="宋体"/>
                <w:b w:val="0"/>
                <w:color w:val="000000"/>
                <w:sz w:val="18"/>
              </w:rPr>
              <w:t xml:space="preserve">的下游拥塞势</w:t>
            </w:r>
          </w:p>
        </w:tc>
      </w:tr>
      <w:tr>
        <w:tc>
          <w:tcPr>
            <w:tcBorders>
              <w:top w:val="none" w:sz="0" w:space="0" w:color="auto"/>
              <w:bottom w:val="none" w:sz="0" w:space="0" w:color="auto"/>
              <w:left w:val="none" w:sz="0" w:space="0" w:color="auto"/>
              <w:right w:val="none" w:sz="0" w:space="0" w:color="auto"/>
            </w:tcBorders>
          </w:tcPr>
          <w:p>
            <w:pPr>
              <w:pStyle w:val="Compact"/>
              <w:jc w:val="center"/>
            </w:pPr>
            <m:oMath>
              <m:sSub>
                <m:e>
                  <m:r>
                    <m:t>s</m:t>
                  </m:r>
                </m:e>
                <m:sub>
                  <m:r>
                    <m:t>t</m:t>
                  </m:r>
                </m:sub>
              </m:sSub>
              <m:r>
                <m:rPr>
                  <m:sty m:val="p"/>
                </m:rPr>
                <m:t>,</m:t>
              </m:r>
              <m:sSub>
                <m:e>
                  <m:r>
                    <m:t>a</m:t>
                  </m:r>
                </m:e>
                <m:sub>
                  <m:r>
                    <m:t>t</m:t>
                  </m:r>
                </m:sub>
              </m:sSub>
              <m:r>
                <m:rPr>
                  <m:sty m:val="p"/>
                </m:rPr>
                <m:t>,</m:t>
              </m:r>
              <m:sSub>
                <m:e>
                  <m:r>
                    <m:t>r</m:t>
                  </m:r>
                </m:e>
                <m:sub>
                  <m:r>
                    <m:t>t</m:t>
                  </m:r>
                </m:sub>
              </m:sSub>
            </m:oMath>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时刻</w:t>
            </w:r>
            <m:oMath>
              <m:r>
                <m:t>t</m:t>
              </m:r>
            </m:oMath>
            <w:r>
              <w:rPr>
                <w:rFonts w:hint="eastAsia" w:ascii="Times New Roman" w:hAnsi="Times New Roman" w:eastAsia="宋体"/>
                <w:b w:val="0"/>
                <w:color w:val="000000"/>
                <w:sz w:val="18"/>
              </w:rPr>
              <w:t xml:space="preserve">的状态、动作、奖励</w:t>
            </w:r>
          </w:p>
        </w:tc>
      </w:tr>
      <w:tr>
        <w:tc>
          <w:tcPr>
            <w:tcBorders>
              <w:top w:val="none" w:sz="0" w:space="0" w:color="auto"/>
              <w:bottom w:val="single" w:sz="12" w:space="0" w:color="auto"/>
              <w:left w:val="none" w:sz="0" w:space="0" w:color="auto"/>
              <w:right w:val="none" w:sz="0" w:space="0" w:color="auto"/>
            </w:tcBorders>
          </w:tcPr>
          <w:p>
            <w:pPr>
              <w:pStyle w:val="Compact"/>
              <w:jc w:val="center"/>
            </w:pPr>
            <m:oMath>
              <m:r>
                <m:t>Q</m:t>
              </m:r>
              <m:r>
                <m:rPr>
                  <m:sty m:val="p"/>
                </m:rPr>
                <m:t>(</m:t>
              </m:r>
              <m:r>
                <m:t>s</m:t>
              </m:r>
              <m:r>
                <m:rPr>
                  <m:sty m:val="p"/>
                </m:rPr>
                <m:t>,</m:t>
              </m:r>
              <m:r>
                <m:t>a</m:t>
              </m:r>
              <m:r>
                <m:rPr>
                  <m:sty m:val="p"/>
                </m:rPr>
                <m:t>;</m:t>
              </m:r>
              <m:r>
                <m:t>θ</m:t>
              </m:r>
              <m:r>
                <m:rPr>
                  <m:sty m:val="p"/>
                </m:rPr>
                <m:t>)</m:t>
              </m:r>
            </m:oMath>
          </w:p>
        </w:tc>
        <w:tc>
          <w:tcPr>
            <w:tcBorders>
              <w:top w:val="none" w:sz="0" w:space="0" w:color="auto"/>
              <w:bottom w:val="single" w:sz="12"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参数为</w:t>
            </w:r>
            <m:oMath>
              <m:r>
                <m:t>θ</m:t>
              </m:r>
            </m:oMath>
            <w:r>
              <w:rPr>
                <w:rFonts w:hint="eastAsia" w:ascii="Times New Roman" w:hAnsi="Times New Roman" w:eastAsia="宋体"/>
                <w:b w:val="0"/>
                <w:color w:val="000000"/>
                <w:sz w:val="18"/>
              </w:rPr>
              <w:t xml:space="preserve">的状态-动作值函数</w:t>
            </w:r>
          </w:p>
        </w:tc>
      </w:tr>
    </w:tbl>
    <w:bookmarkEnd w:id="10"/>
    <w:bookmarkStart w:id="15" w:name="系统模型"/>
    <w:p>
      <w:pPr>
        <w:pStyle w:val="Heading1"/>
        <w:spacing w:lineRule="auto" w:line="360"/>
      </w:pPr>
      <w:r>
        <w:rPr>
          <w:rFonts w:hint="eastAsia" w:ascii="Times New Roman" w:hAnsi="Times New Roman" w:eastAsia="黑体"/>
          <w:b w:val="0"/>
          <w:color w:val="000000"/>
          <w:sz w:val="28"/>
        </w:rPr>
        <w:t xml:space="preserve">系统模型</w:t>
      </w:r>
    </w:p>
    <w:bookmarkStart w:id="11" w:name="网络模型"/>
    <w:p>
      <w:pPr>
        <w:pStyle w:val="Heading2"/>
        <w:spacing w:lineRule="auto" w:line="360"/>
      </w:pPr>
      <w:r>
        <w:rPr>
          <w:rFonts w:hint="eastAsia" w:ascii="Arial" w:hAnsi="Arial" w:eastAsia="黑体"/>
          <w:b/>
          <w:color w:val="000000"/>
          <w:sz w:val="24"/>
        </w:rPr>
        <w:t xml:space="preserve">网络模型</w:t>
      </w:r>
    </w:p>
    <w:p>
      <w:pPr>
        <w:pStyle w:val="FirstParagraph"/>
        <w:spacing w:lineRule="auto" w:line="360"/>
        <w:jc w:val="both"/>
        <w:ind w:firstLineChars="200"/>
      </w:pPr>
      <w:r>
        <w:rPr>
          <w:rFonts w:hint="eastAsia" w:ascii="Times New Roman" w:hAnsi="Times New Roman" w:eastAsia="宋体"/>
          <w:b w:val="0"/>
          <w:color w:val="000000"/>
          <w:sz w:val="21"/>
        </w:rPr>
        <w:t xml:space="preserve">本文采用Walker</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Delta星座对LEO卫星网络进行建模，星座构型记为</w:t>
      </w:r>
      <m:oMath>
        <m:r>
          <m:t>N</m:t>
        </m:r>
        <m:r>
          <m:rPr>
            <m:sty m:val="p"/>
          </m:rPr>
          <m:t>/</m:t>
        </m:r>
        <m:r>
          <m:t>P</m:t>
        </m:r>
        <m:r>
          <m:rPr>
            <m:sty m:val="p"/>
          </m:rPr>
          <m:t>/</m:t>
        </m:r>
        <m:r>
          <m:t>F</m:t>
        </m:r>
      </m:oMath>
      <w:r>
        <w:rPr>
          <w:rFonts w:hint="eastAsia" w:ascii="Times New Roman" w:hAnsi="Times New Roman" w:eastAsia="宋体"/>
          <w:b w:val="0"/>
          <w:color w:val="000000"/>
          <w:sz w:val="21"/>
        </w:rPr>
        <w:t xml:space="preserve">，其中</w:t>
      </w:r>
      <m:oMath>
        <m:r>
          <m:t>N</m:t>
        </m:r>
      </m:oMath>
      <w:r>
        <w:rPr>
          <w:rFonts w:hint="eastAsia" w:ascii="Times New Roman" w:hAnsi="Times New Roman" w:eastAsia="宋体"/>
          <w:b w:val="0"/>
          <w:color w:val="000000"/>
          <w:sz w:val="21"/>
        </w:rPr>
        <w:t xml:space="preserve">为卫星总数、</w:t>
      </w:r>
      <m:oMath>
        <m:r>
          <m:t>P</m:t>
        </m:r>
      </m:oMath>
      <w:r>
        <w:rPr>
          <w:rFonts w:hint="eastAsia" w:ascii="Times New Roman" w:hAnsi="Times New Roman" w:eastAsia="宋体"/>
          <w:b w:val="0"/>
          <w:color w:val="000000"/>
          <w:sz w:val="21"/>
        </w:rPr>
        <w:t xml:space="preserve">为轨道面数、</w:t>
      </w:r>
      <m:oMath>
        <m:r>
          <m:t>F</m:t>
        </m:r>
      </m:oMath>
      <w:r>
        <w:rPr>
          <w:rFonts w:hint="eastAsia" w:ascii="Times New Roman" w:hAnsi="Times New Roman" w:eastAsia="宋体"/>
          <w:b w:val="0"/>
          <w:color w:val="000000"/>
          <w:sz w:val="21"/>
        </w:rPr>
        <w:t xml:space="preserve">为相邻轨道面间的相位因子。</w:t>
      </w:r>
      <m:oMath>
        <m:r>
          <m:t>P</m:t>
        </m:r>
      </m:oMath>
      <w:r>
        <w:rPr>
          <w:rFonts w:hint="eastAsia" w:ascii="Times New Roman" w:hAnsi="Times New Roman" w:eastAsia="宋体"/>
          <w:b w:val="0"/>
          <w:color w:val="000000"/>
          <w:sz w:val="21"/>
        </w:rPr>
        <w:t xml:space="preserve">个轨道面的升交点赤经均匀分布于</w:t>
      </w:r>
      <m:oMath>
        <m:r>
          <m:t>360</m:t>
        </m:r>
        <m:r>
          <m:rPr>
            <m:sty m:val="p"/>
          </m:rPr>
          <m:t>°</m:t>
        </m:r>
      </m:oMath>
      <w:r>
        <w:rPr>
          <w:rFonts w:hint="eastAsia" w:ascii="Times New Roman" w:hAnsi="Times New Roman" w:eastAsia="宋体"/>
          <w:b w:val="0"/>
          <w:color w:val="000000"/>
          <w:sz w:val="21"/>
        </w:rPr>
        <w:t xml:space="preserve">，即第</w:t>
      </w:r>
      <m:oMath>
        <m:r>
          <m:t>p</m:t>
        </m:r>
      </m:oMath>
      <w:r>
        <w:rPr>
          <w:rFonts w:hint="eastAsia" w:ascii="Times New Roman" w:hAnsi="Times New Roman" w:eastAsia="宋体"/>
          <w:b w:val="0"/>
          <w:color w:val="000000"/>
          <w:sz w:val="21"/>
        </w:rPr>
        <w:t xml:space="preserve">个轨道面的升交点赤经为</w:t>
      </w:r>
      <m:oMath>
        <m:r>
          <m:t>2</m:t>
        </m:r>
        <m:r>
          <m:t>π</m:t>
        </m:r>
        <m:r>
          <m:t>p</m:t>
        </m:r>
        <m:r>
          <m:rPr>
            <m:sty m:val="p"/>
          </m:rPr>
          <m:t>/</m:t>
        </m:r>
        <m:r>
          <m:t>P</m:t>
        </m:r>
      </m:oMath>
      <w:r>
        <w:rPr>
          <w:rFonts w:hint="eastAsia" w:ascii="Times New Roman" w:hAnsi="Times New Roman" w:eastAsia="宋体"/>
          <w:b w:val="0"/>
          <w:color w:val="000000"/>
          <w:sz w:val="21"/>
        </w:rPr>
        <w:t xml:space="preserve">；每个轨道面均匀分布</w:t>
      </w:r>
      <m:oMath>
        <m:r>
          <m:t>S</m:t>
        </m:r>
        <m:r>
          <m:rPr>
            <m:sty m:val="p"/>
          </m:rPr>
          <m:t>=</m:t>
        </m:r>
        <m:r>
          <m:t>N</m:t>
        </m:r>
        <m:r>
          <m:rPr>
            <m:sty m:val="p"/>
          </m:rPr>
          <m:t>/</m:t>
        </m:r>
        <m:r>
          <m:t>P</m:t>
        </m:r>
      </m:oMath>
      <w:r>
        <w:rPr>
          <w:rFonts w:hint="eastAsia" w:ascii="Times New Roman" w:hAnsi="Times New Roman" w:eastAsia="宋体"/>
          <w:b w:val="0"/>
          <w:color w:val="000000"/>
          <w:sz w:val="21"/>
        </w:rPr>
        <w:t xml:space="preserve">颗卫星，相邻轨道面之间存在</w:t>
      </w:r>
      <m:oMath>
        <m:r>
          <m:t>2</m:t>
        </m:r>
        <m:r>
          <m:t>π</m:t>
        </m:r>
        <m:r>
          <m:t>F</m:t>
        </m:r>
        <m:r>
          <m:rPr>
            <m:sty m:val="p"/>
          </m:rPr>
          <m:t>/</m:t>
        </m:r>
        <m:r>
          <m:t>N</m:t>
        </m:r>
      </m:oMath>
      <w:r>
        <w:rPr>
          <w:rFonts w:hint="eastAsia" w:ascii="Times New Roman" w:hAnsi="Times New Roman" w:eastAsia="宋体"/>
          <w:b w:val="0"/>
          <w:color w:val="000000"/>
          <w:sz w:val="21"/>
        </w:rPr>
        <w:t xml:space="preserve">的相位偏移。本文取</w:t>
      </w:r>
      <m:oMath>
        <m:r>
          <m:t>N</m:t>
        </m:r>
        <m:r>
          <m:rPr>
            <m:sty m:val="p"/>
          </m:rPr>
          <m:t>=</m:t>
        </m:r>
        <m:r>
          <m:t>66</m:t>
        </m:r>
      </m:oMath>
      <w:r>
        <w:rPr>
          <w:rFonts w:ascii="Times New Roman" w:hAnsi="Times New Roman" w:eastAsia="宋体"/>
          <w:b w:val="0"/>
          <w:color w:val="000000"/>
          <w:sz w:val="21"/>
        </w:rPr>
        <w:t xml:space="preserve">、</w:t>
      </w:r>
      <m:oMath>
        <m:r>
          <m:t>P</m:t>
        </m:r>
        <m:r>
          <m:rPr>
            <m:sty m:val="p"/>
          </m:rPr>
          <m:t>=</m:t>
        </m:r>
        <m:r>
          <m:t>6</m:t>
        </m:r>
      </m:oMath>
      <w:r>
        <w:rPr>
          <w:rFonts w:ascii="Times New Roman" w:hAnsi="Times New Roman" w:eastAsia="宋体"/>
          <w:b w:val="0"/>
          <w:color w:val="000000"/>
          <w:sz w:val="21"/>
        </w:rPr>
        <w:t xml:space="preserve">、</w:t>
      </w:r>
      <m:oMath>
        <m:r>
          <m:t>F</m:t>
        </m:r>
        <m:r>
          <m:rPr>
            <m:sty m:val="p"/>
          </m:rPr>
          <m:t>=</m:t>
        </m:r>
        <m:r>
          <m:t>1</m:t>
        </m:r>
      </m:oMath>
      <w:r>
        <w:rPr>
          <w:rFonts w:hint="eastAsia" w:ascii="Times New Roman" w:hAnsi="Times New Roman" w:eastAsia="宋体"/>
          <w:b w:val="0"/>
          <w:color w:val="000000"/>
          <w:sz w:val="21"/>
        </w:rPr>
        <w:t xml:space="preserve">，即Walker</w:t>
      </w:r>
      <w:r>
        <w:rPr>
          <w:rFonts w:ascii="Times New Roman" w:hAnsi="Times New Roman" w:eastAsia="宋体"/>
          <w:b w:val="0"/>
          <w:color w:val="000000"/>
          <w:sz w:val="21"/>
        </w:rPr>
        <w:t xml:space="preserve"> Delta</w:t>
      </w:r>
      <w:r>
        <w:rPr>
          <w:rFonts w:ascii="Times New Roman" w:hAnsi="Times New Roman" w:eastAsia="宋体"/>
          <w:b w:val="0"/>
          <w:color w:val="000000"/>
          <w:sz w:val="21"/>
        </w:rPr>
        <w:t xml:space="preserve"> </w:t>
      </w:r>
      <m:oMath>
        <m:r>
          <m:t>66</m:t>
        </m:r>
        <m:r>
          <m:rPr>
            <m:sty m:val="p"/>
          </m:rPr>
          <m:t>/</m:t>
        </m:r>
        <m:r>
          <m:t>6</m:t>
        </m:r>
        <m:r>
          <m:rPr>
            <m:sty m:val="p"/>
          </m:rPr>
          <m:t>/</m:t>
        </m:r>
        <m:r>
          <m:t>1</m:t>
        </m:r>
      </m:oMath>
      <w:r>
        <w:rPr>
          <w:rFonts w:hint="eastAsia" w:ascii="Times New Roman" w:hAnsi="Times New Roman" w:eastAsia="宋体"/>
          <w:b w:val="0"/>
          <w:color w:val="000000"/>
          <w:sz w:val="21"/>
        </w:rPr>
        <w:t xml:space="preserve">构型。相邻卫星之间通过星间链路(Inter-Satellite</w:t>
      </w:r>
      <w:r>
        <w:rPr>
          <w:rFonts w:ascii="Times New Roman" w:hAnsi="Times New Roman" w:eastAsia="宋体"/>
          <w:b w:val="0"/>
          <w:color w:val="000000"/>
          <w:sz w:val="21"/>
        </w:rPr>
        <w:t xml:space="preserve"> Link, </w:t>
      </w:r>
      <w:r>
        <w:rPr>
          <w:rFonts w:hint="eastAsia" w:ascii="Times New Roman" w:hAnsi="Times New Roman" w:eastAsia="宋体"/>
          <w:b w:val="0"/>
          <w:color w:val="000000"/>
          <w:sz w:val="21"/>
        </w:rPr>
        <w:t xml:space="preserve">ISL)互连，每颗卫星采用+Grid拓扑，维护前、后(同轨道面)与左、右(相邻轨道面)共四条候选ISL。选择+Grid拓扑的原因是：其结构规则、每颗卫星的邻居数固定为四，便于将路由动作统一定义为四个方向的离散选择，从而适配强化学习的离散动作空间。</w:t>
      </w:r>
    </w:p>
    <w:p>
      <w:pPr>
        <w:pStyle w:val="BodyText"/>
        <w:spacing w:lineRule="auto" w:line="360"/>
        <w:jc w:val="both"/>
        <w:ind w:firstLineChars="200"/>
      </w:pPr>
      <w:r>
        <w:rPr>
          <w:rFonts w:hint="eastAsia" w:ascii="Times New Roman" w:hAnsi="Times New Roman" w:eastAsia="宋体"/>
          <w:b w:val="0"/>
          <w:color w:val="000000"/>
          <w:sz w:val="21"/>
        </w:rPr>
        <w:t xml:space="preserve">由于卫星高速运动，网络拓扑随时间变化。本文将时刻</w:t>
      </w:r>
      <m:oMath>
        <m:r>
          <m:t>t</m:t>
        </m:r>
      </m:oMath>
      <w:r>
        <w:rPr>
          <w:rFonts w:hint="eastAsia" w:ascii="Times New Roman" w:hAnsi="Times New Roman" w:eastAsia="宋体"/>
          <w:b w:val="0"/>
          <w:color w:val="000000"/>
          <w:sz w:val="21"/>
        </w:rPr>
        <w:t xml:space="preserve">的网络建模为加权有向图</w:t>
      </w:r>
    </w:p>
    <w:p>
      <w:pPr>
        <w:pStyle w:val="BodyText"/>
      </w:pPr>
      <m:oMathPara>
        <m:oMathParaPr>
          <m:jc m:val="center"/>
        </m:oMathParaPr>
        <m:oMath>
          <m:r>
            <m:t>G</m:t>
          </m:r>
          <m:r>
            <m:rPr>
              <m:sty m:val="p"/>
            </m:rPr>
            <m:t>(</m:t>
          </m:r>
          <m:r>
            <m:t>t</m:t>
          </m:r>
          <m:r>
            <m:rPr>
              <m:sty m:val="p"/>
            </m:rPr>
            <m:t>)</m:t>
          </m:r>
          <m:r>
            <m:rPr>
              <m:sty m:val="p"/>
            </m:rPr>
            <m:t>=</m:t>
          </m:r>
          <m:r>
            <m:rPr>
              <m:sty m:val="p"/>
            </m:rPr>
            <m:t>(</m:t>
          </m:r>
          <m:r>
            <m:t>V</m:t>
          </m:r>
          <m:r>
            <m:rPr>
              <m:sty m:val="p"/>
            </m:rPr>
            <m:t>,</m:t>
          </m:r>
          <m:r>
            <m:t>E</m:t>
          </m:r>
          <m:r>
            <m:rPr>
              <m:sty m:val="p"/>
            </m:rPr>
            <m:t>(</m:t>
          </m:r>
          <m:r>
            <m:t>t</m:t>
          </m:r>
          <m:r>
            <m:rPr>
              <m:sty m:val="p"/>
            </m:rPr>
            <m:t>)</m:t>
          </m:r>
          <m:r>
            <m:rPr>
              <m:sty m:val="p"/>
            </m:rPr>
            <m:t>,</m:t>
          </m:r>
          <m:r>
            <m:t>W</m:t>
          </m:r>
          <m:r>
            <m:rPr>
              <m:sty m:val="p"/>
            </m:rPr>
            <m:t>(</m:t>
          </m:r>
          <m:r>
            <m:t>t</m:t>
          </m:r>
          <m:r>
            <m:rPr>
              <m:sty m:val="p"/>
            </m:rPr>
            <m:t>)</m:t>
          </m:r>
          <m:r>
            <m:rPr>
              <m:sty m:val="p"/>
            </m:rPr>
            <m:t>)</m:t>
          </m:r>
          <m:r>
            <m:t>  </m:t>
          </m:r>
          <m:r>
            <m:rPr>
              <m:sty m:val="p"/>
            </m:rPr>
            <m:t>(</m:t>
          </m:r>
          <m:r>
            <m:t>1</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其中</w:t>
      </w:r>
      <m:oMath>
        <m:r>
          <m:t>V</m:t>
        </m:r>
      </m:oMath>
      <w:r>
        <w:rPr>
          <w:rFonts w:hint="eastAsia" w:ascii="Times New Roman" w:hAnsi="Times New Roman" w:eastAsia="宋体"/>
          <w:b w:val="0"/>
          <w:color w:val="000000"/>
          <w:sz w:val="21"/>
        </w:rPr>
        <w:t xml:space="preserve">为卫星节点集合，</w:t>
      </w:r>
      <m:oMath>
        <m:r>
          <m:t>E</m:t>
        </m:r>
        <m:r>
          <m:rPr>
            <m:sty m:val="p"/>
          </m:rPr>
          <m:t>(</m:t>
        </m:r>
        <m:r>
          <m:t>t</m:t>
        </m:r>
        <m:r>
          <m:rPr>
            <m:sty m:val="p"/>
          </m:rPr>
          <m:t>)</m:t>
        </m:r>
      </m:oMath>
      <w:r>
        <w:rPr>
          <w:rFonts w:hint="eastAsia" w:ascii="Times New Roman" w:hAnsi="Times New Roman" w:eastAsia="宋体"/>
          <w:b w:val="0"/>
          <w:color w:val="000000"/>
          <w:sz w:val="21"/>
        </w:rPr>
        <w:t xml:space="preserve">为时刻</w:t>
      </w:r>
      <m:oMath>
        <m:r>
          <m:t>t</m:t>
        </m:r>
      </m:oMath>
      <w:r>
        <w:rPr>
          <w:rFonts w:hint="eastAsia" w:ascii="Times New Roman" w:hAnsi="Times New Roman" w:eastAsia="宋体"/>
          <w:b w:val="0"/>
          <w:color w:val="000000"/>
          <w:sz w:val="21"/>
        </w:rPr>
        <w:t xml:space="preserve">的可用链路集合，</w:t>
      </w:r>
      <m:oMath>
        <m:r>
          <m:t>W</m:t>
        </m:r>
        <m:r>
          <m:rPr>
            <m:sty m:val="p"/>
          </m:rPr>
          <m:t>(</m:t>
        </m:r>
        <m:r>
          <m:t>t</m:t>
        </m:r>
        <m:r>
          <m:rPr>
            <m:sty m:val="p"/>
          </m:rPr>
          <m:t>)</m:t>
        </m:r>
      </m:oMath>
      <w:r>
        <w:rPr>
          <w:rFonts w:hint="eastAsia" w:ascii="Times New Roman" w:hAnsi="Times New Roman" w:eastAsia="宋体"/>
          <w:b w:val="0"/>
          <w:color w:val="000000"/>
          <w:sz w:val="21"/>
        </w:rPr>
        <w:t xml:space="preserve">为链路权重集合。为便于纯软件仿真且避免引入复杂的轨道摄动，本文采用开普勒圆轨道模型解析计算卫星位置，第</w:t>
      </w:r>
      <m:oMath>
        <m:r>
          <m:t>p</m:t>
        </m:r>
      </m:oMath>
      <w:r>
        <w:rPr>
          <w:rFonts w:hint="eastAsia" w:ascii="Times New Roman" w:hAnsi="Times New Roman" w:eastAsia="宋体"/>
          <w:b w:val="0"/>
          <w:color w:val="000000"/>
          <w:sz w:val="21"/>
        </w:rPr>
        <w:t xml:space="preserve">个轨道面第</w:t>
      </w:r>
      <m:oMath>
        <m:r>
          <m:t>s</m:t>
        </m:r>
      </m:oMath>
      <w:r>
        <w:rPr>
          <w:rFonts w:hint="eastAsia" w:ascii="Times New Roman" w:hAnsi="Times New Roman" w:eastAsia="宋体"/>
          <w:b w:val="0"/>
          <w:color w:val="000000"/>
          <w:sz w:val="21"/>
        </w:rPr>
        <w:t xml:space="preserve">颗卫星的相位为</w:t>
      </w:r>
    </w:p>
    <w:p>
      <w:pPr>
        <w:pStyle w:val="BodyText"/>
      </w:pPr>
      <m:oMathPara>
        <m:oMathParaPr>
          <m:jc m:val="center"/>
        </m:oMathParaPr>
        <m:oMath>
          <m:sSub>
            <m:e>
              <m:r>
                <m:t>ϕ</m:t>
              </m:r>
            </m:e>
            <m:sub>
              <m:r>
                <m:t>p</m:t>
              </m:r>
              <m:r>
                <m:rPr>
                  <m:sty m:val="p"/>
                </m:rPr>
                <m:t>,</m:t>
              </m:r>
              <m:r>
                <m:t>s</m:t>
              </m:r>
            </m:sub>
          </m:sSub>
          <m:r>
            <m:rPr>
              <m:sty m:val="p"/>
            </m:rPr>
            <m:t>(</m:t>
          </m:r>
          <m:r>
            <m:t>t</m:t>
          </m:r>
          <m:r>
            <m:rPr>
              <m:sty m:val="p"/>
            </m:rPr>
            <m:t>)</m:t>
          </m:r>
          <m:r>
            <m:rPr>
              <m:sty m:val="p"/>
            </m:rPr>
            <m:t>=</m:t>
          </m:r>
          <m:r>
            <m:t>ω</m:t>
          </m:r>
          <m:r>
            <m:t>t</m:t>
          </m:r>
          <m:r>
            <m:rPr>
              <m:sty m:val="p"/>
            </m:rPr>
            <m:t>+</m:t>
          </m:r>
          <m:f>
            <m:fPr>
              <m:type m:val="bar"/>
            </m:fPr>
            <m:num>
              <m:r>
                <m:t>2</m:t>
              </m:r>
              <m:r>
                <m:t>π</m:t>
              </m:r>
              <m:r>
                <m:t>s</m:t>
              </m:r>
            </m:num>
            <m:den>
              <m:r>
                <m:t>S</m:t>
              </m:r>
            </m:den>
          </m:f>
          <m:r>
            <m:rPr>
              <m:sty m:val="p"/>
            </m:rPr>
            <m:t>+</m:t>
          </m:r>
          <m:f>
            <m:fPr>
              <m:type m:val="bar"/>
            </m:fPr>
            <m:num>
              <m:r>
                <m:t>2</m:t>
              </m:r>
              <m:r>
                <m:t>π</m:t>
              </m:r>
              <m:r>
                <m:t>F</m:t>
              </m:r>
              <m:r>
                <m:t>p</m:t>
              </m:r>
            </m:num>
            <m:den>
              <m:r>
                <m:t>N</m:t>
              </m:r>
            </m:den>
          </m:f>
          <m:r>
            <m:rPr>
              <m:sty m:val="p"/>
            </m:rPr>
            <m:t>,</m:t>
          </m:r>
          <m:r>
            <m:t> </m:t>
          </m:r>
          <m:r>
            <m:t>ω</m:t>
          </m:r>
          <m:r>
            <m:rPr>
              <m:sty m:val="p"/>
            </m:rPr>
            <m:t>=</m:t>
          </m:r>
          <m:rad>
            <m:radPr>
              <m:degHide m:val="on"/>
            </m:radPr>
            <m:deg/>
            <m:e>
              <m:f>
                <m:fPr>
                  <m:type m:val="bar"/>
                </m:fPr>
                <m:num>
                  <m:r>
                    <m:t>μ</m:t>
                  </m:r>
                </m:num>
                <m:den>
                  <m:r>
                    <m:rPr>
                      <m:sty m:val="p"/>
                    </m:rPr>
                    <m:t>(</m:t>
                  </m:r>
                  <m:sSub>
                    <m:e>
                      <m:r>
                        <m:t>R</m:t>
                      </m:r>
                    </m:e>
                    <m:sub>
                      <m:r>
                        <m:t>E</m:t>
                      </m:r>
                    </m:sub>
                  </m:sSub>
                  <m:r>
                    <m:rPr>
                      <m:sty m:val="p"/>
                    </m:rPr>
                    <m:t>+</m:t>
                  </m:r>
                  <m:r>
                    <m:t>h</m:t>
                  </m:r>
                  <m:sSup>
                    <m:e>
                      <m:r>
                        <m:rPr>
                          <m:sty m:val="p"/>
                        </m:rPr>
                        <m:t>)</m:t>
                      </m:r>
                    </m:e>
                    <m:sup>
                      <m:r>
                        <m:t>3</m:t>
                      </m:r>
                    </m:sup>
                  </m:sSup>
                </m:den>
              </m:f>
            </m:e>
          </m:rad>
          <m:r>
            <m:t>  </m:t>
          </m:r>
          <m:r>
            <m:rPr>
              <m:sty m:val="p"/>
            </m:rPr>
            <m:t>(</m:t>
          </m:r>
          <m:r>
            <m:t>2</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其中</w:t>
      </w:r>
      <m:oMath>
        <m:r>
          <m:t>ω</m:t>
        </m:r>
      </m:oMath>
      <w:r>
        <w:rPr>
          <w:rFonts w:hint="eastAsia" w:ascii="Times New Roman" w:hAnsi="Times New Roman" w:eastAsia="宋体"/>
          <w:b w:val="0"/>
          <w:color w:val="000000"/>
          <w:sz w:val="21"/>
        </w:rPr>
        <w:t xml:space="preserve">为轨道角速度，</w:t>
      </w:r>
      <m:oMath>
        <m:r>
          <m:t>μ</m:t>
        </m:r>
      </m:oMath>
      <w:r>
        <w:rPr>
          <w:rFonts w:hint="eastAsia" w:ascii="Times New Roman" w:hAnsi="Times New Roman" w:eastAsia="宋体"/>
          <w:b w:val="0"/>
          <w:color w:val="000000"/>
          <w:sz w:val="21"/>
        </w:rPr>
        <w:t xml:space="preserve">为地球引力常数，</w:t>
      </w:r>
      <m:oMath>
        <m:sSub>
          <m:e>
            <m:r>
              <m:t>R</m:t>
            </m:r>
          </m:e>
          <m:sub>
            <m:r>
              <m:t>E</m:t>
            </m:r>
          </m:sub>
        </m:sSub>
      </m:oMath>
      <w:r>
        <w:rPr>
          <w:rFonts w:hint="eastAsia" w:ascii="Times New Roman" w:hAnsi="Times New Roman" w:eastAsia="宋体"/>
          <w:b w:val="0"/>
          <w:color w:val="000000"/>
          <w:sz w:val="21"/>
        </w:rPr>
        <w:t xml:space="preserve">为地球半径，</w:t>
      </w:r>
      <m:oMath>
        <m:r>
          <m:t>h</m:t>
        </m:r>
      </m:oMath>
      <w:r>
        <w:rPr>
          <w:rFonts w:hint="eastAsia" w:ascii="Times New Roman" w:hAnsi="Times New Roman" w:eastAsia="宋体"/>
          <w:b w:val="0"/>
          <w:color w:val="000000"/>
          <w:sz w:val="21"/>
        </w:rPr>
        <w:t xml:space="preserve">为轨道高度，</w:t>
      </w:r>
      <m:oMath>
        <m:r>
          <m:t>2</m:t>
        </m:r>
        <m:r>
          <m:t>π</m:t>
        </m:r>
        <m:r>
          <m:t>F</m:t>
        </m:r>
        <m:r>
          <m:t>p</m:t>
        </m:r>
        <m:r>
          <m:rPr>
            <m:sty m:val="p"/>
          </m:rPr>
          <m:t>/</m:t>
        </m:r>
        <m:r>
          <m:t>N</m:t>
        </m:r>
      </m:oMath>
      <w:r>
        <w:rPr>
          <w:rFonts w:hint="eastAsia" w:ascii="Times New Roman" w:hAnsi="Times New Roman" w:eastAsia="宋体"/>
          <w:b w:val="0"/>
          <w:color w:val="000000"/>
          <w:sz w:val="21"/>
        </w:rPr>
        <w:t xml:space="preserve">为相邻轨道面的相位偏移。经轨道倾角与升交点赤经的旋转变换后，可得卫星在地心惯性系中的三维坐标</w:t>
      </w:r>
      <m:oMath>
        <m:sSub>
          <m:e>
            <m:r>
              <m:rPr>
                <m:sty m:val="bi"/>
              </m:rPr>
              <m:t>r</m:t>
            </m:r>
          </m:e>
          <m:sub>
            <m:r>
              <m:t>i</m:t>
            </m:r>
          </m:sub>
        </m:sSub>
        <m:r>
          <m:rPr>
            <m:sty m:val="p"/>
          </m:rPr>
          <m:t>(</m:t>
        </m:r>
        <m:r>
          <m:t>t</m:t>
        </m:r>
        <m:r>
          <m:rPr>
            <m:sty m:val="p"/>
          </m:rPr>
          <m:t>)</m:t>
        </m:r>
      </m:oMath>
      <w:r>
        <w:rPr>
          <w:rFonts w:hint="eastAsia" w:ascii="Times New Roman" w:hAnsi="Times New Roman" w:eastAsia="宋体"/>
          <w:b w:val="0"/>
          <w:color w:val="000000"/>
          <w:sz w:val="21"/>
        </w:rPr>
        <w:t xml:space="preserve">，链路</w:t>
      </w:r>
      <m:oMath>
        <m:r>
          <m:rPr>
            <m:sty m:val="p"/>
          </m:rPr>
          <m:t>(</m:t>
        </m:r>
        <m:r>
          <m:t>i</m:t>
        </m:r>
        <m:r>
          <m:rPr>
            <m:sty m:val="p"/>
          </m:rPr>
          <m:t>,</m:t>
        </m:r>
        <m:r>
          <m:t>j</m:t>
        </m:r>
        <m:r>
          <m:rPr>
            <m:sty m:val="p"/>
          </m:rPr>
          <m:t>)</m:t>
        </m:r>
      </m:oMath>
      <w:r>
        <w:rPr>
          <w:rFonts w:hint="eastAsia" w:ascii="Times New Roman" w:hAnsi="Times New Roman" w:eastAsia="宋体"/>
          <w:b w:val="0"/>
          <w:color w:val="000000"/>
          <w:sz w:val="21"/>
        </w:rPr>
        <w:t xml:space="preserve">的几何距离为</w:t>
      </w:r>
      <m:oMath>
        <m:sSub>
          <m:e>
            <m:r>
              <m:t>ℓ</m:t>
            </m:r>
          </m:e>
          <m:sub>
            <m:r>
              <m:t>i</m:t>
            </m:r>
            <m:r>
              <m:t>j</m:t>
            </m:r>
          </m:sub>
        </m:sSub>
        <m:r>
          <m:rPr>
            <m:sty m:val="p"/>
          </m:rPr>
          <m:t>(</m:t>
        </m:r>
        <m:r>
          <m:t>t</m:t>
        </m:r>
        <m:r>
          <m:rPr>
            <m:sty m:val="p"/>
          </m:rPr>
          <m:t>)</m:t>
        </m:r>
        <m:r>
          <m:rPr>
            <m:sty m:val="p"/>
          </m:rPr>
          <m:t>=</m:t>
        </m:r>
        <m:d>
          <m:dPr>
            <m:begChr m:val="‖"/>
            <m:sepChr m:val=""/>
            <m:endChr m:val="‖"/>
            <m:grow/>
          </m:dPr>
          <m:e>
            <m:sSub>
              <m:e>
                <m:r>
                  <m:rPr>
                    <m:sty m:val="bi"/>
                  </m:rPr>
                  <m:t>r</m:t>
                </m:r>
              </m:e>
              <m:sub>
                <m:r>
                  <m:t>i</m:t>
                </m:r>
              </m:sub>
            </m:sSub>
            <m:r>
              <m:rPr>
                <m:sty m:val="p"/>
              </m:rPr>
              <m:t>(</m:t>
            </m:r>
            <m:r>
              <m:t>t</m:t>
            </m:r>
            <m:r>
              <m:rPr>
                <m:sty m:val="p"/>
              </m:rPr>
              <m:t>)</m:t>
            </m:r>
            <m:r>
              <m:rPr>
                <m:sty m:val="p"/>
              </m:rPr>
              <m:t>−</m:t>
            </m:r>
            <m:sSub>
              <m:e>
                <m:r>
                  <m:rPr>
                    <m:sty m:val="bi"/>
                  </m:rPr>
                  <m:t>r</m:t>
                </m:r>
              </m:e>
              <m:sub>
                <m:r>
                  <m:t>j</m:t>
                </m:r>
              </m:sub>
            </m:sSub>
            <m:r>
              <m:rPr>
                <m:sty m:val="p"/>
              </m:rPr>
              <m:t>(</m:t>
            </m:r>
            <m:r>
              <m:t>t</m:t>
            </m:r>
            <m:r>
              <m:rPr>
                <m:sty m:val="p"/>
              </m:rPr>
              <m:t>)</m:t>
            </m:r>
          </m:e>
        </m:d>
      </m:oMath>
      <w:r>
        <w:rPr>
          <w:rFonts w:ascii="Times New Roman" w:hAnsi="Times New Roman" w:eastAsia="宋体"/>
          <w:b w:val="0"/>
          <w:color w:val="000000"/>
          <w:sz w:val="21"/>
        </w:rPr>
        <w:t xml:space="preserve">。</w:t>
      </w:r>
    </w:p>
    <w:bookmarkEnd w:id="11"/>
    <w:bookmarkStart w:id="12" w:name="仿真场景与业务模型"/>
    <w:p>
      <w:pPr>
        <w:pStyle w:val="Heading2"/>
        <w:spacing w:lineRule="auto" w:line="360"/>
      </w:pPr>
      <w:r>
        <w:rPr>
          <w:rFonts w:hint="eastAsia" w:ascii="Arial" w:hAnsi="Arial" w:eastAsia="黑体"/>
          <w:b/>
          <w:color w:val="000000"/>
          <w:sz w:val="24"/>
        </w:rPr>
        <w:t xml:space="preserve">仿真场景与业务模型</w:t>
      </w:r>
    </w:p>
    <w:p>
      <w:pPr>
        <w:pStyle w:val="FirstParagraph"/>
        <w:spacing w:lineRule="auto" w:line="360"/>
        <w:jc w:val="both"/>
        <w:ind w:firstLineChars="200"/>
      </w:pPr>
      <w:r>
        <w:rPr>
          <w:rFonts w:hint="eastAsia" w:ascii="Times New Roman" w:hAnsi="Times New Roman" w:eastAsia="宋体"/>
          <w:b w:val="0"/>
          <w:color w:val="000000"/>
          <w:sz w:val="21"/>
        </w:rPr>
        <w:t xml:space="preserve">本文的仿真场景如图1所示。网络由</w:t>
      </w:r>
      <m:oMath>
        <m:r>
          <m:t>N</m:t>
        </m:r>
      </m:oMath>
      <w:r>
        <w:rPr>
          <w:rFonts w:hint="eastAsia" w:ascii="Times New Roman" w:hAnsi="Times New Roman" w:eastAsia="宋体"/>
          <w:b w:val="0"/>
          <w:color w:val="000000"/>
          <w:sz w:val="21"/>
        </w:rPr>
        <w:t xml:space="preserve">颗卫星构成，每颗卫星既是接入节点也是转发节点：它汇聚其覆盖区域内地面终端的业务并作为业务的源，同时也作为其他业务的目的与中继。因此，本文将一条业务流抽象为一个三元组</w:t>
      </w:r>
      <m:oMath>
        <m:r>
          <m:rPr>
            <m:sty m:val="p"/>
          </m:rPr>
          <m:t>(</m:t>
        </m:r>
        <m:r>
          <m:t>s</m:t>
        </m:r>
        <m:r>
          <m:rPr>
            <m:sty m:val="p"/>
          </m:rPr>
          <m:t>,</m:t>
        </m:r>
        <m:r>
          <m:t>d</m:t>
        </m:r>
        <m:r>
          <m:rPr>
            <m:sty m:val="p"/>
          </m:rPr>
          <m:t>,</m:t>
        </m:r>
        <m:r>
          <m:t>c</m:t>
        </m:r>
        <m:r>
          <m:rPr>
            <m:sty m:val="p"/>
          </m:rPr>
          <m:t>)</m:t>
        </m:r>
      </m:oMath>
      <w:r>
        <w:rPr>
          <w:rFonts w:hint="eastAsia" w:ascii="Times New Roman" w:hAnsi="Times New Roman" w:eastAsia="宋体"/>
          <w:b w:val="0"/>
          <w:color w:val="000000"/>
          <w:sz w:val="21"/>
        </w:rPr>
        <w:t xml:space="preserve">，其中</w:t>
      </w:r>
      <m:oMath>
        <m:r>
          <m:t>s</m:t>
        </m:r>
      </m:oMath>
      <w:r>
        <w:rPr>
          <w:rFonts w:hint="eastAsia" w:ascii="Times New Roman" w:hAnsi="Times New Roman" w:eastAsia="宋体"/>
          <w:b w:val="0"/>
          <w:color w:val="000000"/>
          <w:sz w:val="21"/>
        </w:rPr>
        <w:t xml:space="preserve">为源卫星、</w:t>
      </w:r>
      <m:oMath>
        <m:r>
          <m:t>d</m:t>
        </m:r>
      </m:oMath>
      <w:r>
        <w:rPr>
          <w:rFonts w:hint="eastAsia" w:ascii="Times New Roman" w:hAnsi="Times New Roman" w:eastAsia="宋体"/>
          <w:b w:val="0"/>
          <w:color w:val="000000"/>
          <w:sz w:val="21"/>
        </w:rPr>
        <w:t xml:space="preserve">为目的卫星、</w:t>
      </w:r>
      <m:oMath>
        <m:r>
          <m:t>c</m:t>
        </m:r>
        <m:r>
          <m:rPr>
            <m:sty m:val="p"/>
          </m:rPr>
          <m:t>∈</m:t>
        </m:r>
        <m:r>
          <m:rPr>
            <m:sty m:val="p"/>
          </m:rPr>
          <m:t>{</m:t>
        </m:r>
        <m:r>
          <m:t>A</m:t>
        </m:r>
        <m:r>
          <m:rPr>
            <m:sty m:val="p"/>
          </m:rPr>
          <m:t>,</m:t>
        </m:r>
        <m:r>
          <m:t>B</m:t>
        </m:r>
        <m:r>
          <m:rPr>
            <m:sty m:val="p"/>
          </m:rPr>
          <m:t>,</m:t>
        </m:r>
        <m:r>
          <m:t>C</m:t>
        </m:r>
        <m:r>
          <m:rPr>
            <m:sty m:val="p"/>
          </m:rPr>
          <m:t>}</m:t>
        </m:r>
      </m:oMath>
      <w:r>
        <w:rPr>
          <w:rFonts w:hint="eastAsia" w:ascii="Times New Roman" w:hAnsi="Times New Roman" w:eastAsia="宋体"/>
          <w:b w:val="0"/>
          <w:color w:val="000000"/>
          <w:sz w:val="21"/>
        </w:rPr>
        <w:t xml:space="preserve">为业务类别；源、目的卫星均从网络节点中选取，业务类别按表2所列占比抽样。</w:t>
      </w:r>
    </w:p>
    <w:p>
      <w:pPr>
        <w:jc w:val="center"/>
      </w:pPr>
      <w:r>
        <w:drawing>
          <wp:inline>
            <wp:extent cx="3600000" cy="2466885"/>
            <wp:docPr id="1" name="Picture 1"/>
            <wp:cNvGraphicFramePr>
              <a:graphicFrameLocks noChangeAspect="1"/>
            </wp:cNvGraphicFramePr>
            <a:graphic>
              <a:graphicData uri="http://schemas.openxmlformats.org/drawingml/2006/picture">
                <pic:pic>
                  <pic:nvPicPr>
                    <pic:cNvPr id="0" name="fig_scenario.png"/>
                    <pic:cNvPicPr/>
                  </pic:nvPicPr>
                  <pic:blipFill>
                    <a:blip r:embed="rId11"/>
                    <a:stretch>
                      <a:fillRect/>
                    </a:stretch>
                  </pic:blipFill>
                  <pic:spPr>
                    <a:xfrm>
                      <a:off x="0" y="0"/>
                      <a:ext cx="3600000" cy="2466885"/>
                    </a:xfrm>
                    <a:prstGeom prst="rect"/>
                  </pic:spPr>
                </pic:pic>
              </a:graphicData>
            </a:graphic>
          </wp:inline>
        </w:drawing>
      </w:r>
    </w:p>
    <w:p>
      <w:pPr>
        <w:jc w:val="center"/>
      </w:pPr>
      <w:r>
        <w:rPr>
          <w:rFonts w:ascii="Times New Roman" w:hAnsi="Times New Roman" w:eastAsia="黑体"/>
          <w:b w:val="0"/>
          <w:color w:val="000000"/>
          <w:sz w:val="18"/>
        </w:rPr>
        <w:t>图1 仿真场景与业务流转示意</w:t>
      </w:r>
    </w:p>
    <w:p>
      <w:pPr>
        <w:pStyle w:val="BodyText"/>
        <w:spacing w:lineRule="auto" w:line="360"/>
        <w:jc w:val="both"/>
        <w:ind w:firstLineChars="200"/>
      </w:pPr>
      <w:r>
        <w:rPr>
          <w:rFonts w:hint="eastAsia" w:ascii="Times New Roman" w:hAnsi="Times New Roman" w:eastAsia="宋体"/>
          <w:b w:val="0"/>
          <w:color w:val="000000"/>
          <w:sz w:val="21"/>
        </w:rPr>
        <w:t xml:space="preserve">业务采用逐跳转发的方式在网络中传输：数据流从源卫星</w:t>
      </w:r>
      <m:oMath>
        <m:r>
          <m:t>s</m:t>
        </m:r>
      </m:oMath>
      <w:r>
        <w:rPr>
          <w:rFonts w:hint="eastAsia" w:ascii="Times New Roman" w:hAnsi="Times New Roman" w:eastAsia="宋体"/>
          <w:b w:val="0"/>
          <w:color w:val="000000"/>
          <w:sz w:val="21"/>
        </w:rPr>
        <w:t xml:space="preserve">出发，在每一个中继卫星上由路由策略从其四个+Grid邻居中选择下一跳，如此逐跳前进直至到达目的卫星</w:t>
      </w:r>
      <m:oMath>
        <m:r>
          <m:t>d</m:t>
        </m:r>
      </m:oMath>
      <w:r>
        <w:rPr>
          <w:rFonts w:hint="eastAsia" w:ascii="Times New Roman" w:hAnsi="Times New Roman" w:eastAsia="宋体"/>
          <w:b w:val="0"/>
          <w:color w:val="000000"/>
          <w:sz w:val="21"/>
        </w:rPr>
        <w:t xml:space="preserve">。图1中蓝色方块与绿色星形分别表示某条业务流的源与目的卫星，黑色折线表示其逐跳中继路径。</w:t>
      </w:r>
    </w:p>
    <w:p>
      <w:pPr>
        <w:pStyle w:val="BodyText"/>
        <w:spacing w:lineRule="auto" w:line="360"/>
        <w:jc w:val="both"/>
        <w:ind w:firstLineChars="200"/>
      </w:pPr>
      <w:r>
        <w:rPr>
          <w:rFonts w:hint="eastAsia" w:ascii="Times New Roman" w:hAnsi="Times New Roman" w:eastAsia="宋体"/>
          <w:b w:val="0"/>
          <w:color w:val="000000"/>
          <w:sz w:val="21"/>
        </w:rPr>
        <w:t xml:space="preserve">为刻画网络负载与拥塞，本文将多条业务流依次注入网络，每条流沿其路径占用相应链路的带宽资源，后注入的业务流将感知到已有业务造成的拥塞。业务流的源目的分布分为两种：一是全网随机分布，对应拥塞稀疏的常规场景；二是热点汇聚分布，即大部分业务流的目的集中于少数几颗卫星(如图1中红色节点，对应业务密集区域)，从而形成空间聚集的成片拥塞区，用于考察严重拥塞下的路由性能。通过调节注入业务流的数量，即可得到从轻载到重载的连续负载梯度。</w:t>
      </w:r>
    </w:p>
    <w:bookmarkEnd w:id="12"/>
    <w:bookmarkStart w:id="13" w:name="链路拥塞模型"/>
    <w:p>
      <w:pPr>
        <w:pStyle w:val="Heading2"/>
        <w:spacing w:lineRule="auto" w:line="360"/>
      </w:pPr>
      <w:r>
        <w:rPr>
          <w:rFonts w:hint="eastAsia" w:ascii="Arial" w:hAnsi="Arial" w:eastAsia="黑体"/>
          <w:b/>
          <w:color w:val="000000"/>
          <w:sz w:val="24"/>
        </w:rPr>
        <w:t xml:space="preserve">链路拥塞模型</w:t>
      </w:r>
    </w:p>
    <w:p>
      <w:pPr>
        <w:pStyle w:val="FirstParagraph"/>
        <w:spacing w:lineRule="auto" w:line="360"/>
        <w:jc w:val="both"/>
        <w:ind w:firstLineChars="200"/>
      </w:pPr>
      <w:r>
        <w:rPr>
          <w:rFonts w:hint="eastAsia" w:ascii="Times New Roman" w:hAnsi="Times New Roman" w:eastAsia="宋体"/>
          <w:b w:val="0"/>
          <w:color w:val="000000"/>
          <w:sz w:val="21"/>
        </w:rPr>
        <w:t xml:space="preserve">拥塞是本文路由决策所要规避的核心对象，因此需先对链路拥塞进行建模。只有显式刻画拥塞，最短路径的”热点”缺陷与拥塞感知路由的优势才能被真实地反映出来。设链路</w:t>
      </w:r>
      <m:oMath>
        <m:r>
          <m:rPr>
            <m:sty m:val="p"/>
          </m:rPr>
          <m:t>(</m:t>
        </m:r>
        <m:r>
          <m:t>i</m:t>
        </m:r>
        <m:r>
          <m:rPr>
            <m:sty m:val="p"/>
          </m:rPr>
          <m:t>,</m:t>
        </m:r>
        <m:r>
          <m:t>j</m:t>
        </m:r>
        <m:r>
          <m:rPr>
            <m:sty m:val="p"/>
          </m:rPr>
          <m:t>)</m:t>
        </m:r>
      </m:oMath>
      <w:r>
        <w:rPr>
          <w:rFonts w:hint="eastAsia" w:ascii="Times New Roman" w:hAnsi="Times New Roman" w:eastAsia="宋体"/>
          <w:b w:val="0"/>
          <w:color w:val="000000"/>
          <w:sz w:val="21"/>
        </w:rPr>
        <w:t xml:space="preserve">容量为</w:t>
      </w:r>
      <m:oMath>
        <m:sSub>
          <m:e>
            <m:r>
              <m:t>C</m:t>
            </m:r>
          </m:e>
          <m:sub>
            <m:r>
              <m:t>i</m:t>
            </m:r>
            <m:r>
              <m:t>j</m:t>
            </m:r>
          </m:sub>
        </m:sSub>
      </m:oMath>
      <w:r>
        <w:rPr>
          <w:rFonts w:hint="eastAsia" w:ascii="Times New Roman" w:hAnsi="Times New Roman" w:eastAsia="宋体"/>
          <w:b w:val="0"/>
          <w:color w:val="000000"/>
          <w:sz w:val="21"/>
        </w:rPr>
        <w:t xml:space="preserve">，其上承载的业务流总速率为</w:t>
      </w:r>
      <m:oMath>
        <m:sSub>
          <m:e>
            <m:r>
              <m:t>ρ</m:t>
            </m:r>
          </m:e>
          <m:sub>
            <m:r>
              <m:t>i</m:t>
            </m:r>
            <m:r>
              <m:t>j</m:t>
            </m:r>
          </m:sub>
        </m:sSub>
      </m:oMath>
      <w:r>
        <w:rPr>
          <w:rFonts w:hint="eastAsia" w:ascii="Times New Roman" w:hAnsi="Times New Roman" w:eastAsia="宋体"/>
          <w:b w:val="0"/>
          <w:color w:val="000000"/>
          <w:sz w:val="21"/>
        </w:rPr>
        <w:t xml:space="preserve">，则链路利用率为</w:t>
      </w:r>
    </w:p>
    <w:p>
      <w:pPr>
        <w:pStyle w:val="BodyText"/>
      </w:pPr>
      <m:oMathPara>
        <m:oMathParaPr>
          <m:jc m:val="center"/>
        </m:oMathParaPr>
        <m:oMath>
          <m:sSub>
            <m:e>
              <m:r>
                <m:t>u</m:t>
              </m:r>
            </m:e>
            <m:sub>
              <m:r>
                <m:t>i</m:t>
              </m:r>
              <m:r>
                <m:t>j</m:t>
              </m:r>
            </m:sub>
          </m:sSub>
          <m:r>
            <m:rPr>
              <m:sty m:val="p"/>
            </m:rPr>
            <m:t>=</m:t>
          </m:r>
          <m:f>
            <m:fPr>
              <m:type m:val="bar"/>
            </m:fPr>
            <m:num>
              <m:sSub>
                <m:e>
                  <m:r>
                    <m:t>ρ</m:t>
                  </m:r>
                </m:e>
                <m:sub>
                  <m:r>
                    <m:t>i</m:t>
                  </m:r>
                  <m:r>
                    <m:t>j</m:t>
                  </m:r>
                </m:sub>
              </m:sSub>
            </m:num>
            <m:den>
              <m:sSub>
                <m:e>
                  <m:r>
                    <m:t>C</m:t>
                  </m:r>
                </m:e>
                <m:sub>
                  <m:r>
                    <m:t>i</m:t>
                  </m:r>
                  <m:r>
                    <m:t>j</m:t>
                  </m:r>
                </m:sub>
              </m:sSub>
            </m:den>
          </m:f>
          <m:r>
            <m:t>  </m:t>
          </m:r>
          <m:r>
            <m:rPr>
              <m:sty m:val="p"/>
            </m:rPr>
            <m:t>(</m:t>
          </m:r>
          <m:r>
            <m:t>3</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链路时延由传播时延与排队时延两部分构成。传播时延为</w:t>
      </w:r>
      <m:oMath>
        <m:sSubSup>
          <m:e>
            <m:r>
              <m:t>d</m:t>
            </m:r>
          </m:e>
          <m:sub>
            <m:r>
              <m:t>i</m:t>
            </m:r>
            <m:r>
              <m:t>j</m:t>
            </m:r>
          </m:sub>
          <m:sup>
            <m:r>
              <m:t>p</m:t>
            </m:r>
            <m:r>
              <m:t>r</m:t>
            </m:r>
            <m:r>
              <m:t>o</m:t>
            </m:r>
            <m:r>
              <m:t>p</m:t>
            </m:r>
          </m:sup>
        </m:sSubSup>
        <m:r>
          <m:rPr>
            <m:sty m:val="p"/>
          </m:rPr>
          <m:t>=</m:t>
        </m:r>
        <m:sSub>
          <m:e>
            <m:r>
              <m:t>ℓ</m:t>
            </m:r>
          </m:e>
          <m:sub>
            <m:r>
              <m:t>i</m:t>
            </m:r>
            <m:r>
              <m:t>j</m:t>
            </m:r>
          </m:sub>
        </m:sSub>
        <m:r>
          <m:rPr>
            <m:sty m:val="p"/>
          </m:rPr>
          <m:t>/</m:t>
        </m:r>
        <m:r>
          <m:t>c</m:t>
        </m:r>
      </m:oMath>
      <w:r>
        <w:rPr>
          <w:rFonts w:ascii="Times New Roman" w:hAnsi="Times New Roman" w:eastAsia="宋体"/>
          <w:b w:val="0"/>
          <w:color w:val="000000"/>
          <w:sz w:val="21"/>
        </w:rPr>
        <w:t xml:space="preserve">(</w:t>
      </w:r>
      <m:oMath>
        <m:r>
          <m:t>c</m:t>
        </m:r>
      </m:oMath>
      <w:r>
        <w:rPr>
          <w:rFonts w:hint="eastAsia" w:ascii="Times New Roman" w:hAnsi="Times New Roman" w:eastAsia="宋体"/>
          <w:b w:val="0"/>
          <w:color w:val="000000"/>
          <w:sz w:val="21"/>
        </w:rPr>
        <w:t xml:space="preserve">为光速)；排队时延采用M/M/1排队模型近似，其平均等待时间随利用率升高而急剧增大，故链路总时延为</w:t>
      </w:r>
    </w:p>
    <w:p>
      <w:pPr>
        <w:pStyle w:val="BodyText"/>
      </w:pPr>
      <m:oMathPara>
        <m:oMathParaPr>
          <m:jc m:val="center"/>
        </m:oMathParaPr>
        <m:oMath>
          <m:sSub>
            <m:e>
              <m:r>
                <m:t>d</m:t>
              </m:r>
            </m:e>
            <m:sub>
              <m:r>
                <m:t>i</m:t>
              </m:r>
              <m:r>
                <m:t>j</m:t>
              </m:r>
            </m:sub>
          </m:sSub>
          <m:r>
            <m:rPr>
              <m:sty m:val="p"/>
            </m:rPr>
            <m:t>=</m:t>
          </m:r>
          <m:sSubSup>
            <m:e>
              <m:r>
                <m:t>d</m:t>
              </m:r>
            </m:e>
            <m:sub>
              <m:r>
                <m:t>i</m:t>
              </m:r>
              <m:r>
                <m:t>j</m:t>
              </m:r>
            </m:sub>
            <m:sup>
              <m:r>
                <m:t>p</m:t>
              </m:r>
              <m:r>
                <m:t>r</m:t>
              </m:r>
              <m:r>
                <m:t>o</m:t>
              </m:r>
              <m:r>
                <m:t>p</m:t>
              </m:r>
            </m:sup>
          </m:sSubSup>
          <m:d>
            <m:dPr>
              <m:begChr m:val="("/>
              <m:sepChr m:val=""/>
              <m:endChr m:val=")"/>
              <m:grow/>
            </m:dPr>
            <m:e>
              <m:r>
                <m:t>1</m:t>
              </m:r>
              <m:r>
                <m:rPr>
                  <m:sty m:val="p"/>
                </m:rPr>
                <m:t>+</m:t>
              </m:r>
              <m:f>
                <m:fPr>
                  <m:type m:val="bar"/>
                </m:fPr>
                <m:num>
                  <m:sSub>
                    <m:e>
                      <m:r>
                        <m:t>u</m:t>
                      </m:r>
                    </m:e>
                    <m:sub>
                      <m:r>
                        <m:t>i</m:t>
                      </m:r>
                      <m:r>
                        <m:t>j</m:t>
                      </m:r>
                    </m:sub>
                  </m:sSub>
                </m:num>
                <m:den>
                  <m:r>
                    <m:t>1</m:t>
                  </m:r>
                  <m:r>
                    <m:rPr>
                      <m:sty m:val="p"/>
                    </m:rPr>
                    <m:t>−</m:t>
                  </m:r>
                  <m:sSub>
                    <m:e>
                      <m:r>
                        <m:t>u</m:t>
                      </m:r>
                    </m:e>
                    <m:sub>
                      <m:r>
                        <m:t>i</m:t>
                      </m:r>
                      <m:r>
                        <m:t>j</m:t>
                      </m:r>
                    </m:sub>
                  </m:sSub>
                </m:den>
              </m:f>
            </m:e>
          </m:d>
          <m:r>
            <m:t>  </m:t>
          </m:r>
          <m:r>
            <m:rPr>
              <m:sty m:val="p"/>
            </m:rPr>
            <m:t>(</m:t>
          </m:r>
          <m:r>
            <m:t>4</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链路丢包主要由队列溢出引起，采用队列容量为</w:t>
      </w:r>
      <m:oMath>
        <m:r>
          <m:t>K</m:t>
        </m:r>
      </m:oMath>
      <w:r>
        <w:rPr>
          <w:rFonts w:hint="eastAsia" w:ascii="Times New Roman" w:hAnsi="Times New Roman" w:eastAsia="宋体"/>
          <w:b w:val="0"/>
          <w:color w:val="000000"/>
          <w:sz w:val="21"/>
        </w:rPr>
        <w:t xml:space="preserve">的M/M/1/K模型，其丢包率为</w:t>
      </w:r>
    </w:p>
    <w:p>
      <w:pPr>
        <w:pStyle w:val="BodyText"/>
      </w:pPr>
      <m:oMathPara>
        <m:oMathParaPr>
          <m:jc m:val="center"/>
        </m:oMathParaPr>
        <m:oMath>
          <m:sSub>
            <m:e>
              <m:r>
                <m:t>p</m:t>
              </m:r>
            </m:e>
            <m:sub>
              <m:r>
                <m:t>i</m:t>
              </m:r>
              <m:r>
                <m:t>j</m:t>
              </m:r>
            </m:sub>
          </m:sSub>
          <m:r>
            <m:rPr>
              <m:sty m:val="p"/>
            </m:rPr>
            <m:t>=</m:t>
          </m:r>
          <m:f>
            <m:fPr>
              <m:type m:val="bar"/>
            </m:fPr>
            <m:num>
              <m:r>
                <m:rPr>
                  <m:sty m:val="p"/>
                </m:rPr>
                <m:t>(</m:t>
              </m:r>
              <m:r>
                <m:t>1</m:t>
              </m:r>
              <m:r>
                <m:rPr>
                  <m:sty m:val="p"/>
                </m:rPr>
                <m:t>−</m:t>
              </m:r>
              <m:sSub>
                <m:e>
                  <m:r>
                    <m:t>u</m:t>
                  </m:r>
                </m:e>
                <m:sub>
                  <m:r>
                    <m:t>i</m:t>
                  </m:r>
                  <m:r>
                    <m:t>j</m:t>
                  </m:r>
                </m:sub>
              </m:sSub>
              <m:r>
                <m:rPr>
                  <m:sty m:val="p"/>
                </m:rPr>
                <m:t>)</m:t>
              </m:r>
              <m:r>
                <m:t> </m:t>
              </m:r>
              <m:sSubSup>
                <m:e>
                  <m:r>
                    <m:t>u</m:t>
                  </m:r>
                </m:e>
                <m:sub>
                  <m:r>
                    <m:t>i</m:t>
                  </m:r>
                  <m:r>
                    <m:t>j</m:t>
                  </m:r>
                </m:sub>
                <m:sup>
                  <m:r>
                    <m:t>K</m:t>
                  </m:r>
                </m:sup>
              </m:sSubSup>
            </m:num>
            <m:den>
              <m:r>
                <m:t>1</m:t>
              </m:r>
              <m:r>
                <m:rPr>
                  <m:sty m:val="p"/>
                </m:rPr>
                <m:t>−</m:t>
              </m:r>
              <m:sSubSup>
                <m:e>
                  <m:r>
                    <m:t>u</m:t>
                  </m:r>
                </m:e>
                <m:sub>
                  <m:r>
                    <m:t>i</m:t>
                  </m:r>
                  <m:r>
                    <m:t>j</m:t>
                  </m:r>
                </m:sub>
                <m:sup>
                  <m:r>
                    <m:t>K</m:t>
                  </m:r>
                  <m:r>
                    <m:rPr>
                      <m:sty m:val="p"/>
                    </m:rPr>
                    <m:t>+</m:t>
                  </m:r>
                  <m:r>
                    <m:t>1</m:t>
                  </m:r>
                </m:sup>
              </m:sSubSup>
            </m:den>
          </m:f>
          <m:r>
            <m:t>  </m:t>
          </m:r>
          <m:r>
            <m:rPr>
              <m:sty m:val="p"/>
            </m:rPr>
            <m:t>(</m:t>
          </m:r>
          <m:r>
            <m:t>5</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由式(4)与式(5)可见，当链路利用率</w:t>
      </w:r>
      <m:oMath>
        <m:sSub>
          <m:e>
            <m:r>
              <m:t>u</m:t>
            </m:r>
          </m:e>
          <m:sub>
            <m:r>
              <m:t>i</m:t>
            </m:r>
            <m:r>
              <m:t>j</m:t>
            </m:r>
          </m:sub>
        </m:sSub>
      </m:oMath>
      <w:r>
        <w:rPr>
          <w:rFonts w:hint="eastAsia" w:ascii="Times New Roman" w:hAnsi="Times New Roman" w:eastAsia="宋体"/>
          <w:b w:val="0"/>
          <w:color w:val="000000"/>
          <w:sz w:val="21"/>
        </w:rPr>
        <w:t xml:space="preserve">趋近于1时，时延与丢包率均急剧恶化。因此，感知并规避高利用率链路是保障QoS的关键，这正是本文路由设计的出发点。</w:t>
      </w:r>
    </w:p>
    <w:bookmarkEnd w:id="13"/>
    <w:bookmarkStart w:id="14" w:name="多业务qos模型"/>
    <w:p>
      <w:pPr>
        <w:pStyle w:val="Heading2"/>
        <w:spacing w:lineRule="auto" w:line="360"/>
      </w:pPr>
      <w:r>
        <w:rPr>
          <w:rFonts w:hint="eastAsia" w:ascii="Arial" w:hAnsi="Arial" w:eastAsia="黑体"/>
          <w:b/>
          <w:color w:val="000000"/>
          <w:sz w:val="24"/>
        </w:rPr>
        <w:t xml:space="preserve">多业务QoS模型</w:t>
      </w:r>
    </w:p>
    <w:p>
      <w:pPr>
        <w:pStyle w:val="FirstParagraph"/>
        <w:spacing w:lineRule="auto" w:line="360"/>
        <w:jc w:val="both"/>
        <w:ind w:firstLineChars="200"/>
      </w:pPr>
      <w:r>
        <w:rPr>
          <w:rFonts w:hint="eastAsia" w:ascii="Times New Roman" w:hAnsi="Times New Roman" w:eastAsia="宋体"/>
          <w:b w:val="0"/>
          <w:color w:val="000000"/>
          <w:sz w:val="21"/>
        </w:rPr>
        <w:t xml:space="preserve">本文考虑三类差异化业务，其流量特征与QoS需求如表2所示，业务划分参照实际星地网络中典型业务的差异化需求</w:t>
      </w:r>
      <w:r>
        <w:rPr>
          <w:rFonts w:ascii="Times New Roman" w:hAnsi="Times New Roman" w:eastAsia="宋体"/>
          <w:b w:val="0"/>
          <w:color w:val="000000"/>
          <w:sz w:val="15"/>
          <w:vertAlign w:val="superscript"/>
        </w:rPr>
        <w:t xml:space="preserve">[7]</w:t>
      </w:r>
      <w:r>
        <w:rPr>
          <w:rFonts w:hint="eastAsia" w:ascii="Times New Roman" w:hAnsi="Times New Roman" w:eastAsia="宋体"/>
          <w:b w:val="0"/>
          <w:color w:val="000000"/>
          <w:sz w:val="21"/>
        </w:rPr>
        <w:t xml:space="preserve">。给定路径</w:t>
      </w:r>
      <m:oMath>
        <m:r>
          <m:t>p</m:t>
        </m:r>
      </m:oMath>
      <w:r>
        <w:rPr>
          <w:rFonts w:hint="eastAsia" w:ascii="Times New Roman" w:hAnsi="Times New Roman" w:eastAsia="宋体"/>
          <w:b w:val="0"/>
          <w:color w:val="000000"/>
          <w:sz w:val="21"/>
        </w:rPr>
        <w:t xml:space="preserve">，其端到端QoS指标定义为</w:t>
      </w:r>
    </w:p>
    <w:p>
      <w:pPr>
        <w:pStyle w:val="BodyText"/>
      </w:pPr>
      <m:oMathPara>
        <m:oMathParaPr>
          <m:jc m:val="center"/>
        </m:oMathParaPr>
        <m:oMath>
          <m:r>
            <m:t>D</m:t>
          </m:r>
          <m:r>
            <m:rPr>
              <m:sty m:val="p"/>
            </m:rPr>
            <m:t>(</m:t>
          </m:r>
          <m:r>
            <m:t>p</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sSub>
                <m:e>
                  <m:r>
                    <m:t>d</m:t>
                  </m:r>
                </m:e>
                <m:sub>
                  <m:r>
                    <m:t>i</m:t>
                  </m:r>
                  <m:r>
                    <m:t>j</m:t>
                  </m:r>
                </m:sub>
              </m:sSub>
            </m:e>
          </m:nary>
          <m:r>
            <m:rPr>
              <m:sty m:val="p"/>
            </m:rPr>
            <m:t>,</m:t>
          </m:r>
          <m:r>
            <m:t> </m:t>
          </m:r>
          <m:r>
            <m:t>B</m:t>
          </m:r>
          <m:r>
            <m:rPr>
              <m:sty m:val="p"/>
            </m:rPr>
            <m:t>(</m:t>
          </m:r>
          <m:r>
            <m:t>p</m:t>
          </m:r>
          <m:r>
            <m:rPr>
              <m:sty m:val="p"/>
            </m:rPr>
            <m:t>)</m:t>
          </m:r>
          <m:r>
            <m:rPr>
              <m:sty m:val="p"/>
            </m:rPr>
            <m:t>=</m:t>
          </m:r>
          <m:limLow>
            <m:e>
              <m:r>
                <m:rPr>
                  <m:sty m:val="p"/>
                </m:rPr>
                <m:t>min</m:t>
              </m:r>
            </m:e>
            <m:lim>
              <m:r>
                <m:rPr>
                  <m:sty m:val="p"/>
                </m:rPr>
                <m:t>(</m:t>
              </m:r>
              <m:r>
                <m:t>i</m:t>
              </m:r>
              <m:r>
                <m:rPr>
                  <m:sty m:val="p"/>
                </m:rPr>
                <m:t>,</m:t>
              </m:r>
              <m:r>
                <m:t>j</m:t>
              </m:r>
              <m:r>
                <m:rPr>
                  <m:sty m:val="p"/>
                </m:rPr>
                <m:t>)</m:t>
              </m:r>
              <m:r>
                <m:rPr>
                  <m:sty m:val="p"/>
                </m:rPr>
                <m:t>∈</m:t>
              </m:r>
              <m:r>
                <m:t>p</m:t>
              </m:r>
            </m:lim>
          </m:limLow>
          <m:r>
            <m:rPr>
              <m:sty m:val="p"/>
            </m:rPr>
            <m:t>(</m:t>
          </m:r>
          <m:sSub>
            <m:e>
              <m:r>
                <m:t>C</m:t>
              </m:r>
            </m:e>
            <m:sub>
              <m:r>
                <m:t>i</m:t>
              </m:r>
              <m:r>
                <m:t>j</m:t>
              </m:r>
            </m:sub>
          </m:sSub>
          <m:r>
            <m:rPr>
              <m:sty m:val="p"/>
            </m:rPr>
            <m:t>−</m:t>
          </m:r>
          <m:sSub>
            <m:e>
              <m:r>
                <m:t>ρ</m:t>
              </m:r>
            </m:e>
            <m:sub>
              <m:r>
                <m:t>i</m:t>
              </m:r>
              <m:r>
                <m:t>j</m:t>
              </m:r>
            </m:sub>
          </m:sSub>
          <m:r>
            <m:rPr>
              <m:sty m:val="p"/>
            </m:rPr>
            <m:t>)</m:t>
          </m:r>
          <m:r>
            <m:rPr>
              <m:sty m:val="p"/>
            </m:rPr>
            <m:t>,</m:t>
          </m:r>
          <m:r>
            <m:t> </m:t>
          </m:r>
          <m:r>
            <m:t>L</m:t>
          </m:r>
          <m:r>
            <m:rPr>
              <m:sty m:val="p"/>
            </m:rPr>
            <m:t>(</m:t>
          </m:r>
          <m:r>
            <m:t>p</m:t>
          </m:r>
          <m:r>
            <m:rPr>
              <m:sty m:val="p"/>
            </m:rPr>
            <m:t>)</m:t>
          </m:r>
          <m:r>
            <m:rPr>
              <m:sty m:val="p"/>
            </m:rPr>
            <m:t>=</m:t>
          </m:r>
          <m:r>
            <m:t>1</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r>
                <m:rPr>
                  <m:sty m:val="p"/>
                </m:rPr>
                <m:t>(</m:t>
              </m:r>
            </m:e>
          </m:nary>
          <m:r>
            <m:t>1</m:t>
          </m:r>
          <m:r>
            <m:rPr>
              <m:sty m:val="p"/>
            </m:rPr>
            <m:t>−</m:t>
          </m:r>
          <m:sSub>
            <m:e>
              <m:r>
                <m:t>p</m:t>
              </m:r>
            </m:e>
            <m:sub>
              <m:r>
                <m:t>i</m:t>
              </m:r>
              <m:r>
                <m:t>j</m:t>
              </m:r>
            </m:sub>
          </m:sSub>
          <m:r>
            <m:rPr>
              <m:sty m:val="p"/>
            </m:rPr>
            <m:t>)</m:t>
          </m:r>
          <m:r>
            <m:t>  </m:t>
          </m:r>
          <m:r>
            <m:rPr>
              <m:sty m:val="p"/>
            </m:rPr>
            <m:t>(</m:t>
          </m:r>
          <m:r>
            <m:t>6</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其中</w:t>
      </w:r>
      <m:oMath>
        <m:r>
          <m:t>D</m:t>
        </m:r>
        <m:r>
          <m:rPr>
            <m:sty m:val="p"/>
          </m:rPr>
          <m:t>(</m:t>
        </m:r>
        <m:r>
          <m:t>p</m:t>
        </m:r>
        <m:r>
          <m:rPr>
            <m:sty m:val="p"/>
          </m:rPr>
          <m:t>)</m:t>
        </m:r>
      </m:oMath>
      <w:r>
        <w:rPr>
          <w:rFonts w:hint="eastAsia" w:ascii="Times New Roman" w:hAnsi="Times New Roman" w:eastAsia="宋体"/>
          <w:b w:val="0"/>
          <w:color w:val="000000"/>
          <w:sz w:val="21"/>
        </w:rPr>
        <w:t xml:space="preserve">为端到端时延，即路径各链路时延之和；</w:t>
      </w:r>
      <m:oMath>
        <m:r>
          <m:t>B</m:t>
        </m:r>
        <m:r>
          <m:rPr>
            <m:sty m:val="p"/>
          </m:rPr>
          <m:t>(</m:t>
        </m:r>
        <m:r>
          <m:t>p</m:t>
        </m:r>
        <m:r>
          <m:rPr>
            <m:sty m:val="p"/>
          </m:rPr>
          <m:t>)</m:t>
        </m:r>
      </m:oMath>
      <w:r>
        <w:rPr>
          <w:rFonts w:hint="eastAsia" w:ascii="Times New Roman" w:hAnsi="Times New Roman" w:eastAsia="宋体"/>
          <w:b w:val="0"/>
          <w:color w:val="000000"/>
          <w:sz w:val="21"/>
        </w:rPr>
        <w:t xml:space="preserve">为路径瓶颈剩余带宽，取路径上剩余带宽的最小值；</w:t>
      </w:r>
      <m:oMath>
        <m:r>
          <m:t>L</m:t>
        </m:r>
        <m:r>
          <m:rPr>
            <m:sty m:val="p"/>
          </m:rPr>
          <m:t>(</m:t>
        </m:r>
        <m:r>
          <m:t>p</m:t>
        </m:r>
        <m:r>
          <m:rPr>
            <m:sty m:val="p"/>
          </m:rPr>
          <m:t>)</m:t>
        </m:r>
      </m:oMath>
      <w:r>
        <w:rPr>
          <w:rFonts w:hint="eastAsia" w:ascii="Times New Roman" w:hAnsi="Times New Roman" w:eastAsia="宋体"/>
          <w:b w:val="0"/>
          <w:color w:val="000000"/>
          <w:sz w:val="21"/>
        </w:rPr>
        <w:t xml:space="preserve">为路径丢包率，由各链路无丢包概率的乘积取补得到。业务</w:t>
      </w:r>
      <m:oMath>
        <m:r>
          <m:t>c</m:t>
        </m:r>
      </m:oMath>
      <w:r>
        <w:rPr>
          <w:rFonts w:hint="eastAsia" w:ascii="Times New Roman" w:hAnsi="Times New Roman" w:eastAsia="宋体"/>
          <w:b w:val="0"/>
          <w:color w:val="000000"/>
          <w:sz w:val="21"/>
        </w:rPr>
        <w:t xml:space="preserve">的QoS得到满足当且仅当同时满足其时延、带宽与丢包约束</w:t>
      </w:r>
    </w:p>
    <w:p>
      <w:pPr>
        <w:pStyle w:val="BodyText"/>
      </w:pPr>
      <m:oMathPara>
        <m:oMathParaPr>
          <m:jc m:val="center"/>
        </m:oMathParaPr>
        <m:oMath>
          <m:r>
            <m:t>D</m:t>
          </m:r>
          <m:r>
            <m:rPr>
              <m:sty m:val="p"/>
            </m:rPr>
            <m:t>(</m:t>
          </m:r>
          <m:r>
            <m:t>p</m:t>
          </m:r>
          <m:r>
            <m:rPr>
              <m:sty m:val="p"/>
            </m:rPr>
            <m:t>)</m:t>
          </m:r>
          <m:r>
            <m:rPr>
              <m:sty m:val="p"/>
            </m:rPr>
            <m:t>≤</m:t>
          </m:r>
          <m:sSubSup>
            <m:e>
              <m:r>
                <m:t>D</m:t>
              </m:r>
            </m:e>
            <m:sub>
              <m:r>
                <m:t>m</m:t>
              </m:r>
              <m:r>
                <m:t>a</m:t>
              </m:r>
              <m:r>
                <m:t>x</m:t>
              </m:r>
            </m:sub>
            <m:sup>
              <m:r>
                <m:t>c</m:t>
              </m:r>
            </m:sup>
          </m:sSubSup>
          <m:r>
            <m:rPr>
              <m:sty m:val="p"/>
            </m:rPr>
            <m:t>,</m:t>
          </m:r>
          <m:r>
            <m:t> </m:t>
          </m:r>
          <m:r>
            <m:t>B</m:t>
          </m:r>
          <m:r>
            <m:rPr>
              <m:sty m:val="p"/>
            </m:rPr>
            <m:t>(</m:t>
          </m:r>
          <m:r>
            <m:t>p</m:t>
          </m:r>
          <m:r>
            <m:rPr>
              <m:sty m:val="p"/>
            </m:rPr>
            <m:t>)</m:t>
          </m:r>
          <m:r>
            <m:rPr>
              <m:sty m:val="p"/>
            </m:rPr>
            <m:t>≥</m:t>
          </m:r>
          <m:sSubSup>
            <m:e>
              <m:r>
                <m:t>B</m:t>
              </m:r>
            </m:e>
            <m:sub>
              <m:r>
                <m:t>m</m:t>
              </m:r>
              <m:r>
                <m:t>i</m:t>
              </m:r>
              <m:r>
                <m:t>n</m:t>
              </m:r>
            </m:sub>
            <m:sup>
              <m:r>
                <m:t>c</m:t>
              </m:r>
            </m:sup>
          </m:sSubSup>
          <m:r>
            <m:rPr>
              <m:sty m:val="p"/>
            </m:rPr>
            <m:t>,</m:t>
          </m:r>
          <m:r>
            <m:t> </m:t>
          </m:r>
          <m:r>
            <m:t>L</m:t>
          </m:r>
          <m:r>
            <m:rPr>
              <m:sty m:val="p"/>
            </m:rPr>
            <m:t>(</m:t>
          </m:r>
          <m:r>
            <m:t>p</m:t>
          </m:r>
          <m:r>
            <m:rPr>
              <m:sty m:val="p"/>
            </m:rPr>
            <m:t>)</m:t>
          </m:r>
          <m:r>
            <m:rPr>
              <m:sty m:val="p"/>
            </m:rPr>
            <m:t>≤</m:t>
          </m:r>
          <m:sSubSup>
            <m:e>
              <m:r>
                <m:t>L</m:t>
              </m:r>
            </m:e>
            <m:sub>
              <m:r>
                <m:t>m</m:t>
              </m:r>
              <m:r>
                <m:t>a</m:t>
              </m:r>
              <m:r>
                <m:t>x</m:t>
              </m:r>
            </m:sub>
            <m:sup>
              <m:r>
                <m:t>c</m:t>
              </m:r>
            </m:sup>
          </m:sSubSup>
          <m:r>
            <m:t>  </m:t>
          </m:r>
          <m:r>
            <m:rPr>
              <m:sty m:val="p"/>
            </m:rPr>
            <m:t>(</m:t>
          </m:r>
          <m:r>
            <m:t>7</m:t>
          </m:r>
          <m:r>
            <m:rPr>
              <m:sty m:val="p"/>
            </m:rPr>
            <m:t>)</m:t>
          </m:r>
        </m:oMath>
      </m:oMathPara>
    </w:p>
    <w:p>
      <w:pPr>
        <w:pStyle w:val="FirstParagraph"/>
        <w:jc w:val="center"/>
      </w:pPr>
      <w:r>
        <w:rPr>
          <w:rFonts w:hint="eastAsia" w:ascii="Times New Roman" w:hAnsi="Times New Roman" w:eastAsia="黑体"/>
          <w:b w:val="0"/>
          <w:color w:val="000000"/>
          <w:sz w:val="18"/>
        </w:rPr>
        <w:t xml:space="preserve">表2</w:t>
      </w:r>
      <w:r>
        <w:rPr>
          <w:rFonts w:ascii="Times New Roman" w:hAnsi="Times New Roman" w:eastAsia="黑体"/>
          <w:b w:val="0"/>
          <w:color w:val="000000"/>
          <w:sz w:val="18"/>
        </w:rPr>
        <w:t xml:space="preserve"> </w:t>
      </w:r>
      <w:r>
        <w:rPr>
          <w:rFonts w:hint="eastAsia" w:ascii="Times New Roman" w:hAnsi="Times New Roman" w:eastAsia="黑体"/>
          <w:b w:val="0"/>
          <w:color w:val="000000"/>
          <w:sz w:val="18"/>
        </w:rPr>
        <w:t xml:space="preserve">三类业务的流量特征与QoS需求</w:t>
      </w:r>
    </w:p>
    <w:tbl>
      <w:tblPr>
        <w:tblStyle w:val="Table"/>
        <w:tblW w:type="pct" w:w="5000"/>
        <w:jc w:val="center"/>
        <w:tblLayout w:type="fixed"/>
        <w:tblLook w:firstRow="1" w:lastRow="0" w:firstColumn="0" w:lastColumn="0" w:noHBand="0" w:noVBand="0" w:val="0020"/>
      </w:tblPr>
      <w:tblGrid>
        <w:gridCol w:w="1250"/>
        <w:gridCol w:w="1250"/>
        <w:gridCol w:w="833"/>
        <w:gridCol w:w="1250"/>
        <w:gridCol w:w="1250"/>
        <w:gridCol w:w="1250"/>
        <w:gridCol w:w="833"/>
      </w:tblGrid>
      <w:tr>
        <w:trPr>
          <w:tblHeader w:val="on"/>
        </w:trPr>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业务类型</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典型应用</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速率</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时延约束</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带宽约束</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丢包约束</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占比</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A类(时延敏感)</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应急通信</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2 Mbps</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≤120 ms</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 Mbps</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≤10⁻²</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30%</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B类(带宽密集)</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遥感回传</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8 Mbps</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≤300 ms</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≥4 Mbps</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≤5×10⁻²</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50%</w:t>
            </w:r>
          </w:p>
        </w:tc>
      </w:tr>
      <w:tr>
        <w:tc>
          <w:tcPr>
            <w:tcBorders>
              <w:top w:val="none" w:sz="0" w:space="0" w:color="auto"/>
              <w:bottom w:val="single" w:sz="12"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C类(可靠性优先)</w:t>
            </w:r>
          </w:p>
        </w:tc>
        <w:tc>
          <w:tcPr>
            <w:tcBorders>
              <w:top w:val="none" w:sz="0" w:space="0" w:color="auto"/>
              <w:bottom w:val="single" w:sz="12"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工业控制</w:t>
            </w:r>
          </w:p>
        </w:tc>
        <w:tc>
          <w:tcPr>
            <w:tcBorders>
              <w:top w:val="none" w:sz="0" w:space="0" w:color="auto"/>
              <w:bottom w:val="single" w:sz="12"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1.5 Mbps</w:t>
            </w:r>
          </w:p>
        </w:tc>
        <w:tc>
          <w:tcPr>
            <w:tcBorders>
              <w:top w:val="none" w:sz="0" w:space="0" w:color="auto"/>
              <w:bottom w:val="single" w:sz="12"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≤300 ms</w:t>
            </w:r>
          </w:p>
        </w:tc>
        <w:tc>
          <w:tcPr>
            <w:tcBorders>
              <w:top w:val="none" w:sz="0" w:space="0" w:color="auto"/>
              <w:bottom w:val="single" w:sz="12"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≥0.5 Mbps</w:t>
            </w:r>
          </w:p>
        </w:tc>
        <w:tc>
          <w:tcPr>
            <w:tcBorders>
              <w:top w:val="none" w:sz="0" w:space="0" w:color="auto"/>
              <w:bottom w:val="single" w:sz="12"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≤10⁻⁴</w:t>
            </w:r>
          </w:p>
        </w:tc>
        <w:tc>
          <w:tcPr>
            <w:tcBorders>
              <w:top w:val="none" w:sz="0" w:space="0" w:color="auto"/>
              <w:bottom w:val="single" w:sz="12"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20%</w:t>
            </w:r>
          </w:p>
        </w:tc>
      </w:tr>
    </w:tbl>
    <w:bookmarkEnd w:id="14"/>
    <w:bookmarkEnd w:id="15"/>
    <w:bookmarkStart w:id="20" w:name="ca-mqr路由方法"/>
    <w:p>
      <w:pPr>
        <w:pStyle w:val="Heading1"/>
        <w:spacing w:lineRule="auto" w:line="360"/>
      </w:pPr>
      <w:r>
        <w:rPr>
          <w:rFonts w:hint="eastAsia" w:ascii="Times New Roman" w:hAnsi="Times New Roman" w:eastAsia="黑体"/>
          <w:b w:val="0"/>
          <w:color w:val="000000"/>
          <w:sz w:val="28"/>
        </w:rPr>
        <w:t xml:space="preserve">CA-MQR路由方法</w:t>
      </w:r>
    </w:p>
    <w:bookmarkStart w:id="16" w:name="方法总览"/>
    <w:p>
      <w:pPr>
        <w:pStyle w:val="Heading2"/>
        <w:spacing w:lineRule="auto" w:line="360"/>
      </w:pPr>
      <w:r>
        <w:rPr>
          <w:rFonts w:hint="eastAsia" w:ascii="Arial" w:hAnsi="Arial" w:eastAsia="黑体"/>
          <w:b/>
          <w:color w:val="000000"/>
          <w:sz w:val="24"/>
        </w:rPr>
        <w:t xml:space="preserve">方法总览</w:t>
      </w:r>
    </w:p>
    <w:p>
      <w:pPr>
        <w:pStyle w:val="FirstParagraph"/>
        <w:spacing w:lineRule="auto" w:line="360"/>
        <w:jc w:val="both"/>
        <w:ind w:firstLineChars="200"/>
      </w:pPr>
      <w:r>
        <w:rPr>
          <w:rFonts w:hint="eastAsia" w:ascii="Times New Roman" w:hAnsi="Times New Roman" w:eastAsia="宋体"/>
          <w:b w:val="0"/>
          <w:color w:val="000000"/>
          <w:sz w:val="21"/>
        </w:rPr>
        <w:t xml:space="preserve">CA-MQR以拥塞感知为主线，将每颗卫星视为一个智能体，仅依据本地及邻居信息为到达的数据流逐跳选择下一跳，所有卫星共享同一策略网络。方法由三个层次构成：主干层将路由建模为POMDP，通过拥塞感知的状态与业务差异化的奖励实现多业务QoS路由(2.2节)；增强层引入下游拥塞势场，将智能体的拥塞视野由单跳扩展至下游纵深(2.3节)；求解层采用竞争式双深度Q网络对上述POMDP进行稳定求解(2.4节)。下面依次展开。</w:t>
      </w:r>
    </w:p>
    <w:bookmarkEnd w:id="16"/>
    <w:bookmarkStart w:id="17" w:name="拥塞感知的多业务pomdp建模"/>
    <w:p>
      <w:pPr>
        <w:pStyle w:val="Heading2"/>
        <w:spacing w:lineRule="auto" w:line="360"/>
      </w:pPr>
      <w:r>
        <w:rPr>
          <w:rFonts w:hint="eastAsia" w:ascii="Arial" w:hAnsi="Arial" w:eastAsia="黑体"/>
          <w:b/>
          <w:color w:val="000000"/>
          <w:sz w:val="24"/>
        </w:rPr>
        <w:t xml:space="preserve">拥塞感知的多业务POMDP建模</w:t>
      </w:r>
    </w:p>
    <w:p>
      <w:pPr>
        <w:pStyle w:val="FirstParagraph"/>
        <w:spacing w:lineRule="auto" w:line="360"/>
        <w:jc w:val="both"/>
        <w:ind w:firstLineChars="200"/>
      </w:pPr>
      <w:r>
        <w:rPr>
          <w:rFonts w:hint="eastAsia" w:ascii="Times New Roman" w:hAnsi="Times New Roman" w:eastAsia="宋体"/>
          <w:b w:val="0"/>
          <w:color w:val="000000"/>
          <w:sz w:val="21"/>
        </w:rPr>
        <w:t xml:space="preserve">本文将逐跳路由建模为POMDP。采用POMDP而非马尔可夫决策过程，是因为在实际卫星网络中单颗卫星难以实时获取全局拓扑与全网流量状态，只能依据本地及邻居信息进行决策</w:t>
      </w:r>
      <w:r>
        <w:rPr>
          <w:rFonts w:ascii="Times New Roman" w:hAnsi="Times New Roman" w:eastAsia="宋体"/>
          <w:b w:val="0"/>
          <w:color w:val="000000"/>
          <w:sz w:val="15"/>
          <w:vertAlign w:val="superscript"/>
        </w:rPr>
        <w:t xml:space="preserve">[6]</w:t>
      </w:r>
      <w:r>
        <w:rPr>
          <w:rFonts w:hint="eastAsia" w:ascii="Times New Roman" w:hAnsi="Times New Roman" w:eastAsia="宋体"/>
          <w:b w:val="0"/>
          <w:color w:val="000000"/>
          <w:sz w:val="21"/>
        </w:rPr>
        <w:t xml:space="preserve">。POMDP由状态、动作与奖励三要素定义。</w:t>
      </w:r>
    </w:p>
    <w:p>
      <w:pPr>
        <w:pStyle w:val="BodyText"/>
        <w:spacing w:lineRule="auto" w:line="360"/>
        <w:jc w:val="both"/>
        <w:ind w:firstLineChars="200"/>
      </w:pPr>
      <w:r>
        <w:rPr>
          <w:rFonts w:hint="eastAsia" w:ascii="Times New Roman" w:hAnsi="Times New Roman" w:eastAsia="宋体"/>
          <w:b w:val="0"/>
          <w:bCs/>
          <w:color w:val="000000"/>
          <w:sz w:val="21"/>
        </w:rPr>
        <w:t xml:space="preserve">状态空间</w:t>
      </w:r>
      <w:r>
        <w:rPr>
          <w:rFonts w:hint="eastAsia" w:ascii="Times New Roman" w:hAnsi="Times New Roman" w:eastAsia="宋体"/>
          <w:b w:val="0"/>
          <w:color w:val="000000"/>
          <w:sz w:val="21"/>
        </w:rPr>
        <w:t xml:space="preserve">：当前节点</w:t>
      </w:r>
      <m:oMath>
        <m:r>
          <m:t>i</m:t>
        </m:r>
      </m:oMath>
      <w:r>
        <w:rPr>
          <w:rFonts w:hint="eastAsia" w:ascii="Times New Roman" w:hAnsi="Times New Roman" w:eastAsia="宋体"/>
          <w:b w:val="0"/>
          <w:color w:val="000000"/>
          <w:sz w:val="21"/>
        </w:rPr>
        <w:t xml:space="preserve">为类别</w:t>
      </w:r>
      <m:oMath>
        <m:r>
          <m:t>c</m:t>
        </m:r>
      </m:oMath>
      <w:r>
        <w:rPr>
          <w:rFonts w:hint="eastAsia" w:ascii="Times New Roman" w:hAnsi="Times New Roman" w:eastAsia="宋体"/>
          <w:b w:val="0"/>
          <w:color w:val="000000"/>
          <w:sz w:val="21"/>
        </w:rPr>
        <w:t xml:space="preserve">、目的为</w:t>
      </w:r>
      <m:oMath>
        <m:r>
          <m:t>d</m:t>
        </m:r>
        <m:r>
          <m:t>s</m:t>
        </m:r>
        <m:r>
          <m:t>t</m:t>
        </m:r>
      </m:oMath>
      <w:r>
        <w:rPr>
          <w:rFonts w:hint="eastAsia" w:ascii="Times New Roman" w:hAnsi="Times New Roman" w:eastAsia="宋体"/>
          <w:b w:val="0"/>
          <w:color w:val="000000"/>
          <w:sz w:val="21"/>
        </w:rPr>
        <w:t xml:space="preserve">的数据流决策时，其局部观测定义为</w:t>
      </w:r>
    </w:p>
    <w:p>
      <w:pPr>
        <w:pStyle w:val="BodyText"/>
      </w:pPr>
      <m:oMathPara>
        <m:oMathParaPr>
          <m:jc m:val="center"/>
        </m:oMathParaPr>
        <m:oMath>
          <m:sSub>
            <m:e>
              <m:r>
                <m:t>s</m:t>
              </m:r>
            </m:e>
            <m:sub>
              <m:r>
                <m:t>t</m:t>
              </m:r>
            </m:sub>
          </m:sSub>
          <m:r>
            <m:rPr>
              <m:sty m:val="p"/>
            </m:rPr>
            <m:t>=</m:t>
          </m:r>
          <m:d>
            <m:dPr>
              <m:begChr m:val="["/>
              <m:sepChr m:val=""/>
              <m:endChr m:val="]"/>
              <m:grow/>
            </m:dPr>
            <m:e>
              <m:r>
                <m:rPr>
                  <m:sty m:val="p"/>
                </m:rPr>
                <m:t>Δ</m:t>
              </m:r>
              <m:sSub>
                <m:e>
                  <m:r>
                    <m:t>g</m:t>
                  </m:r>
                </m:e>
                <m:sub>
                  <m:r>
                    <m:t>i</m:t>
                  </m:r>
                  <m:r>
                    <m:rPr>
                      <m:sty m:val="p"/>
                    </m:rPr>
                    <m:t>→</m:t>
                  </m:r>
                  <m:r>
                    <m:t>d</m:t>
                  </m:r>
                  <m:r>
                    <m:t>s</m:t>
                  </m:r>
                  <m:r>
                    <m:t>t</m:t>
                  </m:r>
                </m:sub>
              </m:sSub>
              <m:r>
                <m:rPr>
                  <m:sty m:val="p"/>
                </m:rPr>
                <m:t>,</m:t>
              </m:r>
              <m:r>
                <m:t> </m:t>
              </m:r>
              <m:sSub>
                <m:e>
                  <m:r>
                    <m:rPr>
                      <m:sty m:val="bi"/>
                    </m:rPr>
                    <m:t>c</m:t>
                  </m:r>
                </m:e>
                <m:sub>
                  <m:r>
                    <m:t>o</m:t>
                  </m:r>
                  <m:r>
                    <m:t>h</m:t>
                  </m:r>
                </m:sub>
              </m:sSub>
              <m:r>
                <m:rPr>
                  <m:sty m:val="p"/>
                </m:rPr>
                <m:t>,</m:t>
              </m:r>
              <m:r>
                <m:t> </m:t>
              </m:r>
              <m:r>
                <m:rPr>
                  <m:sty m:val="p"/>
                </m:rPr>
                <m:t>{</m:t>
              </m:r>
              <m:sSub>
                <m:e>
                  <m:r>
                    <m:t>u</m:t>
                  </m:r>
                </m:e>
                <m:sub>
                  <m:r>
                    <m:t>i</m:t>
                  </m:r>
                  <m:r>
                    <m:t>j</m:t>
                  </m:r>
                </m:sub>
              </m:sSub>
              <m:r>
                <m:rPr>
                  <m:sty m:val="p"/>
                </m:rPr>
                <m:t>,</m:t>
              </m:r>
              <m:sSub>
                <m:e>
                  <m:acc>
                    <m:accPr>
                      <m:chr m:val="̂"/>
                    </m:accPr>
                    <m:e>
                      <m:r>
                        <m:t>d</m:t>
                      </m:r>
                    </m:e>
                  </m:acc>
                </m:e>
                <m:sub>
                  <m:r>
                    <m:t>i</m:t>
                  </m:r>
                  <m:r>
                    <m:t>j</m:t>
                  </m:r>
                </m:sub>
              </m:sSub>
              <m:r>
                <m:rPr>
                  <m:sty m:val="p"/>
                </m:rPr>
                <m:t>,</m:t>
              </m:r>
              <m:sSub>
                <m:e>
                  <m:acc>
                    <m:accPr>
                      <m:chr m:val="̂"/>
                    </m:accPr>
                    <m:e>
                      <m:r>
                        <m:t>p</m:t>
                      </m:r>
                    </m:e>
                  </m:acc>
                </m:e>
                <m:sub>
                  <m:r>
                    <m:t>i</m:t>
                  </m:r>
                  <m:r>
                    <m:t>j</m:t>
                  </m:r>
                </m:sub>
              </m:sSub>
              <m:r>
                <m:rPr>
                  <m:sty m:val="p"/>
                </m:rPr>
                <m:t>,</m:t>
              </m:r>
              <m:sSub>
                <m:e>
                  <m:r>
                    <m:t>v</m:t>
                  </m:r>
                </m:e>
                <m:sub>
                  <m:r>
                    <m:t>i</m:t>
                  </m:r>
                  <m:r>
                    <m:t>j</m:t>
                  </m:r>
                </m:sub>
              </m:sSub>
              <m:r>
                <m:rPr>
                  <m:sty m:val="p"/>
                </m:rPr>
                <m:t>,</m:t>
              </m:r>
              <m:sSub>
                <m:e>
                  <m:r>
                    <m:t>ψ</m:t>
                  </m:r>
                </m:e>
                <m:sub>
                  <m:r>
                    <m:t>j</m:t>
                  </m:r>
                </m:sub>
              </m:sSub>
              <m:sSub>
                <m:e>
                  <m:r>
                    <m:rPr>
                      <m:sty m:val="p"/>
                    </m:rPr>
                    <m:t>}</m:t>
                  </m:r>
                </m:e>
                <m:sub>
                  <m:r>
                    <m:t>j</m:t>
                  </m:r>
                  <m:r>
                    <m:rPr>
                      <m:sty m:val="p"/>
                    </m:rPr>
                    <m:t>∈</m:t>
                  </m:r>
                  <m:r>
                    <m:rPr>
                      <m:scr m:val="script"/>
                      <m:sty m:val="p"/>
                    </m:rPr>
                    <m:t>N</m:t>
                  </m:r>
                  <m:r>
                    <m:rPr>
                      <m:sty m:val="p"/>
                    </m:rPr>
                    <m:t>(</m:t>
                  </m:r>
                  <m:r>
                    <m:t>i</m:t>
                  </m:r>
                  <m:r>
                    <m:rPr>
                      <m:sty m:val="p"/>
                    </m:rPr>
                    <m:t>)</m:t>
                  </m:r>
                </m:sub>
              </m:sSub>
              <m:r>
                <m:rPr>
                  <m:sty m:val="p"/>
                </m:rPr>
                <m:t>,</m:t>
              </m:r>
              <m:r>
                <m:t> </m:t>
              </m:r>
              <m:f>
                <m:fPr>
                  <m:type m:val="lin"/>
                </m:fPr>
                <m:num>
                  <m:r>
                    <m:t>H</m:t>
                  </m:r>
                </m:num>
                <m:den>
                  <m:sSub>
                    <m:e>
                      <m:r>
                        <m:t>H</m:t>
                      </m:r>
                    </m:e>
                    <m:sub>
                      <m:r>
                        <m:t>m</m:t>
                      </m:r>
                      <m:r>
                        <m:t>a</m:t>
                      </m:r>
                      <m:r>
                        <m:t>x</m:t>
                      </m:r>
                    </m:sub>
                  </m:sSub>
                </m:den>
              </m:f>
            </m:e>
          </m:d>
          <m:r>
            <m:t>  </m:t>
          </m:r>
          <m:r>
            <m:rPr>
              <m:sty m:val="p"/>
            </m:rPr>
            <m:t>(</m:t>
          </m:r>
          <m:r>
            <m:t>8</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其中各分量含义如下：</w:t>
      </w:r>
      <m:oMath>
        <m:r>
          <m:rPr>
            <m:sty m:val="p"/>
          </m:rPr>
          <m:t>Δ</m:t>
        </m:r>
        <m:sSub>
          <m:e>
            <m:r>
              <m:t>g</m:t>
            </m:r>
          </m:e>
          <m:sub>
            <m:r>
              <m:t>i</m:t>
            </m:r>
            <m:r>
              <m:rPr>
                <m:sty m:val="p"/>
              </m:rPr>
              <m:t>→</m:t>
            </m:r>
            <m:r>
              <m:t>d</m:t>
            </m:r>
            <m:r>
              <m:t>s</m:t>
            </m:r>
            <m:r>
              <m:t>t</m:t>
            </m:r>
          </m:sub>
        </m:sSub>
      </m:oMath>
      <w:r>
        <w:rPr>
          <w:rFonts w:hint="eastAsia" w:ascii="Times New Roman" w:hAnsi="Times New Roman" w:eastAsia="宋体"/>
          <w:b w:val="0"/>
          <w:color w:val="000000"/>
          <w:sz w:val="21"/>
        </w:rPr>
        <w:t xml:space="preserve">为当前节点到目的节点在+Grid拓扑上的方向与跳距(轨道面差、相位差、总跳距，均归一化)，为智能体提供方向引导。此处采用网格跳距而非三维欧氏距离，是因为在网格拓扑中欧氏距离的缩短并不等价于跳数的减少，直接使用欧氏距离会误导智能体绕行，而网格跳距能准确反映到目的节点的拓扑距离，显著提升收敛性与到达率。</w:t>
      </w:r>
      <m:oMath>
        <m:sSub>
          <m:e>
            <m:r>
              <m:rPr>
                <m:sty m:val="bi"/>
              </m:rPr>
              <m:t>c</m:t>
            </m:r>
          </m:e>
          <m:sub>
            <m:r>
              <m:t>o</m:t>
            </m:r>
            <m:r>
              <m:t>h</m:t>
            </m:r>
          </m:sub>
        </m:sSub>
      </m:oMath>
      <w:r>
        <w:rPr>
          <w:rFonts w:hint="eastAsia" w:ascii="Times New Roman" w:hAnsi="Times New Roman" w:eastAsia="宋体"/>
          <w:b w:val="0"/>
          <w:color w:val="000000"/>
          <w:sz w:val="21"/>
        </w:rPr>
        <w:t xml:space="preserve">为业务类型独热编码，用于使单一策略网络区分不同业务。</w:t>
      </w:r>
      <m:oMath>
        <m:r>
          <m:rPr>
            <m:sty m:val="p"/>
          </m:rPr>
          <m:t>{</m:t>
        </m:r>
        <m:sSub>
          <m:e>
            <m:r>
              <m:t>u</m:t>
            </m:r>
          </m:e>
          <m:sub>
            <m:r>
              <m:t>i</m:t>
            </m:r>
            <m:r>
              <m:t>j</m:t>
            </m:r>
          </m:sub>
        </m:sSub>
        <m:r>
          <m:rPr>
            <m:sty m:val="p"/>
          </m:rPr>
          <m:t>,</m:t>
        </m:r>
        <m:sSub>
          <m:e>
            <m:acc>
              <m:accPr>
                <m:chr m:val="̂"/>
              </m:accPr>
              <m:e>
                <m:r>
                  <m:t>d</m:t>
                </m:r>
              </m:e>
            </m:acc>
          </m:e>
          <m:sub>
            <m:r>
              <m:t>i</m:t>
            </m:r>
            <m:r>
              <m:t>j</m:t>
            </m:r>
          </m:sub>
        </m:sSub>
        <m:r>
          <m:rPr>
            <m:sty m:val="p"/>
          </m:rPr>
          <m:t>,</m:t>
        </m:r>
        <m:sSub>
          <m:e>
            <m:acc>
              <m:accPr>
                <m:chr m:val="̂"/>
              </m:accPr>
              <m:e>
                <m:r>
                  <m:t>p</m:t>
                </m:r>
              </m:e>
            </m:acc>
          </m:e>
          <m:sub>
            <m:r>
              <m:t>i</m:t>
            </m:r>
            <m:r>
              <m:t>j</m:t>
            </m:r>
          </m:sub>
        </m:sSub>
        <m:r>
          <m:rPr>
            <m:sty m:val="p"/>
          </m:rPr>
          <m:t>,</m:t>
        </m:r>
        <m:sSub>
          <m:e>
            <m:r>
              <m:t>v</m:t>
            </m:r>
          </m:e>
          <m:sub>
            <m:r>
              <m:t>i</m:t>
            </m:r>
            <m:r>
              <m:t>j</m:t>
            </m:r>
          </m:sub>
        </m:sSub>
        <m:r>
          <m:rPr>
            <m:sty m:val="p"/>
          </m:rPr>
          <m:t>,</m:t>
        </m:r>
        <m:sSub>
          <m:e>
            <m:r>
              <m:t>ψ</m:t>
            </m:r>
          </m:e>
          <m:sub>
            <m:r>
              <m:t>j</m:t>
            </m:r>
          </m:sub>
        </m:sSub>
        <m:r>
          <m:rPr>
            <m:sty m:val="p"/>
          </m:rPr>
          <m:t>}</m:t>
        </m:r>
      </m:oMath>
      <w:r>
        <w:rPr>
          <w:rFonts w:hint="eastAsia" w:ascii="Times New Roman" w:hAnsi="Times New Roman" w:eastAsia="宋体"/>
          <w:b w:val="0"/>
          <w:color w:val="000000"/>
          <w:sz w:val="21"/>
        </w:rPr>
        <w:t xml:space="preserve">为四个候选邻居链路的利用率、归一化时延、归一化丢包率、可用标志与下游拥塞势，其中利用率</w:t>
      </w:r>
      <m:oMath>
        <m:sSub>
          <m:e>
            <m:r>
              <m:t>u</m:t>
            </m:r>
          </m:e>
          <m:sub>
            <m:r>
              <m:t>i</m:t>
            </m:r>
            <m:r>
              <m:t>j</m:t>
            </m:r>
          </m:sub>
        </m:sSub>
      </m:oMath>
      <w:r>
        <w:rPr>
          <w:rFonts w:hint="eastAsia" w:ascii="Times New Roman" w:hAnsi="Times New Roman" w:eastAsia="宋体"/>
          <w:b w:val="0"/>
          <w:color w:val="000000"/>
          <w:sz w:val="21"/>
        </w:rPr>
        <w:t xml:space="preserve">的引入是实现拥塞感知的关键，而下游拥塞势</w:t>
      </w:r>
      <m:oMath>
        <m:sSub>
          <m:e>
            <m:r>
              <m:t>ψ</m:t>
            </m:r>
          </m:e>
          <m:sub>
            <m:r>
              <m:t>j</m:t>
            </m:r>
          </m:sub>
        </m:sSub>
      </m:oMath>
      <w:r>
        <w:rPr>
          <w:rFonts w:hint="eastAsia" w:ascii="Times New Roman" w:hAnsi="Times New Roman" w:eastAsia="宋体"/>
          <w:b w:val="0"/>
          <w:color w:val="000000"/>
          <w:sz w:val="21"/>
        </w:rPr>
        <w:t xml:space="preserve">用于提供纵深感知(其定义见2.3节)。</w:t>
      </w:r>
      <m:oMath>
        <m:r>
          <m:t>H</m:t>
        </m:r>
      </m:oMath>
      <w:r>
        <w:rPr>
          <w:rFonts w:hint="eastAsia" w:ascii="Times New Roman" w:hAnsi="Times New Roman" w:eastAsia="宋体"/>
          <w:b w:val="0"/>
          <w:color w:val="000000"/>
          <w:sz w:val="21"/>
        </w:rPr>
        <w:t xml:space="preserve">为当前已经过的跳数，用于抑制过长路径。</w:t>
      </w:r>
    </w:p>
    <w:p>
      <w:pPr>
        <w:pStyle w:val="BodyText"/>
        <w:spacing w:lineRule="auto" w:line="360"/>
        <w:jc w:val="both"/>
        <w:ind w:firstLineChars="200"/>
      </w:pPr>
      <w:r>
        <w:rPr>
          <w:rFonts w:hint="eastAsia" w:ascii="Times New Roman" w:hAnsi="Times New Roman" w:eastAsia="宋体"/>
          <w:b w:val="0"/>
          <w:bCs/>
          <w:color w:val="000000"/>
          <w:sz w:val="21"/>
        </w:rPr>
        <w:t xml:space="preserve">动作空间</w:t>
      </w:r>
      <w:r>
        <w:rPr>
          <w:rFonts w:hint="eastAsia" w:ascii="Times New Roman" w:hAnsi="Times New Roman" w:eastAsia="宋体"/>
          <w:b w:val="0"/>
          <w:color w:val="000000"/>
          <w:sz w:val="21"/>
        </w:rPr>
        <w:t xml:space="preserve">：动作为从四个+Grid邻居中选择下一跳</w:t>
      </w:r>
    </w:p>
    <w:p>
      <w:pPr>
        <w:pStyle w:val="BodyText"/>
      </w:pPr>
      <m:oMathPara>
        <m:oMathParaPr>
          <m:jc m:val="center"/>
        </m:oMathParaPr>
        <m:oMath>
          <m:sSub>
            <m:e>
              <m:r>
                <m:t>a</m:t>
              </m:r>
            </m:e>
            <m:sub>
              <m:r>
                <m:t>t</m:t>
              </m:r>
            </m:sub>
          </m:sSub>
          <m:r>
            <m:rPr>
              <m:sty m:val="p"/>
            </m:rPr>
            <m:t>∈</m:t>
          </m:r>
          <m:r>
            <m:rPr>
              <m:sty m:val="p"/>
            </m:rPr>
            <m:t>{</m:t>
          </m:r>
          <m:r>
            <m:rPr>
              <m:nor/>
              <m:sty m:val="p"/>
            </m:rPr>
            <m:t>front</m:t>
          </m:r>
          <m:r>
            <m:rPr>
              <m:sty m:val="p"/>
            </m:rPr>
            <m:t>,</m:t>
          </m:r>
          <m:r>
            <m:rPr>
              <m:nor/>
              <m:sty m:val="p"/>
            </m:rPr>
            <m:t>back</m:t>
          </m:r>
          <m:r>
            <m:rPr>
              <m:sty m:val="p"/>
            </m:rPr>
            <m:t>,</m:t>
          </m:r>
          <m:r>
            <m:rPr>
              <m:nor/>
              <m:sty m:val="p"/>
            </m:rPr>
            <m:t>left</m:t>
          </m:r>
          <m:r>
            <m:rPr>
              <m:sty m:val="p"/>
            </m:rPr>
            <m:t>,</m:t>
          </m:r>
          <m:r>
            <m:rPr>
              <m:nor/>
              <m:sty m:val="p"/>
            </m:rPr>
            <m:t>right</m:t>
          </m:r>
          <m:r>
            <m:rPr>
              <m:sty m:val="p"/>
            </m:rPr>
            <m:t>}</m:t>
          </m:r>
          <m:r>
            <m:t>  </m:t>
          </m:r>
          <m:r>
            <m:rPr>
              <m:sty m:val="p"/>
            </m:rPr>
            <m:t>(</m:t>
          </m:r>
          <m:r>
            <m:t>9</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为保证路由可行性并加速收敛，本文引入动作掩码机制，在决策时屏蔽不可用链路与已访问节点对应的动作，从而从根本上避免选择失效链路以及产生路由环路。</w:t>
      </w:r>
    </w:p>
    <w:p>
      <w:pPr>
        <w:pStyle w:val="BodyText"/>
        <w:spacing w:lineRule="auto" w:line="360"/>
        <w:jc w:val="both"/>
        <w:ind w:firstLineChars="200"/>
      </w:pPr>
      <w:r>
        <w:rPr>
          <w:rFonts w:hint="eastAsia" w:ascii="Times New Roman" w:hAnsi="Times New Roman" w:eastAsia="宋体"/>
          <w:b w:val="0"/>
          <w:bCs/>
          <w:color w:val="000000"/>
          <w:sz w:val="21"/>
        </w:rPr>
        <w:t xml:space="preserve">奖励函数</w:t>
      </w:r>
      <w:r>
        <w:rPr>
          <w:rFonts w:hint="eastAsia" w:ascii="Times New Roman" w:hAnsi="Times New Roman" w:eastAsia="宋体"/>
          <w:b w:val="0"/>
          <w:color w:val="000000"/>
          <w:sz w:val="21"/>
        </w:rPr>
        <w:t xml:space="preserve">：奖励由方向引导项与业务差异化QoS项构成。设当前跳链路为</w:t>
      </w:r>
      <m:oMath>
        <m:r>
          <m:rPr>
            <m:sty m:val="p"/>
          </m:rPr>
          <m:t>(</m:t>
        </m:r>
        <m:r>
          <m:t>i</m:t>
        </m:r>
        <m:r>
          <m:rPr>
            <m:sty m:val="p"/>
          </m:rPr>
          <m:t>,</m:t>
        </m:r>
        <m:r>
          <m:t>j</m:t>
        </m:r>
        <m:r>
          <m:rPr>
            <m:sty m:val="p"/>
          </m:rPr>
          <m:t>)</m:t>
        </m:r>
      </m:oMath>
      <w:r>
        <w:rPr>
          <w:rFonts w:hint="eastAsia" w:ascii="Times New Roman" w:hAnsi="Times New Roman" w:eastAsia="宋体"/>
          <w:b w:val="0"/>
          <w:color w:val="000000"/>
          <w:sz w:val="21"/>
        </w:rPr>
        <w:t xml:space="preserve">，采用基于网格跳距的势能塑形提供方向引导，并针对三类业务施加差异化惩罚，即</w:t>
      </w:r>
    </w:p>
    <w:p>
      <w:pPr>
        <w:pStyle w:val="BodyText"/>
      </w:pPr>
      <m:oMathPara>
        <m:oMathParaPr>
          <m:jc m:val="center"/>
        </m:oMathParaPr>
        <m:oMath>
          <m:sSub>
            <m:e>
              <m:r>
                <m:t>r</m:t>
              </m:r>
            </m:e>
            <m:sub>
              <m:r>
                <m:t>t</m:t>
              </m:r>
            </m:sub>
          </m:sSub>
          <m:r>
            <m:rPr>
              <m:sty m:val="p"/>
            </m:rPr>
            <m:t>=</m:t>
          </m:r>
          <m:r>
            <m:t>η</m:t>
          </m:r>
          <m:r>
            <m:t> </m:t>
          </m:r>
          <m:r>
            <m:rPr>
              <m:sty m:val="p"/>
            </m:rPr>
            <m:t>Δ</m:t>
          </m:r>
          <m:r>
            <m:t>g</m:t>
          </m:r>
          <m:r>
            <m:rPr>
              <m:sty m:val="p"/>
            </m:rPr>
            <m:t>−</m:t>
          </m:r>
          <m:r>
            <m:t>κ</m:t>
          </m:r>
          <m:r>
            <m:rPr>
              <m:sty m:val="p"/>
            </m:rPr>
            <m:t>−</m:t>
          </m:r>
          <m:sSub>
            <m:e>
              <m:r>
                <m:rPr>
                  <m:sty m:val="p"/>
                </m:rPr>
                <m:t>Φ</m:t>
              </m:r>
            </m:e>
            <m:sub>
              <m:r>
                <m:t>c</m:t>
              </m:r>
            </m:sub>
          </m:sSub>
          <m:r>
            <m:rPr>
              <m:sty m:val="p"/>
            </m:rPr>
            <m:t>(</m:t>
          </m:r>
          <m:sSub>
            <m:e>
              <m:r>
                <m:t>u</m:t>
              </m:r>
            </m:e>
            <m:sub>
              <m:r>
                <m:t>i</m:t>
              </m:r>
              <m:r>
                <m:t>j</m:t>
              </m:r>
            </m:sub>
          </m:sSub>
          <m:r>
            <m:rPr>
              <m:sty m:val="p"/>
            </m:rPr>
            <m:t>,</m:t>
          </m:r>
          <m:sSub>
            <m:e>
              <m:r>
                <m:t>d</m:t>
              </m:r>
            </m:e>
            <m:sub>
              <m:r>
                <m:t>i</m:t>
              </m:r>
              <m:r>
                <m:t>j</m:t>
              </m:r>
            </m:sub>
          </m:sSub>
          <m:r>
            <m:rPr>
              <m:sty m:val="p"/>
            </m:rPr>
            <m:t>,</m:t>
          </m:r>
          <m:sSub>
            <m:e>
              <m:r>
                <m:t>p</m:t>
              </m:r>
            </m:e>
            <m:sub>
              <m:r>
                <m:t>i</m:t>
              </m:r>
              <m:r>
                <m:t>j</m:t>
              </m:r>
            </m:sub>
          </m:sSub>
          <m:r>
            <m:rPr>
              <m:sty m:val="p"/>
            </m:rPr>
            <m:t>)</m:t>
          </m:r>
          <m:r>
            <m:rPr>
              <m:sty m:val="p"/>
            </m:rPr>
            <m:t>+</m:t>
          </m:r>
          <m:r>
            <m:t>R</m:t>
          </m:r>
          <m:r>
            <m:rPr>
              <m:sty m:val="p"/>
            </m:rPr>
            <m:t>⋅</m:t>
          </m:r>
          <m:r>
            <m:rPr>
              <m:scr m:val="double-struck"/>
              <m:sty m:val="p"/>
            </m:rPr>
            <m:t>1</m:t>
          </m:r>
          <m:r>
            <m:rPr>
              <m:sty m:val="p"/>
            </m:rPr>
            <m:t>[</m:t>
          </m:r>
          <m:r>
            <m:rPr>
              <m:nor/>
              <m:sty m:val="p"/>
            </m:rPr>
            <m:t>到达</m:t>
          </m:r>
          <m:r>
            <m:rPr>
              <m:sty m:val="p"/>
            </m:rPr>
            <m:t>]</m:t>
          </m:r>
          <m:r>
            <m:t>  </m:t>
          </m:r>
          <m:r>
            <m:rPr>
              <m:sty m:val="p"/>
            </m:rPr>
            <m:t>(</m:t>
          </m:r>
          <m:r>
            <m:t>10</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其中</w:t>
      </w:r>
      <m:oMath>
        <m:r>
          <m:t>η</m:t>
        </m:r>
        <m:r>
          <m:t> </m:t>
        </m:r>
        <m:r>
          <m:rPr>
            <m:sty m:val="p"/>
          </m:rPr>
          <m:t>Δ</m:t>
        </m:r>
        <m:r>
          <m:t>g</m:t>
        </m:r>
      </m:oMath>
      <w:r>
        <w:rPr>
          <w:rFonts w:hint="eastAsia" w:ascii="Times New Roman" w:hAnsi="Times New Roman" w:eastAsia="宋体"/>
          <w:b w:val="0"/>
          <w:color w:val="000000"/>
          <w:sz w:val="21"/>
        </w:rPr>
        <w:t xml:space="preserve">为方向引导项(</w:t>
      </w:r>
      <m:oMath>
        <m:r>
          <m:rPr>
            <m:sty m:val="p"/>
          </m:rPr>
          <m:t>Δ</m:t>
        </m:r>
        <m:r>
          <m:t>g</m:t>
        </m:r>
      </m:oMath>
      <w:r>
        <w:rPr>
          <w:rFonts w:hint="eastAsia" w:ascii="Times New Roman" w:hAnsi="Times New Roman" w:eastAsia="宋体"/>
          <w:b w:val="0"/>
          <w:color w:val="000000"/>
          <w:sz w:val="21"/>
        </w:rPr>
        <w:t xml:space="preserve">为本跳缩短的网格跳距)，用于保证智能体朝目的节点前进；</w:t>
      </w:r>
      <m:oMath>
        <m:r>
          <m:t>κ</m:t>
        </m:r>
      </m:oMath>
      <w:r>
        <w:rPr>
          <w:rFonts w:hint="eastAsia" w:ascii="Times New Roman" w:hAnsi="Times New Roman" w:eastAsia="宋体"/>
          <w:b w:val="0"/>
          <w:color w:val="000000"/>
          <w:sz w:val="21"/>
        </w:rPr>
        <w:t xml:space="preserve">为每跳固定代价，用于抑制冗余跳数；</w:t>
      </w:r>
      <m:oMath>
        <m:r>
          <m:t>R</m:t>
        </m:r>
      </m:oMath>
      <w:r>
        <w:rPr>
          <w:rFonts w:hint="eastAsia" w:ascii="Times New Roman" w:hAnsi="Times New Roman" w:eastAsia="宋体"/>
          <w:b w:val="0"/>
          <w:color w:val="000000"/>
          <w:sz w:val="21"/>
        </w:rPr>
        <w:t xml:space="preserve">为成功到达奖励；</w:t>
      </w:r>
      <m:oMath>
        <m:sSub>
          <m:e>
            <m:r>
              <m:rPr>
                <m:sty m:val="p"/>
              </m:rPr>
              <m:t>Φ</m:t>
            </m:r>
          </m:e>
          <m:sub>
            <m:r>
              <m:t>c</m:t>
            </m:r>
          </m:sub>
        </m:sSub>
      </m:oMath>
      <w:r>
        <w:rPr>
          <w:rFonts w:hint="eastAsia" w:ascii="Times New Roman" w:hAnsi="Times New Roman" w:eastAsia="宋体"/>
          <w:b w:val="0"/>
          <w:color w:val="000000"/>
          <w:sz w:val="21"/>
        </w:rPr>
        <w:t xml:space="preserve">为业务</w:t>
      </w:r>
      <m:oMath>
        <m:r>
          <m:t>c</m:t>
        </m:r>
      </m:oMath>
      <w:r>
        <w:rPr>
          <w:rFonts w:hint="eastAsia" w:ascii="Times New Roman" w:hAnsi="Times New Roman" w:eastAsia="宋体"/>
          <w:b w:val="0"/>
          <w:color w:val="000000"/>
          <w:sz w:val="21"/>
        </w:rPr>
        <w:t xml:space="preserve">的QoS惩罚项，其形式随业务类型而异</w:t>
      </w:r>
    </w:p>
    <w:p>
      <w:pPr>
        <w:pStyle w:val="BodyText"/>
      </w:pPr>
      <m:oMathPara>
        <m:oMathParaPr>
          <m:jc m:val="center"/>
        </m:oMathParaPr>
        <m:oMath>
          <m:sSub>
            <m:e>
              <m:r>
                <m:rPr>
                  <m:sty m:val="p"/>
                </m:rPr>
                <m:t>Φ</m:t>
              </m:r>
            </m:e>
            <m:sub>
              <m:r>
                <m:t>A</m:t>
              </m:r>
            </m:sub>
          </m:sSub>
          <m:r>
            <m:rPr>
              <m:sty m:val="p"/>
            </m:rPr>
            <m:t>=</m:t>
          </m:r>
          <m:sSub>
            <m:e>
              <m:r>
                <m:t>α</m:t>
              </m:r>
            </m:e>
            <m:sub>
              <m:r>
                <m:t>1</m:t>
              </m:r>
            </m:sub>
          </m:sSub>
          <m:sSub>
            <m:e>
              <m:r>
                <m:t>u</m:t>
              </m:r>
            </m:e>
            <m:sub>
              <m:r>
                <m:t>i</m:t>
              </m:r>
              <m:r>
                <m:t>j</m:t>
              </m:r>
            </m:sub>
          </m:sSub>
          <m:r>
            <m:rPr>
              <m:sty m:val="p"/>
            </m:rPr>
            <m:t>+</m:t>
          </m:r>
          <m:sSub>
            <m:e>
              <m:r>
                <m:t>α</m:t>
              </m:r>
            </m:e>
            <m:sub>
              <m:r>
                <m:t>2</m:t>
              </m:r>
            </m:sub>
          </m:sSub>
          <m:f>
            <m:fPr>
              <m:type m:val="bar"/>
            </m:fPr>
            <m:num>
              <m:sSub>
                <m:e>
                  <m:r>
                    <m:t>d</m:t>
                  </m:r>
                </m:e>
                <m:sub>
                  <m:r>
                    <m:t>i</m:t>
                  </m:r>
                  <m:r>
                    <m:t>j</m:t>
                  </m:r>
                </m:sub>
              </m:sSub>
              <m:r>
                <m:rPr>
                  <m:sty m:val="p"/>
                </m:rPr>
                <m:t>−</m:t>
              </m:r>
              <m:sSubSup>
                <m:e>
                  <m:r>
                    <m:t>d</m:t>
                  </m:r>
                </m:e>
                <m:sub>
                  <m:r>
                    <m:t>i</m:t>
                  </m:r>
                  <m:r>
                    <m:t>j</m:t>
                  </m:r>
                </m:sub>
                <m:sup>
                  <m:r>
                    <m:t>p</m:t>
                  </m:r>
                  <m:r>
                    <m:t>r</m:t>
                  </m:r>
                  <m:r>
                    <m:t>o</m:t>
                  </m:r>
                  <m:r>
                    <m:t>p</m:t>
                  </m:r>
                </m:sup>
              </m:sSubSup>
            </m:num>
            <m:den>
              <m:sSub>
                <m:e>
                  <m:r>
                    <m:t>d</m:t>
                  </m:r>
                </m:e>
                <m:sub>
                  <m:r>
                    <m:t>0</m:t>
                  </m:r>
                </m:sub>
              </m:sSub>
            </m:den>
          </m:f>
          <m:r>
            <m:rPr>
              <m:sty m:val="p"/>
            </m:rPr>
            <m:t>,</m:t>
          </m:r>
          <m:r>
            <m:t> </m:t>
          </m:r>
          <m:sSub>
            <m:e>
              <m:r>
                <m:rPr>
                  <m:sty m:val="p"/>
                </m:rPr>
                <m:t>Φ</m:t>
              </m:r>
            </m:e>
            <m:sub>
              <m:r>
                <m:t>B</m:t>
              </m:r>
            </m:sub>
          </m:sSub>
          <m:r>
            <m:rPr>
              <m:sty m:val="p"/>
            </m:rPr>
            <m:t>=</m:t>
          </m:r>
          <m:r>
            <m:t>β</m:t>
          </m:r>
          <m:r>
            <m:t> </m:t>
          </m:r>
          <m:sSub>
            <m:e>
              <m:r>
                <m:t>u</m:t>
              </m:r>
            </m:e>
            <m:sub>
              <m:r>
                <m:t>i</m:t>
              </m:r>
              <m:r>
                <m:t>j</m:t>
              </m:r>
            </m:sub>
          </m:sSub>
          <m:r>
            <m:rPr>
              <m:sty m:val="p"/>
            </m:rPr>
            <m:t>,</m:t>
          </m:r>
          <m:r>
            <m:t> </m:t>
          </m:r>
          <m:sSub>
            <m:e>
              <m:r>
                <m:rPr>
                  <m:sty m:val="p"/>
                </m:rPr>
                <m:t>Φ</m:t>
              </m:r>
            </m:e>
            <m:sub>
              <m:r>
                <m:t>C</m:t>
              </m:r>
            </m:sub>
          </m:sSub>
          <m:r>
            <m:rPr>
              <m:sty m:val="p"/>
            </m:rPr>
            <m:t>=</m:t>
          </m:r>
          <m:r>
            <m:t>γ</m:t>
          </m:r>
          <m:r>
            <m:t> </m:t>
          </m:r>
          <m:sSub>
            <m:e>
              <m:r>
                <m:t>u</m:t>
              </m:r>
            </m:e>
            <m:sub>
              <m:r>
                <m:t>i</m:t>
              </m:r>
              <m:r>
                <m:t>j</m:t>
              </m:r>
            </m:sub>
          </m:sSub>
          <m:r>
            <m:rPr>
              <m:sty m:val="p"/>
            </m:rPr>
            <m:t>+</m:t>
          </m:r>
          <m:r>
            <m:t>δ</m:t>
          </m:r>
          <m:r>
            <m:rPr>
              <m:sty m:val="p"/>
            </m:rPr>
            <m:t>⋅</m:t>
          </m:r>
          <m:r>
            <m:rPr>
              <m:scr m:val="double-struck"/>
              <m:sty m:val="p"/>
            </m:rPr>
            <m:t>1</m:t>
          </m:r>
          <m:r>
            <m:rPr>
              <m:sty m:val="p"/>
            </m:rPr>
            <m:t>[</m:t>
          </m:r>
          <m:sSub>
            <m:e>
              <m:r>
                <m:t>p</m:t>
              </m:r>
            </m:e>
            <m:sub>
              <m:r>
                <m:t>i</m:t>
              </m:r>
              <m:r>
                <m:t>j</m:t>
              </m:r>
            </m:sub>
          </m:sSub>
          <m:r>
            <m:rPr>
              <m:sty m:val="p"/>
            </m:rPr>
            <m:t>&gt;</m:t>
          </m:r>
          <m:sSubSup>
            <m:e>
              <m:r>
                <m:t>L</m:t>
              </m:r>
            </m:e>
            <m:sub>
              <m:r>
                <m:t>m</m:t>
              </m:r>
              <m:r>
                <m:t>a</m:t>
              </m:r>
              <m:r>
                <m:t>x</m:t>
              </m:r>
            </m:sub>
            <m:sup>
              <m:r>
                <m:t>C</m:t>
              </m:r>
            </m:sup>
          </m:sSubSup>
          <m:r>
            <m:rPr>
              <m:sty m:val="p"/>
            </m:rPr>
            <m:t>]</m:t>
          </m:r>
          <m:r>
            <m:t>  </m:t>
          </m:r>
          <m:r>
            <m:rPr>
              <m:sty m:val="p"/>
            </m:rPr>
            <m:t>(</m:t>
          </m:r>
          <m:r>
            <m:t>11</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式(11)体现了业务差异化的核心思想：A类业务对时延敏感，故同时惩罚排队时延与链路利用率；B类业务对带宽敏感，故重点惩罚高利用率以规避带宽瓶颈；C类业务对可靠性敏感，故在惩罚利用率的同时对超过丢包约束的链路施加额外惩罚。方向引导项的权重需明显大于QoS惩罚项，以确保智能体在规避拥塞的同时不偏离到达目标，这是保证高到达率的必要条件。由此，单一策略网络即可依据状态中的业务类型标识，为不同业务学习差异化的路由策略。</w:t>
      </w:r>
    </w:p>
    <w:bookmarkEnd w:id="17"/>
    <w:bookmarkStart w:id="18" w:name="下游拥塞势场"/>
    <w:p>
      <w:pPr>
        <w:pStyle w:val="Heading2"/>
        <w:spacing w:lineRule="auto" w:line="360"/>
      </w:pPr>
      <w:r>
        <w:rPr>
          <w:rFonts w:hint="eastAsia" w:ascii="Arial" w:hAnsi="Arial" w:eastAsia="黑体"/>
          <w:b/>
          <w:color w:val="000000"/>
          <w:sz w:val="24"/>
        </w:rPr>
        <w:t xml:space="preserve">下游拥塞势场</w:t>
      </w:r>
    </w:p>
    <w:p>
      <w:pPr>
        <w:pStyle w:val="FirstParagraph"/>
        <w:spacing w:lineRule="auto" w:line="360"/>
        <w:jc w:val="both"/>
        <w:ind w:firstLineChars="200"/>
      </w:pPr>
      <w:r>
        <w:rPr>
          <w:rFonts w:hint="eastAsia" w:ascii="Times New Roman" w:hAnsi="Times New Roman" w:eastAsia="宋体"/>
          <w:b w:val="0"/>
          <w:color w:val="000000"/>
          <w:sz w:val="21"/>
        </w:rPr>
        <w:t xml:space="preserve">上述状态仅包含当前节点一跳邻居的链路利用率，属于单跳拥塞视野。在流量热点汇聚、拥塞成片分布的场景下，单跳视野存在局限：智能体可能选择一个当前并不拥塞、但其下游通往拥塞区域的邻居，导致数据包在后续跳中陷入拥塞。为使智能体获得超越单跳的拥塞纵深感知，本文设计一种轻量的下游拥塞势场，作为对主干建模的增强。</w:t>
      </w:r>
    </w:p>
    <w:p>
      <w:pPr>
        <w:pStyle w:val="BodyText"/>
        <w:spacing w:lineRule="auto" w:line="360"/>
        <w:jc w:val="both"/>
        <w:ind w:firstLineChars="200"/>
      </w:pPr>
      <w:r>
        <w:rPr>
          <w:rFonts w:hint="eastAsia" w:ascii="Times New Roman" w:hAnsi="Times New Roman" w:eastAsia="宋体"/>
          <w:b w:val="0"/>
          <w:color w:val="000000"/>
          <w:sz w:val="21"/>
        </w:rPr>
        <w:t xml:space="preserve">对给定目的节点</w:t>
      </w:r>
      <m:oMath>
        <m:r>
          <m:t>d</m:t>
        </m:r>
        <m:r>
          <m:t>s</m:t>
        </m:r>
        <m:r>
          <m:t>t</m:t>
        </m:r>
      </m:oMath>
      <w:r>
        <w:rPr>
          <w:rFonts w:hint="eastAsia" w:ascii="Times New Roman" w:hAnsi="Times New Roman" w:eastAsia="宋体"/>
          <w:b w:val="0"/>
          <w:color w:val="000000"/>
          <w:sz w:val="21"/>
        </w:rPr>
        <w:t xml:space="preserve">，定义节点</w:t>
      </w:r>
      <m:oMath>
        <m:r>
          <m:t>i</m:t>
        </m:r>
      </m:oMath>
      <w:r>
        <w:rPr>
          <w:rFonts w:hint="eastAsia" w:ascii="Times New Roman" w:hAnsi="Times New Roman" w:eastAsia="宋体"/>
          <w:b w:val="0"/>
          <w:color w:val="000000"/>
          <w:sz w:val="21"/>
        </w:rPr>
        <w:t xml:space="preserve">的下游拥塞势</w:t>
      </w:r>
      <m:oMath>
        <m:sSub>
          <m:e>
            <m:r>
              <m:t>ψ</m:t>
            </m:r>
          </m:e>
          <m:sub>
            <m:r>
              <m:t>i</m:t>
            </m:r>
          </m:sub>
        </m:sSub>
      </m:oMath>
      <w:r>
        <w:rPr>
          <w:rFonts w:hint="eastAsia" w:ascii="Times New Roman" w:hAnsi="Times New Roman" w:eastAsia="宋体"/>
          <w:b w:val="0"/>
          <w:color w:val="000000"/>
          <w:sz w:val="21"/>
        </w:rPr>
        <w:t xml:space="preserve">为：从</w:t>
      </w:r>
      <m:oMath>
        <m:r>
          <m:t>i</m:t>
        </m:r>
      </m:oMath>
      <w:r>
        <w:rPr>
          <w:rFonts w:hint="eastAsia" w:ascii="Times New Roman" w:hAnsi="Times New Roman" w:eastAsia="宋体"/>
          <w:b w:val="0"/>
          <w:color w:val="000000"/>
          <w:sz w:val="21"/>
        </w:rPr>
        <w:t xml:space="preserve">出发沿”靠近目的且低拥塞”的方向前行时，下游路径上累积的、经折扣的拥塞水平。</w:t>
      </w:r>
      <m:oMath>
        <m:sSub>
          <m:e>
            <m:r>
              <m:t>ψ</m:t>
            </m:r>
          </m:e>
          <m:sub>
            <m:r>
              <m:t>i</m:t>
            </m:r>
          </m:sub>
        </m:sSub>
      </m:oMath>
      <w:r>
        <w:rPr>
          <w:rFonts w:hint="eastAsia" w:ascii="Times New Roman" w:hAnsi="Times New Roman" w:eastAsia="宋体"/>
          <w:b w:val="0"/>
          <w:color w:val="000000"/>
          <w:sz w:val="21"/>
        </w:rPr>
        <w:t xml:space="preserve">通过邻居间的局部迭代松弛求解</w:t>
      </w:r>
    </w:p>
    <w:p>
      <w:pPr>
        <w:pStyle w:val="BodyText"/>
      </w:pPr>
      <m:oMathPara>
        <m:oMathParaPr>
          <m:jc m:val="center"/>
        </m:oMathParaPr>
        <m:oMath>
          <m:sSub>
            <m:e>
              <m:r>
                <m:t>ψ</m:t>
              </m:r>
            </m:e>
            <m:sub>
              <m:r>
                <m:t>i</m:t>
              </m:r>
            </m:sub>
          </m:sSub>
          <m:r>
            <m:rPr>
              <m:sty m:val="p"/>
            </m:rPr>
            <m:t>=</m:t>
          </m:r>
          <m:limLow>
            <m:e>
              <m:r>
                <m:rPr>
                  <m:sty m:val="p"/>
                </m:rPr>
                <m:t>min</m:t>
              </m:r>
            </m:e>
            <m:lim>
              <m:r>
                <m:t>j</m:t>
              </m:r>
              <m:r>
                <m:rPr>
                  <m:sty m:val="p"/>
                </m:rPr>
                <m:t>∈</m:t>
              </m:r>
              <m:r>
                <m:rPr>
                  <m:scr m:val="script"/>
                  <m:sty m:val="p"/>
                </m:rPr>
                <m:t>N</m:t>
              </m:r>
              <m:r>
                <m:rPr>
                  <m:sty m:val="p"/>
                </m:rPr>
                <m:t>(</m:t>
              </m:r>
              <m:r>
                <m:t>i</m:t>
              </m:r>
              <m:r>
                <m:rPr>
                  <m:sty m:val="p"/>
                </m:rPr>
                <m:t>)</m:t>
              </m:r>
              <m:r>
                <m:rPr>
                  <m:sty m:val="p"/>
                </m:rPr>
                <m:t>,</m:t>
              </m:r>
              <m:r>
                <m:t> </m:t>
              </m:r>
              <m:r>
                <m:t>g</m:t>
              </m:r>
              <m:r>
                <m:rPr>
                  <m:sty m:val="p"/>
                </m:rPr>
                <m:t>(</m:t>
              </m:r>
              <m:r>
                <m:t>j</m:t>
              </m:r>
              <m:r>
                <m:rPr>
                  <m:sty m:val="p"/>
                </m:rPr>
                <m:t>,</m:t>
              </m:r>
              <m:r>
                <m:t>d</m:t>
              </m:r>
              <m:r>
                <m:t>s</m:t>
              </m:r>
              <m:r>
                <m:t>t</m:t>
              </m:r>
              <m:r>
                <m:rPr>
                  <m:sty m:val="p"/>
                </m:rPr>
                <m:t>)</m:t>
              </m:r>
              <m:r>
                <m:rPr>
                  <m:sty m:val="p"/>
                </m:rPr>
                <m:t>&lt;</m:t>
              </m:r>
              <m:r>
                <m:t>g</m:t>
              </m:r>
              <m:r>
                <m:rPr>
                  <m:sty m:val="p"/>
                </m:rPr>
                <m:t>(</m:t>
              </m:r>
              <m:r>
                <m:t>i</m:t>
              </m:r>
              <m:r>
                <m:rPr>
                  <m:sty m:val="p"/>
                </m:rPr>
                <m:t>,</m:t>
              </m:r>
              <m:r>
                <m:t>d</m:t>
              </m:r>
              <m:r>
                <m:t>s</m:t>
              </m:r>
              <m:r>
                <m:t>t</m:t>
              </m:r>
              <m:r>
                <m:rPr>
                  <m:sty m:val="p"/>
                </m:rPr>
                <m:t>)</m:t>
              </m:r>
            </m:lim>
          </m:limLow>
          <m:d>
            <m:dPr>
              <m:begChr m:val="("/>
              <m:sepChr m:val=""/>
              <m:endChr m:val=")"/>
              <m:grow/>
            </m:dPr>
            <m:e>
              <m:sSub>
                <m:e>
                  <m:r>
                    <m:t>u</m:t>
                  </m:r>
                </m:e>
                <m:sub>
                  <m:r>
                    <m:t>i</m:t>
                  </m:r>
                  <m:r>
                    <m:t>j</m:t>
                  </m:r>
                </m:sub>
              </m:sSub>
              <m:r>
                <m:rPr>
                  <m:sty m:val="p"/>
                </m:rPr>
                <m:t>+</m:t>
              </m:r>
              <m:r>
                <m:t>λ</m:t>
              </m:r>
              <m:r>
                <m:t> </m:t>
              </m:r>
              <m:sSub>
                <m:e>
                  <m:r>
                    <m:t>ψ</m:t>
                  </m:r>
                </m:e>
                <m:sub>
                  <m:r>
                    <m:t>j</m:t>
                  </m:r>
                </m:sub>
              </m:sSub>
            </m:e>
          </m:d>
          <m:r>
            <m:rPr>
              <m:sty m:val="p"/>
            </m:rPr>
            <m:t>,</m:t>
          </m:r>
          <m:r>
            <m:t> </m:t>
          </m:r>
          <m:sSub>
            <m:e>
              <m:r>
                <m:t>ψ</m:t>
              </m:r>
            </m:e>
            <m:sub>
              <m:r>
                <m:t>d</m:t>
              </m:r>
              <m:r>
                <m:t>s</m:t>
              </m:r>
              <m:r>
                <m:t>t</m:t>
              </m:r>
            </m:sub>
          </m:sSub>
          <m:r>
            <m:rPr>
              <m:sty m:val="p"/>
            </m:rPr>
            <m:t>=</m:t>
          </m:r>
          <m:r>
            <m:t>0</m:t>
          </m:r>
          <m:r>
            <m:t>  </m:t>
          </m:r>
          <m:r>
            <m:rPr>
              <m:sty m:val="p"/>
            </m:rPr>
            <m:t>(</m:t>
          </m:r>
          <m:r>
            <m:t>12</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其中</w:t>
      </w:r>
      <m:oMath>
        <m:r>
          <m:t>g</m:t>
        </m:r>
        <m:r>
          <m:rPr>
            <m:sty m:val="p"/>
          </m:rPr>
          <m:t>(</m:t>
        </m:r>
        <m:r>
          <m:rPr>
            <m:sty m:val="p"/>
          </m:rPr>
          <m:t>⋅</m:t>
        </m:r>
        <m:r>
          <m:rPr>
            <m:sty m:val="p"/>
          </m:rPr>
          <m:t>,</m:t>
        </m:r>
        <m:r>
          <m:t>d</m:t>
        </m:r>
        <m:r>
          <m:t>s</m:t>
        </m:r>
        <m:r>
          <m:t>t</m:t>
        </m:r>
        <m:r>
          <m:rPr>
            <m:sty m:val="p"/>
          </m:rPr>
          <m:t>)</m:t>
        </m:r>
      </m:oMath>
      <w:r>
        <w:rPr>
          <w:rFonts w:hint="eastAsia" w:ascii="Times New Roman" w:hAnsi="Times New Roman" w:eastAsia="宋体"/>
          <w:b w:val="0"/>
          <w:color w:val="000000"/>
          <w:sz w:val="21"/>
        </w:rPr>
        <w:t xml:space="preserve">为到目的的网格跳距，约束</w:t>
      </w:r>
      <m:oMath>
        <m:r>
          <m:t>g</m:t>
        </m:r>
        <m:r>
          <m:rPr>
            <m:sty m:val="p"/>
          </m:rPr>
          <m:t>(</m:t>
        </m:r>
        <m:r>
          <m:t>j</m:t>
        </m:r>
        <m:r>
          <m:rPr>
            <m:sty m:val="p"/>
          </m:rPr>
          <m:t>,</m:t>
        </m:r>
        <m:r>
          <m:t>d</m:t>
        </m:r>
        <m:r>
          <m:t>s</m:t>
        </m:r>
        <m:r>
          <m:t>t</m:t>
        </m:r>
        <m:r>
          <m:rPr>
            <m:sty m:val="p"/>
          </m:rPr>
          <m:t>)</m:t>
        </m:r>
        <m:r>
          <m:rPr>
            <m:sty m:val="p"/>
          </m:rPr>
          <m:t>&lt;</m:t>
        </m:r>
        <m:r>
          <m:t>g</m:t>
        </m:r>
        <m:r>
          <m:rPr>
            <m:sty m:val="p"/>
          </m:rPr>
          <m:t>(</m:t>
        </m:r>
        <m:r>
          <m:t>i</m:t>
        </m:r>
        <m:r>
          <m:rPr>
            <m:sty m:val="p"/>
          </m:rPr>
          <m:t>,</m:t>
        </m:r>
        <m:r>
          <m:t>d</m:t>
        </m:r>
        <m:r>
          <m:t>s</m:t>
        </m:r>
        <m:r>
          <m:t>t</m:t>
        </m:r>
        <m:r>
          <m:rPr>
            <m:sty m:val="p"/>
          </m:rPr>
          <m:t>)</m:t>
        </m:r>
      </m:oMath>
      <w:r>
        <w:rPr>
          <w:rFonts w:hint="eastAsia" w:ascii="Times New Roman" w:hAnsi="Times New Roman" w:eastAsia="宋体"/>
          <w:b w:val="0"/>
          <w:color w:val="000000"/>
          <w:sz w:val="21"/>
        </w:rPr>
        <w:t xml:space="preserve">保证势沿靠近目的的方向传播，</w:t>
      </w:r>
      <m:oMath>
        <m:r>
          <m:t>λ</m:t>
        </m:r>
        <m:r>
          <m:rPr>
            <m:sty m:val="p"/>
          </m:rPr>
          <m:t>∈</m:t>
        </m:r>
        <m:r>
          <m:rPr>
            <m:sty m:val="p"/>
          </m:rPr>
          <m:t>(</m:t>
        </m:r>
        <m:r>
          <m:t>0</m:t>
        </m:r>
        <m:r>
          <m:rPr>
            <m:sty m:val="p"/>
          </m:rPr>
          <m:t>,</m:t>
        </m:r>
        <m:r>
          <m:t>1</m:t>
        </m:r>
        <m:r>
          <m:rPr>
            <m:sty m:val="p"/>
          </m:rPr>
          <m:t>)</m:t>
        </m:r>
      </m:oMath>
      <w:r>
        <w:rPr>
          <w:rFonts w:hint="eastAsia" w:ascii="Times New Roman" w:hAnsi="Times New Roman" w:eastAsia="宋体"/>
          <w:b w:val="0"/>
          <w:color w:val="000000"/>
          <w:sz w:val="21"/>
        </w:rPr>
        <w:t xml:space="preserve">为折扣因子。式(12)仅需各节点与其邻居交换标量</w:t>
      </w:r>
      <m:oMath>
        <m:r>
          <m:t>ψ</m:t>
        </m:r>
      </m:oMath>
      <w:r>
        <w:rPr>
          <w:rFonts w:hint="eastAsia" w:ascii="Times New Roman" w:hAnsi="Times New Roman" w:eastAsia="宋体"/>
          <w:b w:val="0"/>
          <w:color w:val="000000"/>
          <w:sz w:val="21"/>
        </w:rPr>
        <w:t xml:space="preserve">并迭代若干轮即可收敛，计算与通信开销低，符合卫星仅具备本地信息的约束。</w:t>
      </w:r>
      <m:oMath>
        <m:sSub>
          <m:e>
            <m:r>
              <m:t>ψ</m:t>
            </m:r>
          </m:e>
          <m:sub>
            <m:r>
              <m:t>i</m:t>
            </m:r>
          </m:sub>
        </m:sSub>
      </m:oMath>
      <w:r>
        <w:rPr>
          <w:rFonts w:hint="eastAsia" w:ascii="Times New Roman" w:hAnsi="Times New Roman" w:eastAsia="宋体"/>
          <w:b w:val="0"/>
          <w:color w:val="000000"/>
          <w:sz w:val="21"/>
        </w:rPr>
        <w:t xml:space="preserve">越大，表明沿该节点通往目的的道路越拥塞。将各邻居的</w:t>
      </w:r>
      <m:oMath>
        <m:sSub>
          <m:e>
            <m:r>
              <m:t>ψ</m:t>
            </m:r>
          </m:e>
          <m:sub>
            <m:r>
              <m:t>j</m:t>
            </m:r>
          </m:sub>
        </m:sSub>
      </m:oMath>
      <w:r>
        <w:rPr>
          <w:rFonts w:hint="eastAsia" w:ascii="Times New Roman" w:hAnsi="Times New Roman" w:eastAsia="宋体"/>
          <w:b w:val="0"/>
          <w:color w:val="000000"/>
          <w:sz w:val="21"/>
        </w:rPr>
        <w:t xml:space="preserve">归一化后加入状态[式(8)]，并在奖励中对通往高势方向的动作施加惩罚，即可引导智能体提前规避通往拥塞区域的路径。该机制在流量热点汇聚的严重拥塞场景下尤为有效，其作用将在3.4节验证。</w:t>
      </w:r>
    </w:p>
    <w:bookmarkEnd w:id="18"/>
    <w:bookmarkStart w:id="19" w:name="竞争式双深度q网络求解"/>
    <w:p>
      <w:pPr>
        <w:pStyle w:val="Heading2"/>
        <w:spacing w:lineRule="auto" w:line="360"/>
      </w:pPr>
      <w:r>
        <w:rPr>
          <w:rFonts w:hint="eastAsia" w:ascii="Arial" w:hAnsi="Arial" w:eastAsia="黑体"/>
          <w:b/>
          <w:color w:val="000000"/>
          <w:sz w:val="24"/>
        </w:rPr>
        <w:t xml:space="preserve">竞争式双深度Q网络求解</w:t>
      </w:r>
    </w:p>
    <w:p>
      <w:pPr>
        <w:pStyle w:val="FirstParagraph"/>
        <w:spacing w:lineRule="auto" w:line="360"/>
        <w:jc w:val="both"/>
        <w:ind w:firstLineChars="200"/>
      </w:pPr>
      <w:r>
        <w:rPr>
          <w:rFonts w:hint="eastAsia" w:ascii="Times New Roman" w:hAnsi="Times New Roman" w:eastAsia="宋体"/>
          <w:b w:val="0"/>
          <w:color w:val="000000"/>
          <w:sz w:val="21"/>
        </w:rPr>
        <w:t xml:space="preserve">由于本文动作空间为离散的四方向选择，采用适合离散动作的深度Q网络进行求解。为提升值估计的准确性与训练稳定性，本文在网络结构与训练目标两个层面分别引入改进。</w:t>
      </w:r>
    </w:p>
    <w:p>
      <w:pPr>
        <w:pStyle w:val="BodyText"/>
        <w:spacing w:lineRule="auto" w:line="360"/>
        <w:jc w:val="both"/>
        <w:ind w:firstLineChars="200"/>
      </w:pPr>
      <w:r>
        <w:rPr>
          <w:rFonts w:hint="eastAsia" w:ascii="Times New Roman" w:hAnsi="Times New Roman" w:eastAsia="宋体"/>
          <w:b w:val="0"/>
          <w:bCs/>
          <w:color w:val="000000"/>
          <w:sz w:val="21"/>
        </w:rPr>
        <w:t xml:space="preserve">竞争式网络结构</w:t>
      </w:r>
      <w:r>
        <w:rPr>
          <w:rFonts w:hint="eastAsia" w:ascii="Times New Roman" w:hAnsi="Times New Roman" w:eastAsia="宋体"/>
          <w:b w:val="0"/>
          <w:color w:val="000000"/>
          <w:sz w:val="21"/>
        </w:rPr>
        <w:t xml:space="preserve">：传统DQN直接由网络输出各动作的Q值，当某状态下多个动作价值相近时(例如当前节点被拥塞链路包围、各方向均不理想)，难以准确区分状态本身的价值与各动作的相对优劣。竞争式网络</w:t>
      </w:r>
      <w:r>
        <w:rPr>
          <w:rFonts w:ascii="Times New Roman" w:hAnsi="Times New Roman" w:eastAsia="宋体"/>
          <w:b w:val="0"/>
          <w:color w:val="000000"/>
          <w:sz w:val="15"/>
          <w:vertAlign w:val="superscript"/>
        </w:rPr>
        <w:t xml:space="preserve">[9]</w:t>
      </w:r>
      <w:r>
        <w:rPr>
          <w:rFonts w:hint="eastAsia" w:ascii="Times New Roman" w:hAnsi="Times New Roman" w:eastAsia="宋体"/>
          <w:b w:val="0"/>
          <w:color w:val="000000"/>
          <w:sz w:val="21"/>
        </w:rPr>
        <w:t xml:space="preserve">将Q值分解为仅与状态相关的状态价值</w:t>
      </w:r>
      <m:oMath>
        <m:r>
          <m:t>V</m:t>
        </m:r>
        <m:r>
          <m:rPr>
            <m:sty m:val="p"/>
          </m:rPr>
          <m:t>(</m:t>
        </m:r>
        <m:r>
          <m:t>s</m:t>
        </m:r>
        <m:r>
          <m:rPr>
            <m:sty m:val="p"/>
          </m:rPr>
          <m:t>)</m:t>
        </m:r>
      </m:oMath>
      <w:r>
        <w:rPr>
          <w:rFonts w:hint="eastAsia" w:ascii="Times New Roman" w:hAnsi="Times New Roman" w:eastAsia="宋体"/>
          <w:b w:val="0"/>
          <w:color w:val="000000"/>
          <w:sz w:val="21"/>
        </w:rPr>
        <w:t xml:space="preserve">和刻画各动作相对优劣的优势函数</w:t>
      </w:r>
      <m:oMath>
        <m:r>
          <m:t>A</m:t>
        </m:r>
        <m:r>
          <m:rPr>
            <m:sty m:val="p"/>
          </m:rPr>
          <m:t>(</m:t>
        </m:r>
        <m:r>
          <m:t>s</m:t>
        </m:r>
        <m:r>
          <m:rPr>
            <m:sty m:val="p"/>
          </m:rPr>
          <m:t>,</m:t>
        </m:r>
        <m:r>
          <m:t>a</m:t>
        </m:r>
        <m:r>
          <m:rPr>
            <m:sty m:val="p"/>
          </m:rPr>
          <m:t>)</m:t>
        </m:r>
      </m:oMath>
      <w:r>
        <w:rPr>
          <w:rFonts w:hint="eastAsia" w:ascii="Times New Roman" w:hAnsi="Times New Roman" w:eastAsia="宋体"/>
          <w:b w:val="0"/>
          <w:color w:val="000000"/>
          <w:sz w:val="21"/>
        </w:rPr>
        <w:t xml:space="preserve">，即</w:t>
      </w:r>
    </w:p>
    <w:p>
      <w:pPr>
        <w:pStyle w:val="BodyText"/>
      </w:pPr>
      <m:oMathPara>
        <m:oMathParaPr>
          <m:jc m:val="center"/>
        </m:oMathParaPr>
        <m:oMath>
          <m:r>
            <m:t>Q</m:t>
          </m:r>
          <m:r>
            <m:rPr>
              <m:sty m:val="p"/>
            </m:rPr>
            <m:t>(</m:t>
          </m:r>
          <m:r>
            <m:t>s</m:t>
          </m:r>
          <m:r>
            <m:rPr>
              <m:sty m:val="p"/>
            </m:rPr>
            <m:t>,</m:t>
          </m:r>
          <m:r>
            <m:t>a</m:t>
          </m:r>
          <m:r>
            <m:rPr>
              <m:sty m:val="p"/>
            </m:rPr>
            <m:t>;</m:t>
          </m:r>
          <m:r>
            <m:t>θ</m:t>
          </m:r>
          <m:r>
            <m:rPr>
              <m:sty m:val="p"/>
            </m:rPr>
            <m:t>)</m:t>
          </m:r>
          <m:r>
            <m:rPr>
              <m:sty m:val="p"/>
            </m:rPr>
            <m:t>=</m:t>
          </m:r>
          <m:r>
            <m:t>V</m:t>
          </m:r>
          <m:r>
            <m:rPr>
              <m:sty m:val="p"/>
            </m:rPr>
            <m:t>(</m:t>
          </m:r>
          <m:r>
            <m:t>s</m:t>
          </m:r>
          <m:r>
            <m:rPr>
              <m:sty m:val="p"/>
            </m:rPr>
            <m:t>;</m:t>
          </m:r>
          <m:r>
            <m:t>θ</m:t>
          </m:r>
          <m:r>
            <m:rPr>
              <m:sty m:val="p"/>
            </m:rPr>
            <m:t>)</m:t>
          </m:r>
          <m:r>
            <m:rPr>
              <m:sty m:val="p"/>
            </m:rPr>
            <m:t>+</m:t>
          </m:r>
          <m:d>
            <m:dPr>
              <m:begChr m:val="("/>
              <m:sepChr m:val=""/>
              <m:endChr m:val=")"/>
              <m:grow/>
            </m:dPr>
            <m:e>
              <m:r>
                <m:t>A</m:t>
              </m:r>
              <m:r>
                <m:rPr>
                  <m:sty m:val="p"/>
                </m:rPr>
                <m:t>(</m:t>
              </m:r>
              <m:r>
                <m:t>s</m:t>
              </m:r>
              <m:r>
                <m:rPr>
                  <m:sty m:val="p"/>
                </m:rPr>
                <m:t>,</m:t>
              </m:r>
              <m:r>
                <m:t>a</m:t>
              </m:r>
              <m:r>
                <m:rPr>
                  <m:sty m:val="p"/>
                </m:rPr>
                <m:t>;</m:t>
              </m:r>
              <m:r>
                <m:t>θ</m:t>
              </m:r>
              <m:r>
                <m:rPr>
                  <m:sty m:val="p"/>
                </m:rPr>
                <m:t>)</m:t>
              </m:r>
              <m:r>
                <m:rPr>
                  <m:sty m:val="p"/>
                </m:rPr>
                <m:t>−</m:t>
              </m:r>
              <m:f>
                <m:fPr>
                  <m:type m:val="bar"/>
                </m:fPr>
                <m:num>
                  <m:r>
                    <m:t>1</m:t>
                  </m:r>
                </m:num>
                <m:den>
                  <m:r>
                    <m:rPr>
                      <m:sty m:val="p"/>
                    </m:rPr>
                    <m:t>|</m:t>
                  </m:r>
                  <m:r>
                    <m:rPr>
                      <m:scr m:val="script"/>
                      <m:sty m:val="p"/>
                    </m:rPr>
                    <m:t>A</m:t>
                  </m:r>
                  <m:r>
                    <m:rPr>
                      <m:sty m:val="p"/>
                    </m:rPr>
                    <m:t>|</m:t>
                  </m:r>
                </m:den>
              </m:f>
              <m:nary>
                <m:naryPr>
                  <m:chr m:val="∑"/>
                  <m:limLoc m:val="undOvr"/>
                  <m:subHide m:val="off"/>
                  <m:supHide m:val="on"/>
                </m:naryPr>
                <m:sub>
                  <m:sSup>
                    <m:e>
                      <m:r>
                        <m:t>a</m:t>
                      </m:r>
                    </m:e>
                    <m:sup>
                      <m:r>
                        <m:rPr>
                          <m:sty m:val="p"/>
                        </m:rPr>
                        <m:t>′</m:t>
                      </m:r>
                    </m:sup>
                  </m:sSup>
                </m:sub>
                <m:sup>
                  <m:r>
                    <m:t>​</m:t>
                  </m:r>
                </m:sup>
                <m:e>
                  <m:r>
                    <m:t>A</m:t>
                  </m:r>
                </m:e>
              </m:nary>
              <m:r>
                <m:rPr>
                  <m:sty m:val="p"/>
                </m:rPr>
                <m:t>(</m:t>
              </m:r>
              <m:r>
                <m:t>s</m:t>
              </m:r>
              <m:r>
                <m:rPr>
                  <m:sty m:val="p"/>
                </m:rPr>
                <m:t>,</m:t>
              </m:r>
              <m:sSup>
                <m:e>
                  <m:r>
                    <m:t>a</m:t>
                  </m:r>
                </m:e>
                <m:sup>
                  <m:r>
                    <m:rPr>
                      <m:sty m:val="p"/>
                    </m:rPr>
                    <m:t>′</m:t>
                  </m:r>
                </m:sup>
              </m:sSup>
              <m:r>
                <m:rPr>
                  <m:sty m:val="p"/>
                </m:rPr>
                <m:t>;</m:t>
              </m:r>
              <m:r>
                <m:t>θ</m:t>
              </m:r>
              <m:r>
                <m:rPr>
                  <m:sty m:val="p"/>
                </m:rPr>
                <m:t>)</m:t>
              </m:r>
            </m:e>
          </m:d>
          <m:r>
            <m:t>  </m:t>
          </m:r>
          <m:r>
            <m:rPr>
              <m:sty m:val="p"/>
            </m:rPr>
            <m:t>(</m:t>
          </m:r>
          <m:r>
            <m:t>13</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式(13)中减去优势均值是为了保证</w:t>
      </w:r>
      <m:oMath>
        <m:r>
          <m:t>V</m:t>
        </m:r>
      </m:oMath>
      <w:r>
        <w:rPr>
          <w:rFonts w:hint="eastAsia" w:ascii="Times New Roman" w:hAnsi="Times New Roman" w:eastAsia="宋体"/>
          <w:b w:val="0"/>
          <w:color w:val="000000"/>
          <w:sz w:val="21"/>
        </w:rPr>
        <w:t xml:space="preserve">与</w:t>
      </w:r>
      <m:oMath>
        <m:r>
          <m:t>A</m:t>
        </m:r>
      </m:oMath>
      <w:r>
        <w:rPr>
          <w:rFonts w:hint="eastAsia" w:ascii="Times New Roman" w:hAnsi="Times New Roman" w:eastAsia="宋体"/>
          <w:b w:val="0"/>
          <w:color w:val="000000"/>
          <w:sz w:val="21"/>
        </w:rPr>
        <w:t xml:space="preserve">分解的唯一性。该结构使网络能够在不依赖具体动作的情况下独立学习状态价值，从而在动作价值相近时获得更稳定的估计。</w:t>
      </w:r>
    </w:p>
    <w:p>
      <w:pPr>
        <w:pStyle w:val="BodyText"/>
        <w:spacing w:lineRule="auto" w:line="360"/>
        <w:jc w:val="both"/>
        <w:ind w:firstLineChars="200"/>
      </w:pPr>
      <w:r>
        <w:rPr>
          <w:rFonts w:hint="eastAsia" w:ascii="Times New Roman" w:hAnsi="Times New Roman" w:eastAsia="宋体"/>
          <w:b w:val="0"/>
          <w:bCs/>
          <w:color w:val="000000"/>
          <w:sz w:val="21"/>
        </w:rPr>
        <w:t xml:space="preserve">双深度Q网络训练</w:t>
      </w:r>
      <w:r>
        <w:rPr>
          <w:rFonts w:hint="eastAsia" w:ascii="Times New Roman" w:hAnsi="Times New Roman" w:eastAsia="宋体"/>
          <w:b w:val="0"/>
          <w:color w:val="000000"/>
          <w:sz w:val="21"/>
        </w:rPr>
        <w:t xml:space="preserve">：为缓解传统DQN对Q值的过估计问题，本文采用双深度Q网络</w:t>
      </w:r>
      <w:r>
        <w:rPr>
          <w:rFonts w:ascii="Times New Roman" w:hAnsi="Times New Roman" w:eastAsia="宋体"/>
          <w:b w:val="0"/>
          <w:color w:val="000000"/>
          <w:sz w:val="15"/>
          <w:vertAlign w:val="superscript"/>
        </w:rPr>
        <w:t xml:space="preserve">[10]</w:t>
      </w:r>
      <w:r>
        <w:rPr>
          <w:rFonts w:hint="eastAsia" w:ascii="Times New Roman" w:hAnsi="Times New Roman" w:eastAsia="宋体"/>
          <w:b w:val="0"/>
          <w:color w:val="000000"/>
          <w:sz w:val="21"/>
        </w:rPr>
        <w:t xml:space="preserve">，其时序差分目标为</w:t>
      </w:r>
    </w:p>
    <w:p>
      <w:pPr>
        <w:pStyle w:val="BodyText"/>
      </w:pPr>
      <m:oMathPara>
        <m:oMathParaPr>
          <m:jc m:val="center"/>
        </m:oMathParaPr>
        <m:oMath>
          <m:sSub>
            <m:e>
              <m:r>
                <m:t>y</m:t>
              </m:r>
            </m:e>
            <m:sub>
              <m:r>
                <m:t>t</m:t>
              </m:r>
            </m:sub>
          </m:sSub>
          <m:r>
            <m:rPr>
              <m:sty m:val="p"/>
            </m:rPr>
            <m:t>=</m:t>
          </m:r>
          <m:sSub>
            <m:e>
              <m:r>
                <m:t>r</m:t>
              </m:r>
            </m:e>
            <m:sub>
              <m:r>
                <m:t>t</m:t>
              </m:r>
            </m:sub>
          </m:sSub>
          <m:r>
            <m:rPr>
              <m:sty m:val="p"/>
            </m:rPr>
            <m:t>+</m:t>
          </m:r>
          <m:r>
            <m:t>γ</m:t>
          </m:r>
          <m:r>
            <m:t> </m:t>
          </m:r>
          <m:r>
            <m:t>Q</m:t>
          </m:r>
          <m:r>
            <m:t>​</m:t>
          </m:r>
          <m:d>
            <m:dPr>
              <m:begChr m:val="("/>
              <m:sepChr m:val=""/>
              <m:endChr m:val=")"/>
              <m:grow/>
            </m:dPr>
            <m:e>
              <m:sSub>
                <m:e>
                  <m:r>
                    <m:t>s</m:t>
                  </m:r>
                </m:e>
                <m:sub>
                  <m:r>
                    <m:t>t</m:t>
                  </m:r>
                  <m:r>
                    <m:rPr>
                      <m:sty m:val="p"/>
                    </m:rPr>
                    <m:t>+</m:t>
                  </m:r>
                  <m:r>
                    <m:t>1</m:t>
                  </m:r>
                </m:sub>
              </m:sSub>
              <m:r>
                <m:rPr>
                  <m:sty m:val="p"/>
                </m:rPr>
                <m:t>,</m:t>
              </m:r>
              <m:r>
                <m:rPr>
                  <m:sty m:val="p"/>
                </m:rPr>
                <m:t>arg</m:t>
              </m:r>
              <m:limLow>
                <m:e>
                  <m:r>
                    <m:rPr>
                      <m:sty m:val="p"/>
                    </m:rPr>
                    <m:t>max</m:t>
                  </m:r>
                </m:e>
                <m:lim>
                  <m:sSup>
                    <m:e>
                      <m:r>
                        <m:t>a</m:t>
                      </m:r>
                    </m:e>
                    <m:sup>
                      <m:r>
                        <m:rPr>
                          <m:sty m:val="p"/>
                        </m:rPr>
                        <m:t>′</m:t>
                      </m:r>
                    </m:sup>
                  </m:sSup>
                </m:lim>
              </m:limLow>
              <m:r>
                <m:t>Q</m:t>
              </m:r>
              <m:r>
                <m:rPr>
                  <m:sty m:val="p"/>
                </m:rPr>
                <m:t>(</m:t>
              </m:r>
              <m:sSub>
                <m:e>
                  <m:r>
                    <m:t>s</m:t>
                  </m:r>
                </m:e>
                <m:sub>
                  <m:r>
                    <m:t>t</m:t>
                  </m:r>
                  <m:r>
                    <m:rPr>
                      <m:sty m:val="p"/>
                    </m:rPr>
                    <m:t>+</m:t>
                  </m:r>
                  <m:r>
                    <m:t>1</m:t>
                  </m:r>
                </m:sub>
              </m:sSub>
              <m:r>
                <m:rPr>
                  <m:sty m:val="p"/>
                </m:rPr>
                <m:t>,</m:t>
              </m:r>
              <m:sSup>
                <m:e>
                  <m:r>
                    <m:t>a</m:t>
                  </m:r>
                </m:e>
                <m:sup>
                  <m:r>
                    <m:rPr>
                      <m:sty m:val="p"/>
                    </m:rPr>
                    <m:t>′</m:t>
                  </m:r>
                </m:sup>
              </m:sSup>
              <m:r>
                <m:rPr>
                  <m:sty m:val="p"/>
                </m:rPr>
                <m:t>;</m:t>
              </m:r>
              <m:r>
                <m:t>θ</m:t>
              </m:r>
              <m:r>
                <m:rPr>
                  <m:sty m:val="p"/>
                </m:rPr>
                <m:t>)</m:t>
              </m:r>
              <m:r>
                <m:rPr>
                  <m:sty m:val="p"/>
                </m:rPr>
                <m:t>;</m:t>
              </m:r>
              <m:sSup>
                <m:e>
                  <m:r>
                    <m:t>θ</m:t>
                  </m:r>
                </m:e>
                <m:sup>
                  <m:r>
                    <m:rPr>
                      <m:sty m:val="p"/>
                    </m:rPr>
                    <m:t>−</m:t>
                  </m:r>
                </m:sup>
              </m:sSup>
            </m:e>
          </m:d>
          <m:r>
            <m:t>  </m:t>
          </m:r>
          <m:r>
            <m:rPr>
              <m:sty m:val="p"/>
            </m:rPr>
            <m:t>(</m:t>
          </m:r>
          <m:r>
            <m:t>14</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式(14)中，下一状态的最优动作由在线网络</w:t>
      </w:r>
      <m:oMath>
        <m:r>
          <m:t>θ</m:t>
        </m:r>
      </m:oMath>
      <w:r>
        <w:rPr>
          <w:rFonts w:hint="eastAsia" w:ascii="Times New Roman" w:hAnsi="Times New Roman" w:eastAsia="宋体"/>
          <w:b w:val="0"/>
          <w:color w:val="000000"/>
          <w:sz w:val="21"/>
        </w:rPr>
        <w:t xml:space="preserve">选择、其价值由目标网络</w:t>
      </w:r>
      <m:oMath>
        <m:sSup>
          <m:e>
            <m:r>
              <m:t>θ</m:t>
            </m:r>
          </m:e>
          <m:sup>
            <m:r>
              <m:rPr>
                <m:sty m:val="p"/>
              </m:rPr>
              <m:t>−</m:t>
            </m:r>
          </m:sup>
        </m:sSup>
      </m:oMath>
      <w:r>
        <w:rPr>
          <w:rFonts w:hint="eastAsia" w:ascii="Times New Roman" w:hAnsi="Times New Roman" w:eastAsia="宋体"/>
          <w:b w:val="0"/>
          <w:color w:val="000000"/>
          <w:sz w:val="21"/>
        </w:rPr>
        <w:t xml:space="preserve">评估，二者解耦从而抑制过估计。网络参数通过最小化Huber损失更新</w:t>
      </w:r>
    </w:p>
    <w:p>
      <w:pPr>
        <w:pStyle w:val="BodyText"/>
      </w:pPr>
      <m:oMathPara>
        <m:oMathParaPr>
          <m:jc m:val="center"/>
        </m:oMathParaPr>
        <m:oMath>
          <m:r>
            <m:rPr>
              <m:scr m:val="script"/>
              <m:sty m:val="p"/>
            </m:rPr>
            <m:t>L</m:t>
          </m:r>
          <m:r>
            <m:rPr>
              <m:sty m:val="p"/>
            </m:rPr>
            <m:t>(</m:t>
          </m:r>
          <m:r>
            <m:t>θ</m:t>
          </m:r>
          <m:r>
            <m:rPr>
              <m:sty m:val="p"/>
            </m:rPr>
            <m:t>)</m:t>
          </m:r>
          <m:r>
            <m:rPr>
              <m:sty m:val="p"/>
            </m:rPr>
            <m:t>=</m:t>
          </m:r>
          <m:r>
            <m:rPr>
              <m:scr m:val="double-struck"/>
              <m:sty m:val="p"/>
            </m:rPr>
            <m:t>E</m:t>
          </m:r>
          <m:d>
            <m:dPr>
              <m:begChr m:val="["/>
              <m:sepChr m:val=""/>
              <m:endChr m:val="]"/>
              <m:grow/>
            </m:dPr>
            <m:e>
              <m:r>
                <m:t> </m:t>
              </m:r>
              <m:r>
                <m:rPr>
                  <m:sty m:val="p"/>
                </m:rPr>
                <m:t>H</m:t>
              </m:r>
              <m:r>
                <m:rPr>
                  <m:sty m:val="p"/>
                </m:rPr>
                <m:t>u</m:t>
              </m:r>
              <m:r>
                <m:rPr>
                  <m:sty m:val="p"/>
                </m:rPr>
                <m:t>b</m:t>
              </m:r>
              <m:r>
                <m:rPr>
                  <m:sty m:val="p"/>
                </m:rPr>
                <m:t>e</m:t>
              </m:r>
              <m:r>
                <m:rPr>
                  <m:sty m:val="p"/>
                </m:rPr>
                <m:t>r</m:t>
              </m:r>
              <m:r>
                <m:t>​</m:t>
              </m:r>
              <m:d>
                <m:dPr>
                  <m:begChr m:val="("/>
                  <m:sepChr m:val=""/>
                  <m:endChr m:val=")"/>
                  <m:grow/>
                </m:dPr>
                <m:e>
                  <m:sSub>
                    <m:e>
                      <m:r>
                        <m:t>y</m:t>
                      </m:r>
                    </m:e>
                    <m:sub>
                      <m:r>
                        <m:t>t</m:t>
                      </m:r>
                    </m:sub>
                  </m:sSub>
                  <m:r>
                    <m:rPr>
                      <m:sty m:val="p"/>
                    </m:rPr>
                    <m:t>−</m:t>
                  </m:r>
                  <m:r>
                    <m:t>Q</m:t>
                  </m:r>
                  <m:r>
                    <m:rPr>
                      <m:sty m:val="p"/>
                    </m:rPr>
                    <m:t>(</m:t>
                  </m:r>
                  <m:sSub>
                    <m:e>
                      <m:r>
                        <m:t>s</m:t>
                      </m:r>
                    </m:e>
                    <m:sub>
                      <m:r>
                        <m:t>t</m:t>
                      </m:r>
                    </m:sub>
                  </m:sSub>
                  <m:r>
                    <m:rPr>
                      <m:sty m:val="p"/>
                    </m:rPr>
                    <m:t>,</m:t>
                  </m:r>
                  <m:sSub>
                    <m:e>
                      <m:r>
                        <m:t>a</m:t>
                      </m:r>
                    </m:e>
                    <m:sub>
                      <m:r>
                        <m:t>t</m:t>
                      </m:r>
                    </m:sub>
                  </m:sSub>
                  <m:r>
                    <m:rPr>
                      <m:sty m:val="p"/>
                    </m:rPr>
                    <m:t>;</m:t>
                  </m:r>
                  <m:r>
                    <m:t>θ</m:t>
                  </m:r>
                  <m:r>
                    <m:rPr>
                      <m:sty m:val="p"/>
                    </m:rPr>
                    <m:t>)</m:t>
                  </m:r>
                </m:e>
              </m:d>
            </m:e>
          </m:d>
          <m:r>
            <m:t>  </m:t>
          </m:r>
          <m:r>
            <m:rPr>
              <m:sty m:val="p"/>
            </m:rPr>
            <m:t>(</m:t>
          </m:r>
          <m:r>
            <m:t>15</m:t>
          </m:r>
          <m:r>
            <m:rPr>
              <m:sty m:val="p"/>
            </m:rPr>
            <m:t>)</m:t>
          </m:r>
        </m:oMath>
      </m:oMathPara>
    </w:p>
    <w:p>
      <w:pPr>
        <w:pStyle w:val="FirstParagraph"/>
        <w:spacing w:lineRule="auto" w:line="360"/>
        <w:jc w:val="both"/>
        <w:ind w:firstLineChars="200"/>
      </w:pPr>
      <w:r>
        <w:rPr>
          <w:rFonts w:hint="eastAsia" w:ascii="Times New Roman" w:hAnsi="Times New Roman" w:eastAsia="宋体"/>
          <w:b w:val="0"/>
          <w:color w:val="000000"/>
          <w:sz w:val="21"/>
        </w:rPr>
        <w:t xml:space="preserve">训练时采用</w:t>
      </w:r>
      <m:oMath>
        <m:r>
          <m:t>ε</m:t>
        </m:r>
      </m:oMath>
      <w:r>
        <w:rPr>
          <w:rFonts w:hint="eastAsia" w:ascii="Times New Roman" w:hAnsi="Times New Roman" w:eastAsia="宋体"/>
          <w:b w:val="0"/>
          <w:color w:val="000000"/>
          <w:sz w:val="21"/>
        </w:rPr>
        <w:t xml:space="preserve">-贪婪策略进行探索，</w:t>
      </w:r>
      <m:oMath>
        <m:r>
          <m:t>ε</m:t>
        </m:r>
      </m:oMath>
      <w:r>
        <w:rPr>
          <w:rFonts w:hint="eastAsia" w:ascii="Times New Roman" w:hAnsi="Times New Roman" w:eastAsia="宋体"/>
          <w:b w:val="0"/>
          <w:color w:val="000000"/>
          <w:sz w:val="21"/>
        </w:rPr>
        <w:t xml:space="preserve">随训练回合指数衰减以平衡探索与利用；同时，为使智能体学到在拥塞条件下的绕行策略，本文在每个训练回合中向网络注入随机数量的背景业务流以构造拥塞环境。CA-MQR的完整训练流程如表3所示。</w:t>
      </w:r>
    </w:p>
    <w:p>
      <w:pPr>
        <w:pStyle w:val="BodyText"/>
        <w:jc w:val="center"/>
      </w:pPr>
      <w:r>
        <w:rPr>
          <w:rFonts w:hint="eastAsia" w:ascii="Times New Roman" w:hAnsi="Times New Roman" w:eastAsia="黑体"/>
          <w:b w:val="0"/>
          <w:color w:val="000000"/>
          <w:sz w:val="18"/>
        </w:rPr>
        <w:t xml:space="preserve">表3</w:t>
      </w:r>
      <w:r>
        <w:rPr>
          <w:rFonts w:ascii="Times New Roman" w:hAnsi="Times New Roman" w:eastAsia="黑体"/>
          <w:b w:val="0"/>
          <w:color w:val="000000"/>
          <w:sz w:val="18"/>
        </w:rPr>
        <w:t xml:space="preserve"> </w:t>
      </w:r>
      <w:r>
        <w:rPr>
          <w:rFonts w:hint="eastAsia" w:ascii="Times New Roman" w:hAnsi="Times New Roman" w:eastAsia="黑体"/>
          <w:b w:val="0"/>
          <w:color w:val="000000"/>
          <w:sz w:val="18"/>
        </w:rPr>
        <w:t xml:space="preserve">CA-MQR训练算法</w:t>
      </w:r>
    </w:p>
    <w:tbl>
      <w:tblPr>
        <w:tblStyle w:val="Table"/>
        <w:tblW w:type="pct" w:w="5000"/>
        <w:jc w:val="center"/>
        <w:tblLayout w:type="fixed"/>
        <w:tblLook w:firstRow="1" w:lastRow="0" w:firstColumn="0" w:lastColumn="0" w:noHBand="0" w:noVBand="0" w:val="0020"/>
      </w:tblPr>
      <w:tblGrid>
        <w:gridCol w:w="7920"/>
      </w:tblGrid>
      <w:tr>
        <w:trPr>
          <w:tblHeader w:val="on"/>
        </w:trPr>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Consolas" w:hAnsi="Consolas" w:eastAsia="宋体"/>
                <w:b/>
                <w:color w:val="000000"/>
                <w:sz w:val="18"/>
              </w:rPr>
              <w:t xml:space="preserve">算法：拥塞感知多业务智能路由(CA-MQR)</w:t>
            </w:r>
          </w:p>
        </w:tc>
      </w:tr>
      <w:tr>
        <w:tc>
          <w:tcPr>
            <w:tcBorders>
              <w:top w:val="none" w:sz="0" w:space="0" w:color="auto"/>
              <w:bottom w:val="none" w:sz="0" w:space="0" w:color="auto"/>
              <w:left w:val="none" w:sz="0" w:space="0" w:color="auto"/>
              <w:right w:val="none" w:sz="0" w:space="0" w:color="auto"/>
            </w:tcBorders>
          </w:tcPr>
          <w:p>
            <w:pPr>
              <w:pStyle w:val="Compact"/>
              <w:jc w:val="left"/>
            </w:pPr>
            <w:r>
              <w:rPr>
                <w:rFonts w:hint="eastAsia" w:ascii="Consolas" w:hAnsi="Consolas" w:eastAsia="宋体"/>
                <w:b w:val="0"/>
                <w:bCs/>
                <w:color w:val="000000"/>
                <w:sz w:val="18"/>
              </w:rPr>
              <w:t xml:space="preserve">输入</w:t>
            </w:r>
            <w:r>
              <w:rPr>
                <w:rFonts w:hint="eastAsia" w:ascii="Consolas" w:hAnsi="Consolas" w:eastAsia="宋体"/>
                <w:b w:val="0"/>
                <w:color w:val="000000"/>
                <w:sz w:val="18"/>
              </w:rPr>
              <w:t xml:space="preserve">：星座拓扑</w:t>
            </w:r>
            <m:oMath>
              <m:r>
                <m:t>G</m:t>
              </m:r>
              <m:r>
                <m:rPr>
                  <m:sty m:val="p"/>
                </m:rPr>
                <m:t>(</m:t>
              </m:r>
              <m:r>
                <m:t>t</m:t>
              </m:r>
              <m:r>
                <m:rPr>
                  <m:sty m:val="p"/>
                </m:rPr>
                <m:t>)</m:t>
              </m:r>
            </m:oMath>
            <w:r>
              <w:rPr>
                <w:rFonts w:hint="eastAsia" w:ascii="Consolas" w:hAnsi="Consolas" w:eastAsia="宋体"/>
                <w:b w:val="0"/>
                <w:color w:val="000000"/>
                <w:sz w:val="18"/>
              </w:rPr>
              <w:t xml:space="preserve">，三类业务QoS需求，训练回合数</w:t>
            </w:r>
            <m:oMath>
              <m:r>
                <m:t>E</m:t>
              </m:r>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hint="eastAsia" w:ascii="Consolas" w:hAnsi="Consolas" w:eastAsia="宋体"/>
                <w:b w:val="0"/>
                <w:bCs/>
                <w:color w:val="000000"/>
                <w:sz w:val="18"/>
              </w:rPr>
              <w:t xml:space="preserve">输出</w:t>
            </w:r>
            <w:r>
              <w:rPr>
                <w:rFonts w:hint="eastAsia" w:ascii="Consolas" w:hAnsi="Consolas" w:eastAsia="宋体"/>
                <w:b w:val="0"/>
                <w:color w:val="000000"/>
                <w:sz w:val="18"/>
              </w:rPr>
              <w:t xml:space="preserve">：路由策略网络</w:t>
            </w:r>
            <m:oMath>
              <m:r>
                <m:t>Q</m:t>
              </m:r>
              <m:r>
                <m:rPr>
                  <m:sty m:val="p"/>
                </m:rPr>
                <m:t>(</m:t>
              </m:r>
              <m:r>
                <m:t>s</m:t>
              </m:r>
              <m:r>
                <m:rPr>
                  <m:sty m:val="p"/>
                </m:rPr>
                <m:t>,</m:t>
              </m:r>
              <m:r>
                <m:t>a</m:t>
              </m:r>
              <m:r>
                <m:rPr>
                  <m:sty m:val="p"/>
                </m:rPr>
                <m:t>;</m:t>
              </m:r>
              <m:r>
                <m:t>θ</m:t>
              </m:r>
              <m:r>
                <m:rPr>
                  <m:sty m:val="p"/>
                </m:rPr>
                <m:t>)</m:t>
              </m:r>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1: </w:t>
            </w:r>
            <w:r>
              <w:rPr>
                <w:rFonts w:hint="eastAsia" w:ascii="Consolas" w:hAnsi="Consolas" w:eastAsia="宋体"/>
                <w:b w:val="0"/>
                <w:color w:val="000000"/>
                <w:sz w:val="18"/>
              </w:rPr>
              <w:t xml:space="preserve">初始化在线网络</w:t>
            </w:r>
            <m:oMath>
              <m:r>
                <m:t>θ</m:t>
              </m:r>
            </m:oMath>
            <w:r>
              <w:rPr>
                <w:rFonts w:hint="eastAsia" w:ascii="Consolas" w:hAnsi="Consolas" w:eastAsia="宋体"/>
                <w:b w:val="0"/>
                <w:color w:val="000000"/>
                <w:sz w:val="18"/>
              </w:rPr>
              <w:t xml:space="preserve">、目标网络</w:t>
            </w:r>
            <m:oMath>
              <m:sSup>
                <m:e>
                  <m:r>
                    <m:t>θ</m:t>
                  </m:r>
                </m:e>
                <m:sup>
                  <m:r>
                    <m:rPr>
                      <m:sty m:val="p"/>
                    </m:rPr>
                    <m:t>−</m:t>
                  </m:r>
                </m:sup>
              </m:sSup>
              <m:r>
                <m:rPr>
                  <m:sty m:val="p"/>
                </m:rPr>
                <m:t>←</m:t>
              </m:r>
              <m:r>
                <m:t>θ</m:t>
              </m:r>
            </m:oMath>
            <w:r>
              <w:rPr>
                <w:rFonts w:hint="eastAsia" w:ascii="Consolas" w:hAnsi="Consolas" w:eastAsia="宋体"/>
                <w:b w:val="0"/>
                <w:color w:val="000000"/>
                <w:sz w:val="18"/>
              </w:rPr>
              <w:t xml:space="preserve">、经验回放池</w:t>
            </w:r>
            <m:oMath>
              <m:r>
                <m:rPr>
                  <m:scr m:val="script"/>
                  <m:sty m:val="p"/>
                </m:rPr>
                <m:t>D</m:t>
              </m:r>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2:</w:t>
            </w:r>
            <w:r>
              <w:rPr>
                <w:rFonts w:ascii="Consolas" w:hAnsi="Consolas" w:eastAsia="宋体"/>
                <w:b w:val="0"/>
                <w:color w:val="000000"/>
                <w:sz w:val="18"/>
              </w:rPr>
              <w:t xml:space="preserve"> </w:t>
            </w:r>
            <w:r>
              <w:rPr>
                <w:rFonts w:ascii="Consolas" w:hAnsi="Consolas" w:eastAsia="宋体"/>
                <w:b w:val="0"/>
                <w:bCs/>
                <w:color w:val="000000"/>
                <w:sz w:val="18"/>
              </w:rPr>
              <w:t xml:space="preserve">for</w:t>
            </w:r>
            <w:r>
              <w:rPr>
                <w:rFonts w:ascii="Consolas" w:hAnsi="Consolas" w:eastAsia="宋体"/>
                <w:b w:val="0"/>
                <w:color w:val="000000"/>
                <w:sz w:val="18"/>
              </w:rPr>
              <w:t xml:space="preserve"> </w:t>
            </w:r>
            <m:oMath>
              <m:r>
                <m:t>e</m:t>
              </m:r>
              <m:r>
                <m:t>p</m:t>
              </m:r>
              <m:r>
                <m:t>i</m:t>
              </m:r>
              <m:r>
                <m:t>s</m:t>
              </m:r>
              <m:r>
                <m:t>o</m:t>
              </m:r>
              <m:r>
                <m:t>d</m:t>
              </m:r>
              <m:r>
                <m:t>e</m:t>
              </m:r>
              <m:r>
                <m:rPr>
                  <m:sty m:val="p"/>
                </m:rPr>
                <m:t>=</m:t>
              </m:r>
              <m:r>
                <m:t>1</m:t>
              </m:r>
            </m:oMath>
            <w:r>
              <w:rPr>
                <w:rFonts w:ascii="Consolas" w:hAnsi="Consolas" w:eastAsia="宋体"/>
                <w:b w:val="0"/>
                <w:color w:val="000000"/>
                <w:sz w:val="18"/>
              </w:rPr>
              <w:t xml:space="preserve"> </w:t>
            </w:r>
            <w:r>
              <w:rPr>
                <w:rFonts w:ascii="Consolas" w:hAnsi="Consolas" w:eastAsia="宋体"/>
                <w:b w:val="0"/>
                <w:bCs/>
                <w:color w:val="000000"/>
                <w:sz w:val="18"/>
              </w:rPr>
              <w:t xml:space="preserve">to</w:t>
            </w:r>
            <w:r>
              <w:rPr>
                <w:rFonts w:ascii="Consolas" w:hAnsi="Consolas" w:eastAsia="宋体"/>
                <w:b w:val="0"/>
                <w:color w:val="000000"/>
                <w:sz w:val="18"/>
              </w:rPr>
              <w:t xml:space="preserve"> </w:t>
            </w:r>
            <m:oMath>
              <m:r>
                <m:t>E</m:t>
              </m:r>
            </m:oMath>
            <w:r>
              <w:rPr>
                <w:rFonts w:ascii="Consolas" w:hAnsi="Consolas" w:eastAsia="宋体"/>
                <w:b w:val="0"/>
                <w:color w:val="000000"/>
                <w:sz w:val="18"/>
              </w:rPr>
              <w:t xml:space="preserve"> </w:t>
            </w:r>
            <w:r>
              <w:rPr>
                <w:rFonts w:ascii="Consolas" w:hAnsi="Consolas" w:eastAsia="宋体"/>
                <w:b w:val="0"/>
                <w:bCs/>
                <w:color w:val="000000"/>
                <w:sz w:val="18"/>
              </w:rPr>
              <w:t xml:space="preserve">do</w:t>
            </w:r>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3: 　</w:t>
            </w:r>
            <w:r>
              <w:rPr>
                <w:rFonts w:hint="eastAsia" w:ascii="Consolas" w:hAnsi="Consolas" w:eastAsia="宋体"/>
                <w:b w:val="0"/>
                <w:color w:val="000000"/>
                <w:sz w:val="18"/>
              </w:rPr>
              <w:t xml:space="preserve">生成网络快照并注入背景流量以构造拥塞环境</w:t>
            </w:r>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4: 　</w:t>
            </w:r>
            <w:r>
              <w:rPr>
                <w:rFonts w:hint="eastAsia" w:ascii="Consolas" w:hAnsi="Consolas" w:eastAsia="宋体"/>
                <w:b w:val="0"/>
                <w:color w:val="000000"/>
                <w:sz w:val="18"/>
              </w:rPr>
              <w:t xml:space="preserve">随机选取源节点、目的节点与业务类别</w:t>
            </w:r>
            <m:oMath>
              <m:r>
                <m:t>c</m:t>
              </m:r>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5: 　</w:t>
            </w:r>
            <w:r>
              <w:rPr>
                <w:rFonts w:ascii="Consolas" w:hAnsi="Consolas" w:eastAsia="宋体"/>
                <w:b w:val="0"/>
                <w:bCs/>
                <w:color w:val="000000"/>
                <w:sz w:val="18"/>
              </w:rPr>
              <w:t xml:space="preserve">while</w:t>
            </w:r>
            <w:r>
              <w:rPr>
                <w:rFonts w:ascii="Consolas" w:hAnsi="Consolas" w:eastAsia="宋体"/>
                <w:b w:val="0"/>
                <w:color w:val="000000"/>
                <w:sz w:val="18"/>
              </w:rPr>
              <w:t xml:space="preserve"> </w:t>
            </w:r>
            <w:r>
              <w:rPr>
                <w:rFonts w:hint="eastAsia" w:ascii="Consolas" w:hAnsi="Consolas" w:eastAsia="宋体"/>
                <w:b w:val="0"/>
                <w:color w:val="000000"/>
                <w:sz w:val="18"/>
              </w:rPr>
              <w:t xml:space="preserve">未到达目的且跳数</w:t>
            </w:r>
            <m:oMath>
              <m:r>
                <m:rPr>
                  <m:sty m:val="p"/>
                </m:rPr>
                <m:t>&lt;</m:t>
              </m:r>
              <m:sSub>
                <m:e>
                  <m:r>
                    <m:t>H</m:t>
                  </m:r>
                </m:e>
                <m:sub>
                  <m:r>
                    <m:t>m</m:t>
                  </m:r>
                  <m:r>
                    <m:t>a</m:t>
                  </m:r>
                  <m:r>
                    <m:t>x</m:t>
                  </m:r>
                </m:sub>
              </m:sSub>
            </m:oMath>
            <w:r>
              <w:rPr>
                <w:rFonts w:ascii="Consolas" w:hAnsi="Consolas" w:eastAsia="宋体"/>
                <w:b w:val="0"/>
                <w:color w:val="000000"/>
                <w:sz w:val="18"/>
              </w:rPr>
              <w:t xml:space="preserve"> </w:t>
            </w:r>
            <w:r>
              <w:rPr>
                <w:rFonts w:ascii="Consolas" w:hAnsi="Consolas" w:eastAsia="宋体"/>
                <w:b w:val="0"/>
                <w:bCs/>
                <w:color w:val="000000"/>
                <w:sz w:val="18"/>
              </w:rPr>
              <w:t xml:space="preserve">do</w:t>
            </w:r>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6: 　　</w:t>
            </w:r>
            <w:r>
              <w:rPr>
                <w:rFonts w:hint="eastAsia" w:ascii="Consolas" w:hAnsi="Consolas" w:eastAsia="宋体"/>
                <w:b w:val="0"/>
                <w:color w:val="000000"/>
                <w:sz w:val="18"/>
              </w:rPr>
              <w:t xml:space="preserve">由式(12)计算下游拥塞势，按式(8)构造观测</w:t>
            </w:r>
            <m:oMath>
              <m:sSub>
                <m:e>
                  <m:r>
                    <m:t>s</m:t>
                  </m:r>
                </m:e>
                <m:sub>
                  <m:r>
                    <m:t>t</m:t>
                  </m:r>
                </m:sub>
              </m:sSub>
            </m:oMath>
            <w:r>
              <w:rPr>
                <w:rFonts w:hint="eastAsia" w:ascii="Consolas" w:hAnsi="Consolas" w:eastAsia="宋体"/>
                <w:b w:val="0"/>
                <w:color w:val="000000"/>
                <w:sz w:val="18"/>
              </w:rPr>
              <w:t xml:space="preserve">并计算动作掩码</w:t>
            </w:r>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7: 　　</w:t>
            </w:r>
            <w:r>
              <w:rPr>
                <w:rFonts w:hint="eastAsia" w:ascii="Consolas" w:hAnsi="Consolas" w:eastAsia="宋体"/>
                <w:b w:val="0"/>
                <w:color w:val="000000"/>
                <w:sz w:val="18"/>
              </w:rPr>
              <w:t xml:space="preserve">以</w:t>
            </w:r>
            <m:oMath>
              <m:r>
                <m:t>ε</m:t>
              </m:r>
            </m:oMath>
            <w:r>
              <w:rPr>
                <w:rFonts w:hint="eastAsia" w:ascii="Consolas" w:hAnsi="Consolas" w:eastAsia="宋体"/>
                <w:b w:val="0"/>
                <w:color w:val="000000"/>
                <w:sz w:val="18"/>
              </w:rPr>
              <w:t xml:space="preserve">-贪婪策略在合法动作中选择</w:t>
            </w:r>
            <m:oMath>
              <m:sSub>
                <m:e>
                  <m:r>
                    <m:t>a</m:t>
                  </m:r>
                </m:e>
                <m:sub>
                  <m:r>
                    <m:t>t</m:t>
                  </m:r>
                </m:sub>
              </m:sSub>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8: 　　</w:t>
            </w:r>
            <w:r>
              <w:rPr>
                <w:rFonts w:hint="eastAsia" w:ascii="Consolas" w:hAnsi="Consolas" w:eastAsia="宋体"/>
                <w:b w:val="0"/>
                <w:color w:val="000000"/>
                <w:sz w:val="18"/>
              </w:rPr>
              <w:t xml:space="preserve">执行</w:t>
            </w:r>
            <m:oMath>
              <m:sSub>
                <m:e>
                  <m:r>
                    <m:t>a</m:t>
                  </m:r>
                </m:e>
                <m:sub>
                  <m:r>
                    <m:t>t</m:t>
                  </m:r>
                </m:sub>
              </m:sSub>
            </m:oMath>
            <w:r>
              <w:rPr>
                <w:rFonts w:hint="eastAsia" w:ascii="Consolas" w:hAnsi="Consolas" w:eastAsia="宋体"/>
                <w:b w:val="0"/>
                <w:color w:val="000000"/>
                <w:sz w:val="18"/>
              </w:rPr>
              <w:t xml:space="preserve">，按式(10)计算奖励</w:t>
            </w:r>
            <m:oMath>
              <m:sSub>
                <m:e>
                  <m:r>
                    <m:t>r</m:t>
                  </m:r>
                </m:e>
                <m:sub>
                  <m:r>
                    <m:t>t</m:t>
                  </m:r>
                </m:sub>
              </m:sSub>
            </m:oMath>
            <w:r>
              <w:rPr>
                <w:rFonts w:hint="eastAsia" w:ascii="Consolas" w:hAnsi="Consolas" w:eastAsia="宋体"/>
                <w:b w:val="0"/>
                <w:color w:val="000000"/>
                <w:sz w:val="18"/>
              </w:rPr>
              <w:t xml:space="preserve">，转移至</w:t>
            </w:r>
            <m:oMath>
              <m:sSub>
                <m:e>
                  <m:r>
                    <m:t>s</m:t>
                  </m:r>
                </m:e>
                <m:sub>
                  <m:r>
                    <m:t>t</m:t>
                  </m:r>
                  <m:r>
                    <m:rPr>
                      <m:sty m:val="p"/>
                    </m:rPr>
                    <m:t>+</m:t>
                  </m:r>
                  <m:r>
                    <m:t>1</m:t>
                  </m:r>
                </m:sub>
              </m:sSub>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9: 　　</w:t>
            </w:r>
            <w:r>
              <w:rPr>
                <w:rFonts w:hint="eastAsia" w:ascii="Consolas" w:hAnsi="Consolas" w:eastAsia="宋体"/>
                <w:b w:val="0"/>
                <w:color w:val="000000"/>
                <w:sz w:val="18"/>
              </w:rPr>
              <w:t xml:space="preserve">将</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rPr>
                <w:rFonts w:hint="eastAsia" w:ascii="Consolas" w:hAnsi="Consolas" w:eastAsia="宋体"/>
                <w:b w:val="0"/>
                <w:color w:val="000000"/>
                <w:sz w:val="18"/>
              </w:rPr>
              <w:t xml:space="preserve">存入</w:t>
            </w:r>
            <m:oMath>
              <m:r>
                <m:rPr>
                  <m:scr m:val="script"/>
                  <m:sty m:val="p"/>
                </m:rPr>
                <m:t>D</m:t>
              </m:r>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10:　　</w:t>
            </w:r>
            <w:r>
              <w:rPr>
                <w:rFonts w:hint="eastAsia" w:ascii="Consolas" w:hAnsi="Consolas" w:eastAsia="宋体"/>
                <w:b w:val="0"/>
                <w:color w:val="000000"/>
                <w:sz w:val="18"/>
              </w:rPr>
              <w:t xml:space="preserve">从</w:t>
            </w:r>
            <m:oMath>
              <m:r>
                <m:rPr>
                  <m:scr m:val="script"/>
                  <m:sty m:val="p"/>
                </m:rPr>
                <m:t>D</m:t>
              </m:r>
            </m:oMath>
            <w:r>
              <w:rPr>
                <w:rFonts w:hint="eastAsia" w:ascii="Consolas" w:hAnsi="Consolas" w:eastAsia="宋体"/>
                <w:b w:val="0"/>
                <w:color w:val="000000"/>
                <w:sz w:val="18"/>
              </w:rPr>
              <w:t xml:space="preserve">采样小批量，按式(14)(15)更新</w:t>
            </w:r>
            <m:oMath>
              <m:r>
                <m:t>θ</m:t>
              </m:r>
            </m:oMath>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11:　</w:t>
            </w:r>
            <w:r>
              <w:rPr>
                <w:rFonts w:ascii="Consolas" w:hAnsi="Consolas" w:eastAsia="宋体"/>
                <w:b w:val="0"/>
                <w:bCs/>
                <w:color w:val="000000"/>
                <w:sz w:val="18"/>
              </w:rPr>
              <w:t xml:space="preserve">end while</w:t>
            </w:r>
          </w:p>
        </w:tc>
      </w:tr>
      <w:tr>
        <w:tc>
          <w:tcPr>
            <w:tcBorders>
              <w:top w:val="none" w:sz="0" w:space="0" w:color="auto"/>
              <w:bottom w:val="none" w:sz="0"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12:　</w:t>
            </w:r>
            <w:r>
              <w:rPr>
                <w:rFonts w:hint="eastAsia" w:ascii="Consolas" w:hAnsi="Consolas" w:eastAsia="宋体"/>
                <w:b w:val="0"/>
                <w:color w:val="000000"/>
                <w:sz w:val="18"/>
              </w:rPr>
              <w:t xml:space="preserve">每隔</w:t>
            </w:r>
            <m:oMath>
              <m:r>
                <m:t>C</m:t>
              </m:r>
            </m:oMath>
            <w:r>
              <w:rPr>
                <w:rFonts w:hint="eastAsia" w:ascii="Consolas" w:hAnsi="Consolas" w:eastAsia="宋体"/>
                <w:b w:val="0"/>
                <w:color w:val="000000"/>
                <w:sz w:val="18"/>
              </w:rPr>
              <w:t xml:space="preserve">回合令</w:t>
            </w:r>
            <m:oMath>
              <m:sSup>
                <m:e>
                  <m:r>
                    <m:t>θ</m:t>
                  </m:r>
                </m:e>
                <m:sup>
                  <m:r>
                    <m:rPr>
                      <m:sty m:val="p"/>
                    </m:rPr>
                    <m:t>−</m:t>
                  </m:r>
                </m:sup>
              </m:sSup>
              <m:r>
                <m:rPr>
                  <m:sty m:val="p"/>
                </m:rPr>
                <m:t>←</m:t>
              </m:r>
              <m:r>
                <m:t>θ</m:t>
              </m:r>
            </m:oMath>
            <w:r>
              <w:rPr>
                <w:rFonts w:hint="eastAsia" w:ascii="Consolas" w:hAnsi="Consolas" w:eastAsia="宋体"/>
                <w:b w:val="0"/>
                <w:color w:val="000000"/>
                <w:sz w:val="18"/>
              </w:rPr>
              <w:t xml:space="preserve">，并衰减</w:t>
            </w:r>
            <m:oMath>
              <m:r>
                <m:t>ε</m:t>
              </m:r>
            </m:oMath>
          </w:p>
        </w:tc>
      </w:tr>
      <w:tr>
        <w:tc>
          <w:tcPr>
            <w:tcBorders>
              <w:top w:val="none" w:sz="0" w:space="0" w:color="auto"/>
              <w:bottom w:val="single" w:sz="12" w:space="0" w:color="auto"/>
              <w:left w:val="none" w:sz="0" w:space="0" w:color="auto"/>
              <w:right w:val="none" w:sz="0" w:space="0" w:color="auto"/>
            </w:tcBorders>
          </w:tcPr>
          <w:p>
            <w:pPr>
              <w:pStyle w:val="Compact"/>
              <w:jc w:val="left"/>
            </w:pPr>
            <w:r>
              <w:rPr>
                <w:rFonts w:ascii="Consolas" w:hAnsi="Consolas" w:eastAsia="宋体"/>
                <w:b w:val="0"/>
                <w:color w:val="000000"/>
                <w:sz w:val="18"/>
              </w:rPr>
              <w:t xml:space="preserve">13:</w:t>
            </w:r>
            <w:r>
              <w:rPr>
                <w:rFonts w:ascii="Consolas" w:hAnsi="Consolas" w:eastAsia="宋体"/>
                <w:b w:val="0"/>
                <w:color w:val="000000"/>
                <w:sz w:val="18"/>
              </w:rPr>
              <w:t xml:space="preserve"> </w:t>
            </w:r>
            <w:r>
              <w:rPr>
                <w:rFonts w:ascii="Consolas" w:hAnsi="Consolas" w:eastAsia="宋体"/>
                <w:b w:val="0"/>
                <w:bCs/>
                <w:color w:val="000000"/>
                <w:sz w:val="18"/>
              </w:rPr>
              <w:t xml:space="preserve">end for</w:t>
            </w:r>
          </w:p>
        </w:tc>
      </w:tr>
    </w:tbl>
    <w:bookmarkEnd w:id="19"/>
    <w:bookmarkEnd w:id="20"/>
    <w:bookmarkStart w:id="25" w:name="实验与分析"/>
    <w:p>
      <w:pPr>
        <w:pStyle w:val="Heading1"/>
        <w:spacing w:lineRule="auto" w:line="360"/>
      </w:pPr>
      <w:r>
        <w:rPr>
          <w:rFonts w:hint="eastAsia" w:ascii="Times New Roman" w:hAnsi="Times New Roman" w:eastAsia="黑体"/>
          <w:b w:val="0"/>
          <w:color w:val="000000"/>
          <w:sz w:val="28"/>
        </w:rPr>
        <w:t xml:space="preserve">实验与分析</w:t>
      </w:r>
    </w:p>
    <w:p>
      <w:pPr>
        <w:pStyle w:val="FirstParagraph"/>
        <w:spacing w:lineRule="auto" w:line="360"/>
        <w:jc w:val="both"/>
        <w:ind w:firstLineChars="200"/>
      </w:pPr>
      <w:r>
        <w:rPr>
          <w:rFonts w:hint="eastAsia" w:ascii="Times New Roman" w:hAnsi="Times New Roman" w:eastAsia="宋体"/>
          <w:b w:val="0"/>
          <w:color w:val="000000"/>
          <w:sz w:val="21"/>
        </w:rPr>
        <w:t xml:space="preserve">本节按照”整体性能对比→模块消融→特定场景增强”的递进顺序组织：首先在3.2节将CA-MQR与各类基线进行整体对比，验证其相对基线的总体优势；其次在3.3节通过消融实验逐一拆解各设计模块的贡献；最后在3.4节针对拥塞成片分布场景验证下游拥塞势场的增强作用。</w:t>
      </w:r>
    </w:p>
    <w:bookmarkStart w:id="21" w:name="仿真设置"/>
    <w:p>
      <w:pPr>
        <w:pStyle w:val="Heading2"/>
        <w:spacing w:lineRule="auto" w:line="360"/>
      </w:pPr>
      <w:r>
        <w:rPr>
          <w:rFonts w:hint="eastAsia" w:ascii="Arial" w:hAnsi="Arial" w:eastAsia="黑体"/>
          <w:b/>
          <w:color w:val="000000"/>
          <w:sz w:val="24"/>
        </w:rPr>
        <w:t xml:space="preserve">仿真设置</w:t>
      </w:r>
    </w:p>
    <w:p>
      <w:pPr>
        <w:pStyle w:val="FirstParagraph"/>
        <w:spacing w:lineRule="auto" w:line="360"/>
        <w:jc w:val="both"/>
        <w:ind w:firstLineChars="200"/>
      </w:pPr>
      <w:r>
        <w:rPr>
          <w:rFonts w:hint="eastAsia" w:ascii="Times New Roman" w:hAnsi="Times New Roman" w:eastAsia="宋体"/>
          <w:b w:val="0"/>
          <w:color w:val="000000"/>
          <w:sz w:val="21"/>
        </w:rPr>
        <w:t xml:space="preserve">本文基于Python构建LEO卫星网络流级路由仿真平台，采用NetworkX管理网络拓扑，采用PyTorch实现竞争式双深度Q网络，主要参数如表4所示。为在纯软件环境下真实复现高负载下的拥塞效应，本文采用流级仿真：将多条业务流依次注入网络，每条流按其路径累加占用各链路带宽，先注入的业务流占用链路后，后续业务流将感知到相应的拥塞，从而复现高负载下的热点效应。通过调节注入业务流的数量，即可得到从轻载到重载的连续负载梯度。图2给出Walker</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Delta星座与+Grid链路拓扑的二维投影示意。</w:t>
      </w:r>
    </w:p>
    <w:p>
      <w:pPr>
        <w:jc w:val="center"/>
      </w:pPr>
      <w:r>
        <w:drawing>
          <wp:inline>
            <wp:extent cx="2808000" cy="2609321"/>
            <wp:docPr id="2" name="Picture 2"/>
            <wp:cNvGraphicFramePr>
              <a:graphicFrameLocks noChangeAspect="1"/>
            </wp:cNvGraphicFramePr>
            <a:graphic>
              <a:graphicData uri="http://schemas.openxmlformats.org/drawingml/2006/picture">
                <pic:pic>
                  <pic:nvPicPr>
                    <pic:cNvPr id="0" name="fig_constellation.png"/>
                    <pic:cNvPicPr/>
                  </pic:nvPicPr>
                  <pic:blipFill>
                    <a:blip r:embed="rId12"/>
                    <a:stretch>
                      <a:fillRect/>
                    </a:stretch>
                  </pic:blipFill>
                  <pic:spPr>
                    <a:xfrm>
                      <a:off x="0" y="0"/>
                      <a:ext cx="2808000" cy="2609321"/>
                    </a:xfrm>
                    <a:prstGeom prst="rect"/>
                  </pic:spPr>
                </pic:pic>
              </a:graphicData>
            </a:graphic>
          </wp:inline>
        </w:drawing>
      </w:r>
    </w:p>
    <w:p>
      <w:pPr>
        <w:jc w:val="center"/>
      </w:pPr>
      <w:r>
        <w:rPr>
          <w:rFonts w:ascii="Times New Roman" w:hAnsi="Times New Roman" w:eastAsia="黑体"/>
          <w:b w:val="0"/>
          <w:color w:val="000000"/>
          <w:sz w:val="18"/>
        </w:rPr>
        <w:t>图2 Walker Delta星座与+Grid链路拓扑示意</w:t>
      </w:r>
    </w:p>
    <w:p>
      <w:pPr>
        <w:pStyle w:val="BodyText"/>
        <w:jc w:val="center"/>
      </w:pPr>
      <w:r>
        <w:rPr>
          <w:rFonts w:hint="eastAsia" w:ascii="Times New Roman" w:hAnsi="Times New Roman" w:eastAsia="黑体"/>
          <w:b w:val="0"/>
          <w:color w:val="000000"/>
          <w:sz w:val="18"/>
        </w:rPr>
        <w:t xml:space="preserve">表4</w:t>
      </w:r>
      <w:r>
        <w:rPr>
          <w:rFonts w:ascii="Times New Roman" w:hAnsi="Times New Roman" w:eastAsia="黑体"/>
          <w:b w:val="0"/>
          <w:color w:val="000000"/>
          <w:sz w:val="18"/>
        </w:rPr>
        <w:t xml:space="preserve"> </w:t>
      </w:r>
      <w:r>
        <w:rPr>
          <w:rFonts w:hint="eastAsia" w:ascii="Times New Roman" w:hAnsi="Times New Roman" w:eastAsia="黑体"/>
          <w:b w:val="0"/>
          <w:color w:val="000000"/>
          <w:sz w:val="18"/>
        </w:rPr>
        <w:t xml:space="preserve">仿真参数</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参数</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数值</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参数</w:t>
            </w:r>
          </w:p>
        </w:tc>
        <w:tc>
          <w:tcPr>
            <w:tcBorders>
              <w:top w:val="single" w:sz="12" w:space="0" w:color="auto"/>
              <w:bottom w:val="single" w:sz="6" w:space="0" w:color="auto"/>
              <w:left w:val="none" w:sz="0" w:space="0" w:color="auto"/>
              <w:right w:val="none" w:sz="0" w:space="0" w:color="auto"/>
            </w:tcBorders>
          </w:tcPr>
          <w:p>
            <w:pPr>
              <w:pStyle w:val="Compact"/>
              <w:jc w:val="center"/>
            </w:pPr>
            <w:r>
              <w:rPr>
                <w:rFonts w:hint="eastAsia" w:ascii="Times New Roman" w:hAnsi="Times New Roman" w:eastAsia="宋体"/>
                <w:b/>
                <w:color w:val="000000"/>
                <w:sz w:val="18"/>
              </w:rPr>
              <w:t xml:space="preserve">数值</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轨道面数</w:t>
            </w:r>
            <m:oMath>
              <m:r>
                <m:t>P</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6</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学习率</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5×10⁻⁴</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每面卫星数</w:t>
            </w:r>
            <m:oMath>
              <m:r>
                <m:t>S</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11</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折扣因子</w:t>
            </w:r>
            <m:oMath>
              <m:r>
                <m:t>γ</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0.95</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卫星总数</w:t>
            </w:r>
            <m:oMath>
              <m:r>
                <m:t>N</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66</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探索率</w:t>
            </w:r>
            <m:oMath>
              <m:r>
                <m:t>ε</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1.0→0.05</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轨道高度</w:t>
            </w:r>
            <m:oMath>
              <m:r>
                <m:t>h</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550 km</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经验池容量</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5×10⁴</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轨道倾角</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53°</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批大小</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128</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相位因子</w:t>
            </w:r>
            <m:oMath>
              <m:r>
                <m:t>F</m:t>
              </m:r>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1</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目标网络更新频率</w:t>
            </w:r>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20 </w:t>
            </w:r>
            <w:r>
              <w:rPr>
                <w:rFonts w:hint="eastAsia" w:ascii="Times New Roman" w:hAnsi="Times New Roman" w:eastAsia="宋体"/>
                <w:b w:val="0"/>
                <w:color w:val="000000"/>
                <w:sz w:val="18"/>
              </w:rPr>
              <w:t xml:space="preserve">回合</w:t>
            </w:r>
          </w:p>
        </w:tc>
      </w:tr>
      <w:tr>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链路容量</w:t>
            </w:r>
            <m:oMath>
              <m:sSub>
                <m:e>
                  <m:r>
                    <m:t>C</m:t>
                  </m:r>
                </m:e>
                <m:sub>
                  <m:r>
                    <m:t>i</m:t>
                  </m:r>
                  <m:r>
                    <m:t>j</m:t>
                  </m:r>
                </m:sub>
              </m:sSub>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50 Mbps</w:t>
            </w:r>
          </w:p>
        </w:tc>
        <w:tc>
          <w:tcPr>
            <w:tcBorders>
              <w:top w:val="none" w:sz="0" w:space="0" w:color="auto"/>
              <w:bottom w:val="none" w:sz="0"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最大跳数</w:t>
            </w:r>
            <m:oMath>
              <m:sSub>
                <m:e>
                  <m:r>
                    <m:t>H</m:t>
                  </m:r>
                </m:e>
                <m:sub>
                  <m:r>
                    <m:t>m</m:t>
                  </m:r>
                  <m:r>
                    <m:t>a</m:t>
                  </m:r>
                  <m:r>
                    <m:t>x</m:t>
                  </m:r>
                </m:sub>
              </m:sSub>
            </m:oMath>
          </w:p>
        </w:tc>
        <w:tc>
          <w:tcP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25</w:t>
            </w:r>
          </w:p>
        </w:tc>
      </w:tr>
      <w:tr>
        <w:tc>
          <w:tcPr>
            <w:tcBorders>
              <w:top w:val="none" w:sz="0" w:space="0" w:color="auto"/>
              <w:bottom w:val="single" w:sz="12"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队列容量</w:t>
            </w:r>
            <m:oMath>
              <m:r>
                <m:t>K</m:t>
              </m:r>
            </m:oMath>
          </w:p>
        </w:tc>
        <w:tc>
          <w:tcPr>
            <w:tcBorders>
              <w:top w:val="none" w:sz="0" w:space="0" w:color="auto"/>
              <w:bottom w:val="single" w:sz="12"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50</w:t>
            </w:r>
          </w:p>
        </w:tc>
        <w:tc>
          <w:tcPr>
            <w:tcBorders>
              <w:top w:val="none" w:sz="0" w:space="0" w:color="auto"/>
              <w:bottom w:val="single" w:sz="12" w:space="0" w:color="auto"/>
              <w:left w:val="none" w:sz="0" w:space="0" w:color="auto"/>
              <w:right w:val="none" w:sz="0" w:space="0" w:color="auto"/>
            </w:tcBorders>
          </w:tcPr>
          <w:p>
            <w:pPr>
              <w:pStyle w:val="Compact"/>
              <w:jc w:val="center"/>
            </w:pPr>
            <w:r>
              <w:rPr>
                <w:rFonts w:hint="eastAsia" w:ascii="Times New Roman" w:hAnsi="Times New Roman" w:eastAsia="宋体"/>
                <w:b w:val="0"/>
                <w:color w:val="000000"/>
                <w:sz w:val="18"/>
              </w:rPr>
              <w:t xml:space="preserve">训练回合数</w:t>
            </w:r>
          </w:p>
        </w:tc>
        <w:tc>
          <w:tcPr>
            <w:tcBorders>
              <w:top w:val="none" w:sz="0" w:space="0" w:color="auto"/>
              <w:bottom w:val="single" w:sz="12" w:space="0" w:color="auto"/>
              <w:left w:val="none" w:sz="0" w:space="0" w:color="auto"/>
              <w:right w:val="none" w:sz="0" w:space="0" w:color="auto"/>
            </w:tcBorders>
          </w:tcPr>
          <w:p>
            <w:pPr>
              <w:pStyle w:val="Compact"/>
              <w:jc w:val="center"/>
            </w:pPr>
            <w:r>
              <w:rPr>
                <w:rFonts w:ascii="Times New Roman" w:hAnsi="Times New Roman" w:eastAsia="宋体"/>
                <w:b w:val="0"/>
                <w:color w:val="000000"/>
                <w:sz w:val="18"/>
              </w:rPr>
              <w:t xml:space="preserve">5000</w:t>
            </w:r>
          </w:p>
        </w:tc>
      </w:tr>
    </w:tbl>
    <w:p>
      <w:pPr>
        <w:pStyle w:val="BodyText"/>
        <w:spacing w:lineRule="auto" w:line="360"/>
        <w:jc w:val="both"/>
        <w:ind w:firstLineChars="200"/>
      </w:pPr>
      <w:r>
        <w:rPr>
          <w:rFonts w:hint="eastAsia" w:ascii="Times New Roman" w:hAnsi="Times New Roman" w:eastAsia="宋体"/>
          <w:b w:val="0"/>
          <w:color w:val="000000"/>
          <w:sz w:val="21"/>
        </w:rPr>
        <w:t xml:space="preserve">为公平评估，本文将CA-MQR与以下四种基线在同一批业务流上对比：随机路由(Random)作为性能下界；最短路径(Dijkstra)为经典的时延最优静态路由；等价多路径(ECMP)为具备一定负载均衡能力的启发式路由；拥塞无感知的深度Q网络(Vanilla-DQN)的状态不含链路利用率、奖励仅依据静态传播时延。评价指标包括平均端到端时延、链路利用率(95分位)以及三类业务的QoS满足率。图3给出CA-MQR与Vanilla-DQN的训练收敛曲线，可以看出两种方法的回合累计奖励均随训练稳定上升并收敛，CA-MQR因在奖励中引入拥塞惩罚，其收敛后奖励水平略低于仅优化时延的Vanilla-DQN，但二者均能稳定学到可靠到达目的节点的策略，验证了算法的收敛性。</w:t>
      </w:r>
    </w:p>
    <w:p>
      <w:pPr>
        <w:jc w:val="center"/>
      </w:pPr>
      <w:r>
        <w:drawing>
          <wp:inline>
            <wp:extent cx="2880000" cy="2033633"/>
            <wp:docPr id="3" name="Picture 3"/>
            <wp:cNvGraphicFramePr>
              <a:graphicFrameLocks noChangeAspect="1"/>
            </wp:cNvGraphicFramePr>
            <a:graphic>
              <a:graphicData uri="http://schemas.openxmlformats.org/drawingml/2006/picture">
                <pic:pic>
                  <pic:nvPicPr>
                    <pic:cNvPr id="0" name="fig_convergence.png"/>
                    <pic:cNvPicPr/>
                  </pic:nvPicPr>
                  <pic:blipFill>
                    <a:blip r:embed="rId13"/>
                    <a:stretch>
                      <a:fillRect/>
                    </a:stretch>
                  </pic:blipFill>
                  <pic:spPr>
                    <a:xfrm>
                      <a:off x="0" y="0"/>
                      <a:ext cx="2880000" cy="2033633"/>
                    </a:xfrm>
                    <a:prstGeom prst="rect"/>
                  </pic:spPr>
                </pic:pic>
              </a:graphicData>
            </a:graphic>
          </wp:inline>
        </w:drawing>
      </w:r>
    </w:p>
    <w:p>
      <w:pPr>
        <w:jc w:val="center"/>
      </w:pPr>
      <w:r>
        <w:rPr>
          <w:rFonts w:ascii="Times New Roman" w:hAnsi="Times New Roman" w:eastAsia="黑体"/>
          <w:b w:val="0"/>
          <w:color w:val="000000"/>
          <w:sz w:val="18"/>
        </w:rPr>
        <w:t>图3 训练收敛曲线</w:t>
      </w:r>
    </w:p>
    <w:bookmarkEnd w:id="21"/>
    <w:bookmarkStart w:id="22" w:name="整体性能对比"/>
    <w:p>
      <w:pPr>
        <w:pStyle w:val="Heading2"/>
        <w:spacing w:lineRule="auto" w:line="360"/>
      </w:pPr>
      <w:r>
        <w:rPr>
          <w:rFonts w:hint="eastAsia" w:ascii="Arial" w:hAnsi="Arial" w:eastAsia="黑体"/>
          <w:b/>
          <w:color w:val="000000"/>
          <w:sz w:val="24"/>
        </w:rPr>
        <w:t xml:space="preserve">整体性能对比</w:t>
      </w:r>
    </w:p>
    <w:p>
      <w:pPr>
        <w:pStyle w:val="FirstParagraph"/>
        <w:spacing w:lineRule="auto" w:line="360"/>
        <w:jc w:val="both"/>
        <w:ind w:firstLineChars="200"/>
      </w:pPr>
      <w:r>
        <w:rPr>
          <w:rFonts w:hint="eastAsia" w:ascii="Times New Roman" w:hAnsi="Times New Roman" w:eastAsia="宋体"/>
          <w:b w:val="0"/>
          <w:color w:val="000000"/>
          <w:sz w:val="21"/>
        </w:rPr>
        <w:t xml:space="preserve">本节从端到端时延、链路利用率与多业务QoS三个方面，评估CA-MQR相对基线的整体性能。</w:t>
      </w:r>
    </w:p>
    <w:p>
      <w:pPr>
        <w:pStyle w:val="BodyText"/>
        <w:spacing w:lineRule="auto" w:line="360"/>
        <w:jc w:val="both"/>
        <w:ind w:firstLineChars="200"/>
      </w:pPr>
      <w:r>
        <w:rPr>
          <w:rFonts w:hint="eastAsia" w:ascii="Times New Roman" w:hAnsi="Times New Roman" w:eastAsia="宋体"/>
          <w:b w:val="0"/>
          <w:color w:val="000000"/>
          <w:sz w:val="21"/>
        </w:rPr>
        <w:t xml:space="preserve">图4给出平均端到端时延随归一化负载的变化。在轻载区(负载≤0.6)，各方法时延接近，CA-MQR与Dijkstra基本持平，这符合”轻载无拥塞时最短路径已接近最优”的基本规律，也说明本文方法在轻载下不引入额外开销；随着负载增大，Dijkstra因将业务流持续汇聚到最短路径而迅速拥塞，端到端时延急剧上升，在负载为1.4时达到约262</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ms；ECMP与Vanilla-DQN凭借一定的负载均衡能力，时延增幅相对较缓；CA-MQR通过感知链路利用率主动绕开拥塞热点，时延曲线最为平坦，在负载为1.4时仅约88</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ms，相比Dijkstra降低约66%。总体呈现”随机路由＜Dijkstra＜ECMP＜Vanilla-DQN＜CA-MQR”的清晰性能梯度。</w:t>
      </w:r>
    </w:p>
    <w:p>
      <w:pPr>
        <w:jc w:val="center"/>
      </w:pPr>
      <w:r>
        <w:drawing>
          <wp:inline>
            <wp:extent cx="3024000" cy="2106210"/>
            <wp:docPr id="4" name="Picture 4"/>
            <wp:cNvGraphicFramePr>
              <a:graphicFrameLocks noChangeAspect="1"/>
            </wp:cNvGraphicFramePr>
            <a:graphic>
              <a:graphicData uri="http://schemas.openxmlformats.org/drawingml/2006/picture">
                <pic:pic>
                  <pic:nvPicPr>
                    <pic:cNvPr id="0" name="fig_delay.png"/>
                    <pic:cNvPicPr/>
                  </pic:nvPicPr>
                  <pic:blipFill>
                    <a:blip r:embed="rId14"/>
                    <a:stretch>
                      <a:fillRect/>
                    </a:stretch>
                  </pic:blipFill>
                  <pic:spPr>
                    <a:xfrm>
                      <a:off x="0" y="0"/>
                      <a:ext cx="3024000" cy="2106210"/>
                    </a:xfrm>
                    <a:prstGeom prst="rect"/>
                  </pic:spPr>
                </pic:pic>
              </a:graphicData>
            </a:graphic>
          </wp:inline>
        </w:drawing>
      </w:r>
    </w:p>
    <w:p>
      <w:pPr>
        <w:jc w:val="center"/>
      </w:pPr>
      <w:r>
        <w:rPr>
          <w:rFonts w:ascii="Times New Roman" w:hAnsi="Times New Roman" w:eastAsia="黑体"/>
          <w:b w:val="0"/>
          <w:color w:val="000000"/>
          <w:sz w:val="18"/>
        </w:rPr>
        <w:t>图4 平均端到端时延随负载的变化</w:t>
      </w:r>
    </w:p>
    <w:p>
      <w:pPr>
        <w:pStyle w:val="BodyText"/>
        <w:spacing w:lineRule="auto" w:line="360"/>
        <w:jc w:val="both"/>
        <w:ind w:firstLineChars="200"/>
      </w:pPr>
      <w:r>
        <w:rPr>
          <w:rFonts w:hint="eastAsia" w:ascii="Times New Roman" w:hAnsi="Times New Roman" w:eastAsia="宋体"/>
          <w:b w:val="0"/>
          <w:color w:val="000000"/>
          <w:sz w:val="21"/>
        </w:rPr>
        <w:t xml:space="preserve">图5给出链路利用率(95分位)随负载的变化，用以从机理上解释上述时延差异。Dijkstra的高分位利用率随负载迅速逼近饱和(负载1.4时约0.99)，表明其将负载集中于少数热点链路；CA-MQR的高分位利用率始终最低，说明其有效地将业务流分散到全网，实现了负载均衡。这从机理上印证了CA-MQR时延优势的来源，即拥塞感知带来的主动分流能力。</w:t>
      </w:r>
    </w:p>
    <w:p>
      <w:pPr>
        <w:jc w:val="center"/>
      </w:pPr>
      <w:r>
        <w:drawing>
          <wp:inline>
            <wp:extent cx="3024000" cy="2106210"/>
            <wp:docPr id="5" name="Picture 5"/>
            <wp:cNvGraphicFramePr>
              <a:graphicFrameLocks noChangeAspect="1"/>
            </wp:cNvGraphicFramePr>
            <a:graphic>
              <a:graphicData uri="http://schemas.openxmlformats.org/drawingml/2006/picture">
                <pic:pic>
                  <pic:nvPicPr>
                    <pic:cNvPr id="0" name="fig_util.png"/>
                    <pic:cNvPicPr/>
                  </pic:nvPicPr>
                  <pic:blipFill>
                    <a:blip r:embed="rId15"/>
                    <a:stretch>
                      <a:fillRect/>
                    </a:stretch>
                  </pic:blipFill>
                  <pic:spPr>
                    <a:xfrm>
                      <a:off x="0" y="0"/>
                      <a:ext cx="3024000" cy="2106210"/>
                    </a:xfrm>
                    <a:prstGeom prst="rect"/>
                  </pic:spPr>
                </pic:pic>
              </a:graphicData>
            </a:graphic>
          </wp:inline>
        </w:drawing>
      </w:r>
    </w:p>
    <w:p>
      <w:pPr>
        <w:jc w:val="center"/>
      </w:pPr>
      <w:r>
        <w:rPr>
          <w:rFonts w:ascii="Times New Roman" w:hAnsi="Times New Roman" w:eastAsia="黑体"/>
          <w:b w:val="0"/>
          <w:color w:val="000000"/>
          <w:sz w:val="18"/>
        </w:rPr>
        <w:t>图5 链路利用率(95分位)随负载的变化</w:t>
      </w:r>
    </w:p>
    <w:p>
      <w:pPr>
        <w:pStyle w:val="BodyText"/>
        <w:spacing w:lineRule="auto" w:line="360"/>
        <w:jc w:val="both"/>
        <w:ind w:firstLineChars="200"/>
      </w:pPr>
      <w:r>
        <w:rPr>
          <w:rFonts w:hint="eastAsia" w:ascii="Times New Roman" w:hAnsi="Times New Roman" w:eastAsia="宋体"/>
          <w:b w:val="0"/>
          <w:color w:val="000000"/>
          <w:sz w:val="21"/>
        </w:rPr>
        <w:t xml:space="preserve">图6给出重载场景下三类业务的QoS满足率对比。CA-MQR在三类业务上均取得最高的QoS满足率：对时延敏感的A类业务，通过规避排队时延将满足率由Dijkstra的0.71提升至0.82；对带宽密集的B类与可靠性优先的C类业务，满足率均达到1.00，优于所有基线。需要说明的是，A类业务整体满足率相对较低，是因为其时延约束(120</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ms)最为严格，重载下即使实现负载均衡也难以完全满足，但CA-MQR仍取得相对最优结果。图7进一步给出总体QoS满足率随负载的变化，CA-MQR在各负载水平下均保持领先，且在重载区优势最为明显。上述结果表明，拥塞感知与业务差异化设计共同保障了多业务的差异化QoS。</w:t>
      </w:r>
    </w:p>
    <w:p>
      <w:pPr>
        <w:jc w:val="center"/>
      </w:pPr>
      <w:r>
        <w:drawing>
          <wp:inline>
            <wp:extent cx="3024000" cy="2106210"/>
            <wp:docPr id="7" name="Picture 7"/>
            <wp:cNvGraphicFramePr>
              <a:graphicFrameLocks noChangeAspect="1"/>
            </wp:cNvGraphicFramePr>
            <a:graphic>
              <a:graphicData uri="http://schemas.openxmlformats.org/drawingml/2006/picture">
                <pic:pic>
                  <pic:nvPicPr>
                    <pic:cNvPr id="0" name="fig_satrate.png"/>
                    <pic:cNvPicPr/>
                  </pic:nvPicPr>
                  <pic:blipFill>
                    <a:blip r:embed="rId17"/>
                    <a:stretch>
                      <a:fillRect/>
                    </a:stretch>
                  </pic:blipFill>
                  <pic:spPr>
                    <a:xfrm>
                      <a:off x="0" y="0"/>
                      <a:ext cx="3024000" cy="2106210"/>
                    </a:xfrm>
                    <a:prstGeom prst="rect"/>
                  </pic:spPr>
                </pic:pic>
              </a:graphicData>
            </a:graphic>
          </wp:inline>
        </w:drawing>
      </w:r>
    </w:p>
    <w:p>
      <w:pPr>
        <w:jc w:val="center"/>
      </w:pPr>
      <w:r>
        <w:rPr>
          <w:rFonts w:ascii="Times New Roman" w:hAnsi="Times New Roman" w:eastAsia="黑体"/>
          <w:b w:val="0"/>
          <w:color w:val="000000"/>
          <w:sz w:val="18"/>
        </w:rPr>
        <w:t>图7 总体QoS满足率随负载的变化</w:t>
      </w:r>
    </w:p>
    <w:p>
      <w:pPr>
        <w:jc w:val="center"/>
      </w:pPr>
      <w:r>
        <w:drawing>
          <wp:inline>
            <wp:extent cx="3240000" cy="2063915"/>
            <wp:docPr id="6" name="Picture 6"/>
            <wp:cNvGraphicFramePr>
              <a:graphicFrameLocks noChangeAspect="1"/>
            </wp:cNvGraphicFramePr>
            <a:graphic>
              <a:graphicData uri="http://schemas.openxmlformats.org/drawingml/2006/picture">
                <pic:pic>
                  <pic:nvPicPr>
                    <pic:cNvPr id="0" name="fig_perclass.png"/>
                    <pic:cNvPicPr/>
                  </pic:nvPicPr>
                  <pic:blipFill>
                    <a:blip r:embed="rId16"/>
                    <a:stretch>
                      <a:fillRect/>
                    </a:stretch>
                  </pic:blipFill>
                  <pic:spPr>
                    <a:xfrm>
                      <a:off x="0" y="0"/>
                      <a:ext cx="3240000" cy="2063915"/>
                    </a:xfrm>
                    <a:prstGeom prst="rect"/>
                  </pic:spPr>
                </pic:pic>
              </a:graphicData>
            </a:graphic>
          </wp:inline>
        </w:drawing>
      </w:r>
    </w:p>
    <w:p>
      <w:pPr>
        <w:jc w:val="center"/>
      </w:pPr>
      <w:r>
        <w:rPr>
          <w:rFonts w:ascii="Times New Roman" w:hAnsi="Times New Roman" w:eastAsia="黑体"/>
          <w:b w:val="0"/>
          <w:color w:val="000000"/>
          <w:sz w:val="18"/>
        </w:rPr>
        <w:t>图6 三类业务的QoS满足率对比</w:t>
      </w:r>
    </w:p>
    <w:bookmarkEnd w:id="22"/>
    <w:bookmarkStart w:id="23" w:name="消融实验"/>
    <w:p>
      <w:pPr>
        <w:pStyle w:val="Heading2"/>
        <w:spacing w:lineRule="auto" w:line="360"/>
      </w:pPr>
      <w:r>
        <w:rPr>
          <w:rFonts w:hint="eastAsia" w:ascii="Arial" w:hAnsi="Arial" w:eastAsia="黑体"/>
          <w:b/>
          <w:color w:val="000000"/>
          <w:sz w:val="24"/>
        </w:rPr>
        <w:t xml:space="preserve">消融实验</w:t>
      </w:r>
    </w:p>
    <w:p>
      <w:pPr>
        <w:pStyle w:val="FirstParagraph"/>
        <w:spacing w:lineRule="auto" w:line="360"/>
        <w:jc w:val="both"/>
        <w:ind w:firstLineChars="200"/>
      </w:pPr>
      <w:r>
        <w:rPr>
          <w:rFonts w:hint="eastAsia" w:ascii="Times New Roman" w:hAnsi="Times New Roman" w:eastAsia="宋体"/>
          <w:b w:val="0"/>
          <w:color w:val="000000"/>
          <w:sz w:val="21"/>
        </w:rPr>
        <w:t xml:space="preserve">为验证CA-MQR各设计模块的贡献，本节分别对拥塞感知、业务差异化奖励与竞争式网络结构进行消融分析。</w:t>
      </w:r>
    </w:p>
    <w:p>
      <w:pPr>
        <w:pStyle w:val="BodyText"/>
        <w:spacing w:lineRule="auto" w:line="360"/>
        <w:jc w:val="both"/>
        <w:ind w:firstLineChars="200"/>
      </w:pPr>
      <w:r>
        <w:rPr>
          <w:rFonts w:hint="eastAsia" w:ascii="Times New Roman" w:hAnsi="Times New Roman" w:eastAsia="宋体"/>
          <w:b w:val="0"/>
          <w:bCs/>
          <w:color w:val="000000"/>
          <w:sz w:val="21"/>
        </w:rPr>
        <w:t xml:space="preserve">拥塞感知与业务差异化的贡献</w:t>
      </w:r>
      <w:r>
        <w:rPr>
          <w:rFonts w:hint="eastAsia" w:ascii="Times New Roman" w:hAnsi="Times New Roman" w:eastAsia="宋体"/>
          <w:b w:val="0"/>
          <w:color w:val="000000"/>
          <w:sz w:val="21"/>
        </w:rPr>
        <w:t xml:space="preserve">：3.2节中的Vanilla-DQN即为去除拥塞感知与业务差异化奖励后的消融版本(状态不含利用率、奖励仅依据静态时延)。对比图4与图6可见，去除这两项设计后，重载时延由88</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ms升至约134</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ms、三类业务QoS满足率亦全面下降，表明拥塞感知与业务差异化奖励是CA-MQR性能优势的主要来源。</w:t>
      </w:r>
    </w:p>
    <w:p>
      <w:pPr>
        <w:pStyle w:val="BodyText"/>
        <w:spacing w:lineRule="auto" w:line="360"/>
        <w:jc w:val="both"/>
        <w:ind w:firstLineChars="200"/>
      </w:pPr>
      <w:r>
        <w:rPr>
          <w:rFonts w:hint="eastAsia" w:ascii="Times New Roman" w:hAnsi="Times New Roman" w:eastAsia="宋体"/>
          <w:b w:val="0"/>
          <w:bCs/>
          <w:color w:val="000000"/>
          <w:sz w:val="21"/>
        </w:rPr>
        <w:t xml:space="preserve">竞争式网络结构的贡献</w:t>
      </w:r>
      <w:r>
        <w:rPr>
          <w:rFonts w:hint="eastAsia" w:ascii="Times New Roman" w:hAnsi="Times New Roman" w:eastAsia="宋体"/>
          <w:b w:val="0"/>
          <w:color w:val="000000"/>
          <w:sz w:val="21"/>
        </w:rPr>
        <w:t xml:space="preserve">：在相同的拥塞感知状态与业务差异化奖励设置下，本文对竞争式双深度Q网络与普通双深度Q网络进行对比。为消除随机性影响，两者分别在三组不同随机种子下训练，图8给出其收敛曲线的均值与标准差(阴影区域)。可以看出，两种结构最终收敛到相近的奖励水平，但竞争式结构的收敛曲线阴影带更窄、后期波动更小，其收敛后奖励的标准差明显小于普通结构，表明竞争式结构主要贡献在于提升训练稳定性。这一特性对于拓扑时变、需要周期性重新训练的LEO卫星网络具有实际意义。</w:t>
      </w:r>
    </w:p>
    <w:p>
      <w:pPr>
        <w:jc w:val="center"/>
      </w:pPr>
      <w:r>
        <w:drawing>
          <wp:inline>
            <wp:extent cx="3024000" cy="2106210"/>
            <wp:docPr id="8" name="Picture 8"/>
            <wp:cNvGraphicFramePr>
              <a:graphicFrameLocks noChangeAspect="1"/>
            </wp:cNvGraphicFramePr>
            <a:graphic>
              <a:graphicData uri="http://schemas.openxmlformats.org/drawingml/2006/picture">
                <pic:pic>
                  <pic:nvPicPr>
                    <pic:cNvPr id="0" name="fig_dueling.png"/>
                    <pic:cNvPicPr/>
                  </pic:nvPicPr>
                  <pic:blipFill>
                    <a:blip r:embed="rId18"/>
                    <a:stretch>
                      <a:fillRect/>
                    </a:stretch>
                  </pic:blipFill>
                  <pic:spPr>
                    <a:xfrm>
                      <a:off x="0" y="0"/>
                      <a:ext cx="3024000" cy="2106210"/>
                    </a:xfrm>
                    <a:prstGeom prst="rect"/>
                  </pic:spPr>
                </pic:pic>
              </a:graphicData>
            </a:graphic>
          </wp:inline>
        </w:drawing>
      </w:r>
    </w:p>
    <w:p>
      <w:pPr>
        <w:jc w:val="center"/>
      </w:pPr>
      <w:r>
        <w:rPr>
          <w:rFonts w:ascii="Times New Roman" w:hAnsi="Times New Roman" w:eastAsia="黑体"/>
          <w:b w:val="0"/>
          <w:color w:val="000000"/>
          <w:sz w:val="18"/>
        </w:rPr>
        <w:t>图8 竞争式与普通网络结构的收敛曲线对比</w:t>
      </w:r>
    </w:p>
    <w:bookmarkEnd w:id="23"/>
    <w:bookmarkStart w:id="24" w:name="下游拥塞势场增强验证"/>
    <w:p>
      <w:pPr>
        <w:pStyle w:val="Heading2"/>
        <w:spacing w:lineRule="auto" w:line="360"/>
      </w:pPr>
      <w:r>
        <w:rPr>
          <w:rFonts w:hint="eastAsia" w:ascii="Arial" w:hAnsi="Arial" w:eastAsia="黑体"/>
          <w:b/>
          <w:color w:val="000000"/>
          <w:sz w:val="24"/>
        </w:rPr>
        <w:t xml:space="preserve">下游拥塞势场增强验证</w:t>
      </w:r>
    </w:p>
    <w:p>
      <w:pPr>
        <w:pStyle w:val="FirstParagraph"/>
        <w:spacing w:lineRule="auto" w:line="360"/>
        <w:jc w:val="both"/>
        <w:ind w:firstLineChars="200"/>
      </w:pPr>
      <w:r>
        <w:rPr>
          <w:rFonts w:hint="eastAsia" w:ascii="Times New Roman" w:hAnsi="Times New Roman" w:eastAsia="宋体"/>
          <w:b w:val="0"/>
          <w:color w:val="000000"/>
          <w:sz w:val="21"/>
        </w:rPr>
        <w:t xml:space="preserve">3.2节与3.3节的流量源目的对在全网随机分布，拥塞呈稀疏分布，此时单跳视野已足以做出较优决策，下游拥塞势场作用有限。为考察势场在拥塞成片分布场景下的作用，本节构造流量热点汇聚场景：约70%的业务流汇聚至少数几颗卫星(对应业务密集区域的接入汇聚)，形成空间聚集的成片拥塞区，并对引入势场与未引入势场的CA-MQR进行对比。图9给出P95尾部时延与QoS满足率随负载的变化。</w:t>
      </w:r>
    </w:p>
    <w:p>
      <w:pPr>
        <w:jc w:val="center"/>
      </w:pPr>
      <w:r>
        <w:drawing>
          <wp:inline>
            <wp:extent cx="4140000" cy="1685224"/>
            <wp:docPr id="9" name="Picture 9"/>
            <wp:cNvGraphicFramePr>
              <a:graphicFrameLocks noChangeAspect="1"/>
            </wp:cNvGraphicFramePr>
            <a:graphic>
              <a:graphicData uri="http://schemas.openxmlformats.org/drawingml/2006/picture">
                <pic:pic>
                  <pic:nvPicPr>
                    <pic:cNvPr id="0" name="fig_potential.png"/>
                    <pic:cNvPicPr/>
                  </pic:nvPicPr>
                  <pic:blipFill>
                    <a:blip r:embed="rId19"/>
                    <a:stretch>
                      <a:fillRect/>
                    </a:stretch>
                  </pic:blipFill>
                  <pic:spPr>
                    <a:xfrm>
                      <a:off x="0" y="0"/>
                      <a:ext cx="4140000" cy="1685224"/>
                    </a:xfrm>
                    <a:prstGeom prst="rect"/>
                  </pic:spPr>
                </pic:pic>
              </a:graphicData>
            </a:graphic>
          </wp:inline>
        </w:drawing>
      </w:r>
    </w:p>
    <w:p>
      <w:pPr>
        <w:jc w:val="center"/>
      </w:pPr>
      <w:r>
        <w:rPr>
          <w:rFonts w:ascii="Times New Roman" w:hAnsi="Times New Roman" w:eastAsia="黑体"/>
          <w:b w:val="0"/>
          <w:color w:val="000000"/>
          <w:sz w:val="18"/>
        </w:rPr>
        <w:t>图9 下游拥塞势场在热点汇聚场景下的增强效果</w:t>
      </w:r>
    </w:p>
    <w:p>
      <w:pPr>
        <w:pStyle w:val="BodyText"/>
        <w:spacing w:lineRule="auto" w:line="360"/>
        <w:jc w:val="both"/>
        <w:ind w:firstLineChars="200"/>
      </w:pPr>
      <w:r>
        <w:rPr>
          <w:rFonts w:hint="eastAsia" w:ascii="Times New Roman" w:hAnsi="Times New Roman" w:eastAsia="宋体"/>
          <w:b w:val="0"/>
          <w:color w:val="000000"/>
          <w:sz w:val="21"/>
        </w:rPr>
        <w:t xml:space="preserve">如图9(a)所示，在轻度拥塞时两者接近，随着负载增大，引入势场的方法P95尾部时延增长明显更缓：在负载为1.4时，其P95时延相比未引入势场降低约32%。图9(b)表明，引入势场后QoS满足率在各负载下均有提升，且负载越重提升越明显。这说明势场使智能体能够提前感知并规避通往拥塞区域的方向，从而缓解成片拥塞下的尾部时延恶化。需要指出的是，势场增益主要体现在拥塞成片分布的严重拥塞场景，在拥塞稀疏时作用不明显，这与其”感知下游拥塞纵深”的设计初衷相符。</w:t>
      </w:r>
    </w:p>
    <w:bookmarkEnd w:id="24"/>
    <w:bookmarkEnd w:id="25"/>
    <w:bookmarkStart w:id="26" w:name="结论"/>
    <w:p>
      <w:pPr>
        <w:pStyle w:val="Heading1"/>
        <w:spacing w:lineRule="auto" w:line="360"/>
      </w:pPr>
      <w:r>
        <w:rPr>
          <w:rFonts w:hint="eastAsia" w:ascii="Times New Roman" w:hAnsi="Times New Roman" w:eastAsia="黑体"/>
          <w:b w:val="0"/>
          <w:color w:val="000000"/>
          <w:sz w:val="28"/>
        </w:rPr>
        <w:t xml:space="preserve">结论</w:t>
      </w:r>
    </w:p>
    <w:p>
      <w:pPr>
        <w:pStyle w:val="FirstParagraph"/>
        <w:spacing w:lineRule="auto" w:line="360"/>
        <w:jc w:val="both"/>
        <w:ind w:firstLineChars="200"/>
      </w:pPr>
      <w:r>
        <w:rPr>
          <w:rFonts w:hint="eastAsia" w:ascii="Times New Roman" w:hAnsi="Times New Roman" w:eastAsia="宋体"/>
          <w:b w:val="0"/>
          <w:color w:val="000000"/>
          <w:sz w:val="21"/>
        </w:rPr>
        <w:t xml:space="preserve">本文以拥塞感知为主线，提出了低轨卫星网络的多业务智能路由方法CA-MQR。该方法将逐跳路由建模为POMDP，把链路实时利用率与业务类型引入状态、并为三类业务设计差异化奖励函数，构成拥塞感知多业务路由的主干；在此基础上，设计下游拥塞势场以获得超越单跳的拥塞纵深感知，并采用竞争式双深度Q网络提升训练稳定性。基于Walker</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Delta星座的流级仿真表明，在重载场景下CA-MQR平均端到端时延相比最短路径降低约66%，三类业务QoS满足率均优于对比方法；消融实验验证了各模块的有效性；在流量热点汇聚的严重拥塞场景下，下游拥塞势场进一步将P95尾部时延降低约32%。后续工作将进一步研究多智能体协同路由与更大规模星座下的可扩展性。</w:t>
      </w:r>
    </w:p>
    <w:p>
      <w:pPr>
        <w:pStyle w:val="BodyText"/>
        <w:spacing w:lineRule="auto" w:line="360"/>
        <w:jc w:val="both"/>
        <w:ind w:firstLineChars="200"/>
      </w:pPr>
      <w:r>
        <w:rPr>
          <w:rFonts w:hint="eastAsia" w:ascii="Times New Roman" w:hAnsi="Times New Roman" w:eastAsia="宋体"/>
          <w:b w:val="0"/>
          <w:color w:val="000000"/>
          <w:sz w:val="21"/>
        </w:rPr>
        <w:t xml:space="preserve">参考文献</w:t>
      </w:r>
    </w:p>
    <w:p>
      <w:pPr>
        <w:numPr>
          <w:ilvl w:val="0"/>
          <w:numId w:val="1002"/>
        </w:numPr>
        <w:spacing w:lineRule="auto" w:line="288"/>
        <w:jc w:val="both"/>
        <w:ind w:firstLineChars="200"/>
      </w:pPr>
      <w:r>
        <w:rPr>
          <w:rFonts w:hint="eastAsia" w:ascii="Times New Roman" w:hAnsi="Times New Roman" w:eastAsia="宋体"/>
          <w:b w:val="0"/>
          <w:color w:val="000000"/>
          <w:sz w:val="18"/>
        </w:rPr>
        <w:t xml:space="preserve">蒋长林,</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李清,</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王羽,</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等.</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天地一体化网络关键技术研究综述[J].</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软件学报,</w:t>
      </w:r>
      <w:r>
        <w:rPr>
          <w:rFonts w:ascii="Times New Roman" w:hAnsi="Times New Roman" w:eastAsia="宋体"/>
          <w:b w:val="0"/>
          <w:color w:val="000000"/>
          <w:sz w:val="18"/>
        </w:rPr>
        <w:t xml:space="preserve"> 2024, 35(1): 266-287.</w:t>
      </w:r>
    </w:p>
    <w:p>
      <w:pPr>
        <w:numPr>
          <w:ilvl w:val="0"/>
          <w:numId w:val="1002"/>
        </w:numPr>
        <w:spacing w:lineRule="auto" w:line="288"/>
        <w:jc w:val="both"/>
        <w:ind w:firstLineChars="200"/>
      </w:pPr>
      <w:r>
        <w:rPr>
          <w:rFonts w:ascii="Times New Roman" w:hAnsi="Times New Roman" w:eastAsia="宋体"/>
          <w:b w:val="0"/>
          <w:color w:val="000000"/>
          <w:sz w:val="18"/>
        </w:rPr>
        <w:t xml:space="preserve">Kassing S, Bhattacherjee D, Águas A B, et al. Exploring the</w:t>
      </w:r>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“Internet from space”</w:t>
      </w:r>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with Hypatia[C]//Proceedings of the ACM Internet Measurement Conference. New York: ACM, 2020: 214-229.</w:t>
      </w:r>
    </w:p>
    <w:p>
      <w:pPr>
        <w:numPr>
          <w:ilvl w:val="0"/>
          <w:numId w:val="1002"/>
        </w:numPr>
        <w:spacing w:lineRule="auto" w:line="288"/>
        <w:jc w:val="both"/>
        <w:ind w:firstLineChars="200"/>
      </w:pPr>
      <w:r>
        <w:rPr>
          <w:rFonts w:hint="eastAsia" w:ascii="Times New Roman" w:hAnsi="Times New Roman" w:eastAsia="宋体"/>
          <w:b w:val="0"/>
          <w:color w:val="000000"/>
          <w:sz w:val="18"/>
        </w:rPr>
        <w:t xml:space="preserve">郑爽,</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张兴,</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王文博.</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低轨卫星通信网络路由技术综述[J].</w:t>
      </w:r>
      <w:r>
        <w:rPr>
          <w:rFonts w:ascii="Times New Roman" w:hAnsi="Times New Roman" w:eastAsia="宋体"/>
          <w:b w:val="0"/>
          <w:color w:val="000000"/>
          <w:sz w:val="18"/>
        </w:rPr>
        <w:t xml:space="preserve"> </w:t>
      </w:r>
      <w:r>
        <w:rPr>
          <w:rFonts w:hint="eastAsia" w:ascii="Times New Roman" w:hAnsi="Times New Roman" w:eastAsia="宋体"/>
          <w:b w:val="0"/>
          <w:color w:val="000000"/>
          <w:sz w:val="18"/>
        </w:rPr>
        <w:t xml:space="preserve">天地一体化信息网络,</w:t>
      </w:r>
      <w:r>
        <w:rPr>
          <w:rFonts w:ascii="Times New Roman" w:hAnsi="Times New Roman" w:eastAsia="宋体"/>
          <w:b w:val="0"/>
          <w:color w:val="000000"/>
          <w:sz w:val="18"/>
        </w:rPr>
        <w:t xml:space="preserve"> 2022, 3(3): 97-105.</w:t>
      </w:r>
    </w:p>
    <w:p>
      <w:pPr>
        <w:numPr>
          <w:ilvl w:val="0"/>
          <w:numId w:val="1002"/>
        </w:numPr>
        <w:spacing w:lineRule="auto" w:line="288"/>
        <w:jc w:val="both"/>
        <w:ind w:firstLineChars="200"/>
      </w:pPr>
      <w:r>
        <w:rPr>
          <w:rFonts w:ascii="Times New Roman" w:hAnsi="Times New Roman" w:eastAsia="宋体"/>
          <w:b w:val="0"/>
          <w:color w:val="000000"/>
          <w:sz w:val="18"/>
        </w:rPr>
        <w:t xml:space="preserve">Bhattacherjee D, Singla A. Network topology design at 27,000 km/hour[C]//Proceedings of the 15th International Conference on Emerging Networking Experiments and Technologies. New York: ACM, 2019: 341-354.</w:t>
      </w:r>
    </w:p>
    <w:p>
      <w:pPr>
        <w:numPr>
          <w:ilvl w:val="0"/>
          <w:numId w:val="1002"/>
        </w:numPr>
        <w:spacing w:lineRule="auto" w:line="288"/>
        <w:jc w:val="both"/>
        <w:ind w:firstLineChars="200"/>
      </w:pPr>
      <w:r>
        <w:rPr>
          <w:rFonts w:ascii="Times New Roman" w:hAnsi="Times New Roman" w:eastAsia="宋体"/>
          <w:b w:val="0"/>
          <w:color w:val="000000"/>
          <w:sz w:val="18"/>
        </w:rPr>
        <w:t xml:space="preserve">Boyan J A, Littman M L. Packet routing in dynamically changing networks: a reinforcement learning approach[C]//Advances in Neural Information Processing Systems. San Francisco: Morgan Kaufmann, 1994: 671-678.</w:t>
      </w:r>
    </w:p>
    <w:p>
      <w:pPr>
        <w:numPr>
          <w:ilvl w:val="0"/>
          <w:numId w:val="1002"/>
        </w:numPr>
        <w:spacing w:lineRule="auto" w:line="288"/>
        <w:jc w:val="both"/>
        <w:ind w:firstLineChars="200"/>
      </w:pPr>
      <w:r>
        <w:rPr>
          <w:rFonts w:ascii="Times New Roman" w:hAnsi="Times New Roman" w:eastAsia="宋体"/>
          <w:b w:val="0"/>
          <w:color w:val="000000"/>
          <w:sz w:val="18"/>
        </w:rPr>
        <w:t xml:space="preserve">Lozano-Cuadra F, Soret B, Leyva-Mayorga I, et al. Continual deep reinforcement learning for decentralized satellite routing[J]. IEEE Transactions on Communications, 2025, 73(5): 3115-3129.</w:t>
      </w:r>
    </w:p>
    <w:p>
      <w:pPr>
        <w:numPr>
          <w:ilvl w:val="0"/>
          <w:numId w:val="1002"/>
        </w:numPr>
        <w:spacing w:lineRule="auto" w:line="288"/>
        <w:jc w:val="both"/>
        <w:ind w:firstLineChars="200"/>
      </w:pPr>
      <w:r>
        <w:rPr>
          <w:rFonts w:ascii="Times New Roman" w:hAnsi="Times New Roman" w:eastAsia="宋体"/>
          <w:b w:val="0"/>
          <w:color w:val="000000"/>
          <w:sz w:val="18"/>
        </w:rPr>
        <w:t xml:space="preserve">Ru J, Hu H, Fan R, et al. Multi-QoS routing algorithm based on reinforcement learning for LEO satellite networks[J]. Journal of Systems Engineering and Electronics, 2025, 36(1): 37-47.</w:t>
      </w:r>
    </w:p>
    <w:p>
      <w:pPr>
        <w:numPr>
          <w:ilvl w:val="0"/>
          <w:numId w:val="1002"/>
        </w:numPr>
        <w:spacing w:lineRule="auto" w:line="288"/>
        <w:jc w:val="both"/>
        <w:ind w:firstLineChars="200"/>
      </w:pPr>
      <w:r>
        <w:rPr>
          <w:rFonts w:ascii="Times New Roman" w:hAnsi="Times New Roman" w:eastAsia="宋体"/>
          <w:b w:val="0"/>
          <w:color w:val="000000"/>
          <w:sz w:val="18"/>
        </w:rPr>
        <w:t xml:space="preserve">Rao Z, Zhu Z, Lim W Y B, et al. A LEO satellite routing method based on incremental evolutionary graph reinforcement learning[C]//IEEE International Conference on Communications. Piscataway: IEEE, 2025: 4701-4706.</w:t>
      </w:r>
    </w:p>
    <w:p>
      <w:pPr>
        <w:numPr>
          <w:ilvl w:val="0"/>
          <w:numId w:val="1002"/>
        </w:numPr>
        <w:spacing w:lineRule="auto" w:line="288"/>
        <w:jc w:val="both"/>
        <w:ind w:firstLineChars="200"/>
      </w:pPr>
      <w:r>
        <w:rPr>
          <w:rFonts w:ascii="Times New Roman" w:hAnsi="Times New Roman" w:eastAsia="宋体"/>
          <w:b w:val="0"/>
          <w:color w:val="000000"/>
          <w:sz w:val="18"/>
        </w:rPr>
        <w:t xml:space="preserve">Wang Z, Schaul T, Hessel M, et al. Dueling network architectures for deep reinforcement learning[C]//Proceedings of the 33rd International Conference on Machine Learning. New York: PMLR, 2016: 1995-2003.</w:t>
      </w:r>
    </w:p>
    <w:p>
      <w:pPr>
        <w:numPr>
          <w:ilvl w:val="0"/>
          <w:numId w:val="1002"/>
        </w:numPr>
        <w:spacing w:lineRule="auto" w:line="288"/>
        <w:jc w:val="both"/>
        <w:ind w:firstLineChars="200"/>
      </w:pPr>
      <w:r>
        <w:rPr>
          <w:rFonts w:ascii="Times New Roman" w:hAnsi="Times New Roman" w:eastAsia="宋体"/>
          <w:b w:val="0"/>
          <w:color w:val="000000"/>
          <w:sz w:val="18"/>
        </w:rPr>
        <w:t xml:space="preserve">van Hasselt H, Guez A, Silver D. Deep reinforcement learning with double Q-learning[C]//Proceedings of the AAAI Conference on Artificial Intelligence. Palo Alto: AAAI Press, 2016: 2094-2100.</w:t>
      </w:r>
    </w:p>
    <w:bookmarkEnd w:id="26"/>
    <w:sectPr>
      <w:headerReference w:type="default" r:id="rId9"/>
      <w:footerReference w:type="default" r:id="rId10"/>
      <w:footnotePr>
        <w:numRestart w:val="eachSect"/>
      </w:footnotePr>
      <w:pgMar w:top="1417" w:bottom="1417" w:left="1587" w:right="1587"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color w:val="000000"/>
        <w:sz w:val="18"/>
      </w:rPr>
      <w:t>第41届南京地区研究生通信年会</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
      <w:rPr>
        <w:rFonts w:ascii="Times New Roman" w:hAnsi="Times New Roman" w:eastAsia="宋体"/>
        <w:b w:val="0"/>
        <w:color w:val="000000"/>
        <w:sz w:val="18"/>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olor w:val="000000"/>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2026-07-11T12:05:31Z</dcterms:created>
  <dcterms:modified xsi:type="dcterms:W3CDTF">2026-07-11T12:05:31Z</dcterms:modified>
</cp:coreProperties>
</file>

<file path=docProps/custom.xml><?xml version="1.0" encoding="utf-8"?>
<Properties xmlns="http://schemas.openxmlformats.org/officeDocument/2006/custom-properties" xmlns:vt="http://schemas.openxmlformats.org/officeDocument/2006/docPropsVTypes"/>
</file>