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965BE" w14:textId="77777777"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 xml:space="preserve">scope for </w:t>
      </w:r>
      <w:proofErr w:type="spellStart"/>
      <w:r w:rsidR="002B6494" w:rsidRPr="001E6C21">
        <w:rPr>
          <w:sz w:val="40"/>
          <w:szCs w:val="40"/>
        </w:rPr>
        <w:t>GeenSheets</w:t>
      </w:r>
      <w:proofErr w:type="spellEnd"/>
      <w:r w:rsidR="002B6494" w:rsidRPr="001E6C21">
        <w:rPr>
          <w:sz w:val="40"/>
          <w:szCs w:val="40"/>
        </w:rPr>
        <w:t xml:space="preserve"> re-design project</w:t>
      </w:r>
    </w:p>
    <w:p w14:paraId="17312296" w14:textId="77777777" w:rsidR="002B6494" w:rsidRDefault="002B6494" w:rsidP="002B6494"/>
    <w:tbl>
      <w:tblPr>
        <w:tblStyle w:val="TableGrid"/>
        <w:tblW w:w="0" w:type="auto"/>
        <w:tblLook w:val="04A0" w:firstRow="1" w:lastRow="0" w:firstColumn="1" w:lastColumn="0" w:noHBand="0" w:noVBand="1"/>
      </w:tblPr>
      <w:tblGrid>
        <w:gridCol w:w="1462"/>
        <w:gridCol w:w="1459"/>
        <w:gridCol w:w="2791"/>
        <w:gridCol w:w="1327"/>
        <w:gridCol w:w="1516"/>
        <w:gridCol w:w="1943"/>
        <w:gridCol w:w="1100"/>
        <w:gridCol w:w="1342"/>
      </w:tblGrid>
      <w:tr w:rsidR="001E6C21" w:rsidRPr="001E6C21" w14:paraId="079F4E6A" w14:textId="77777777" w:rsidTr="001E6C21">
        <w:tc>
          <w:tcPr>
            <w:tcW w:w="1475" w:type="dxa"/>
            <w:vMerge w:val="restart"/>
            <w:tcBorders>
              <w:left w:val="double" w:sz="4" w:space="0" w:color="auto"/>
              <w:right w:val="double" w:sz="4" w:space="0" w:color="auto"/>
            </w:tcBorders>
            <w:shd w:val="clear" w:color="auto" w:fill="C4BC96" w:themeFill="background2" w:themeFillShade="BF"/>
          </w:tcPr>
          <w:p w14:paraId="530891EF" w14:textId="77777777"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3"/>
            <w:tcBorders>
              <w:left w:val="double" w:sz="4" w:space="0" w:color="auto"/>
              <w:right w:val="double" w:sz="4" w:space="0" w:color="auto"/>
            </w:tcBorders>
            <w:shd w:val="clear" w:color="auto" w:fill="DDD9C3" w:themeFill="background2" w:themeFillShade="E6"/>
          </w:tcPr>
          <w:p w14:paraId="0AD35592" w14:textId="77777777"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14:paraId="68866A0C" w14:textId="77777777" w:rsidR="00BF661D" w:rsidRPr="001E6C21" w:rsidRDefault="00BF661D" w:rsidP="00E845A9">
            <w:pPr>
              <w:jc w:val="center"/>
              <w:rPr>
                <w:b/>
                <w:sz w:val="18"/>
                <w:szCs w:val="18"/>
              </w:rPr>
            </w:pPr>
            <w:del w:id="0" w:author="Polonsky, Yakov (NIH/NCI) [C]" w:date="2016-07-25T11:44:00Z">
              <w:r w:rsidRPr="001E6C21" w:rsidDel="00215756">
                <w:rPr>
                  <w:b/>
                  <w:sz w:val="18"/>
                  <w:szCs w:val="18"/>
                </w:rPr>
                <w:delText xml:space="preserve">Corresponding </w:delText>
              </w:r>
            </w:del>
            <w:r w:rsidRPr="001E6C21">
              <w:rPr>
                <w:b/>
                <w:sz w:val="18"/>
                <w:szCs w:val="18"/>
              </w:rPr>
              <w:t>OGA requests</w:t>
            </w:r>
          </w:p>
        </w:tc>
      </w:tr>
      <w:tr w:rsidR="001E6C21" w:rsidRPr="001E6C21" w14:paraId="2CBF456C" w14:textId="77777777"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14:paraId="058FFC3F" w14:textId="77777777"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14:paraId="7FCCB827"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shd w:val="clear" w:color="auto" w:fill="DDD9C3" w:themeFill="background2" w:themeFillShade="E6"/>
          </w:tcPr>
          <w:p w14:paraId="6BC1A401"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14:paraId="7EBDB3AB"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14:paraId="4EA2AA52"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14:paraId="516CE7BA"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14:paraId="5A029F8A"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14:paraId="31AF4A39" w14:textId="77777777" w:rsidR="00BF661D" w:rsidRPr="001E6C21" w:rsidRDefault="00BF661D" w:rsidP="002D294B">
            <w:pPr>
              <w:rPr>
                <w:b/>
                <w:sz w:val="18"/>
                <w:szCs w:val="18"/>
              </w:rPr>
            </w:pPr>
            <w:r w:rsidRPr="001E6C21">
              <w:rPr>
                <w:b/>
                <w:sz w:val="18"/>
                <w:szCs w:val="18"/>
              </w:rPr>
              <w:t>Corresponding OGA ticket</w:t>
            </w:r>
          </w:p>
        </w:tc>
      </w:tr>
      <w:tr w:rsidR="001E6C21" w:rsidRPr="001E6C21" w14:paraId="1FDBFBDA" w14:textId="77777777" w:rsidTr="001E6C21">
        <w:tc>
          <w:tcPr>
            <w:tcW w:w="1475" w:type="dxa"/>
            <w:vMerge w:val="restart"/>
            <w:tcBorders>
              <w:bottom w:val="thickThinSmallGap" w:sz="12" w:space="0" w:color="auto"/>
              <w:right w:val="double" w:sz="4" w:space="0" w:color="auto"/>
            </w:tcBorders>
            <w:shd w:val="clear" w:color="auto" w:fill="DBE5F1" w:themeFill="accent1" w:themeFillTint="33"/>
          </w:tcPr>
          <w:p w14:paraId="40D71C79" w14:textId="77777777"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14:paraId="176C1870" w14:textId="77777777" w:rsidR="00BF661D" w:rsidRPr="001E6C21" w:rsidRDefault="009930FC" w:rsidP="00BF661D">
            <w:pPr>
              <w:rPr>
                <w:sz w:val="18"/>
                <w:szCs w:val="18"/>
              </w:rPr>
            </w:pPr>
            <w:r w:rsidRPr="001E6C21">
              <w:rPr>
                <w:rFonts w:ascii="Arial" w:hAnsi="Arial" w:cs="Arial"/>
                <w:color w:val="000000"/>
                <w:sz w:val="18"/>
                <w:szCs w:val="18"/>
              </w:rPr>
              <w:t>GS Time out</w:t>
            </w:r>
          </w:p>
        </w:tc>
        <w:tc>
          <w:tcPr>
            <w:tcW w:w="2817" w:type="dxa"/>
          </w:tcPr>
          <w:p w14:paraId="28F2494B" w14:textId="77777777"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14:paraId="71F29C75" w14:textId="77777777" w:rsidR="00BF661D" w:rsidRPr="001E6C21" w:rsidRDefault="00BF661D" w:rsidP="00BF661D">
            <w:pPr>
              <w:rPr>
                <w:rFonts w:ascii="Arial" w:hAnsi="Arial" w:cs="Arial"/>
                <w:color w:val="00B050"/>
                <w:sz w:val="18"/>
                <w:szCs w:val="18"/>
              </w:rPr>
            </w:pPr>
            <w:del w:id="1" w:author="Polonsky, Yakov (NIH/NCI) [C]" w:date="2016-07-25T11:44:00Z">
              <w:r w:rsidRPr="001E6C21" w:rsidDel="00215756">
                <w:rPr>
                  <w:rFonts w:ascii="Arial" w:hAnsi="Arial" w:cs="Arial"/>
                  <w:color w:val="00B050"/>
                  <w:sz w:val="18"/>
                  <w:szCs w:val="18"/>
                </w:rPr>
                <w:delText>Fixed, but will be re-visited with new technology</w:delText>
              </w:r>
            </w:del>
            <w:ins w:id="2" w:author="Polonsky, Yakov (NIH/NCI) [C]" w:date="2016-07-25T11:44:00Z">
              <w:r w:rsidR="00215756">
                <w:rPr>
                  <w:rFonts w:ascii="Arial" w:hAnsi="Arial" w:cs="Arial"/>
                  <w:color w:val="00B050"/>
                  <w:sz w:val="18"/>
                  <w:szCs w:val="18"/>
                </w:rPr>
                <w:t>Fix is in progress.  Still will be revisited in redesigned version</w:t>
              </w:r>
            </w:ins>
          </w:p>
        </w:tc>
        <w:tc>
          <w:tcPr>
            <w:tcW w:w="1529" w:type="dxa"/>
            <w:tcBorders>
              <w:left w:val="double" w:sz="4" w:space="0" w:color="auto"/>
              <w:bottom w:val="single" w:sz="4" w:space="0" w:color="auto"/>
            </w:tcBorders>
          </w:tcPr>
          <w:p w14:paraId="03692905"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tc>
        <w:tc>
          <w:tcPr>
            <w:tcW w:w="1990" w:type="dxa"/>
          </w:tcPr>
          <w:p w14:paraId="745769AC"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has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14:paraId="587DE8EA" w14:textId="77777777"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14:paraId="715D358B" w14:textId="77777777"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14:paraId="56EB70A8"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55599277" w14:textId="77777777" w:rsidR="004A679D" w:rsidRPr="001E6C21" w:rsidRDefault="004A679D" w:rsidP="004A679D">
            <w:pPr>
              <w:rPr>
                <w:sz w:val="18"/>
                <w:szCs w:val="18"/>
              </w:rPr>
            </w:pPr>
          </w:p>
        </w:tc>
        <w:tc>
          <w:tcPr>
            <w:tcW w:w="1472" w:type="dxa"/>
            <w:tcBorders>
              <w:left w:val="double" w:sz="4" w:space="0" w:color="auto"/>
              <w:bottom w:val="single" w:sz="4" w:space="0" w:color="auto"/>
            </w:tcBorders>
          </w:tcPr>
          <w:p w14:paraId="6854C8E1" w14:textId="77777777" w:rsidR="004A679D" w:rsidRPr="001E6C21" w:rsidRDefault="004A679D" w:rsidP="004A679D">
            <w:pPr>
              <w:rPr>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tc>
        <w:tc>
          <w:tcPr>
            <w:tcW w:w="2817" w:type="dxa"/>
            <w:tcBorders>
              <w:bottom w:val="single" w:sz="4" w:space="0" w:color="auto"/>
            </w:tcBorders>
          </w:tcPr>
          <w:p w14:paraId="17AB3DED" w14:textId="77777777"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14:paraId="1F736CF0" w14:textId="77777777"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2A2703BD"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GS FB - timeout</w:t>
            </w:r>
          </w:p>
        </w:tc>
        <w:tc>
          <w:tcPr>
            <w:tcW w:w="1990" w:type="dxa"/>
            <w:tcBorders>
              <w:bottom w:val="single" w:sz="4" w:space="0" w:color="auto"/>
            </w:tcBorders>
          </w:tcPr>
          <w:p w14:paraId="35C72741"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14:paraId="3439A7EE" w14:textId="77777777"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14:paraId="22EC1B99" w14:textId="77777777"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14:paraId="304241F9"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214DC017" w14:textId="77777777"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14:paraId="3ECEEAC7"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tc>
        <w:tc>
          <w:tcPr>
            <w:tcW w:w="2817" w:type="dxa"/>
            <w:tcBorders>
              <w:bottom w:val="thickThinSmallGap" w:sz="12" w:space="0" w:color="auto"/>
            </w:tcBorders>
          </w:tcPr>
          <w:p w14:paraId="2311A584"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w:t>
            </w:r>
            <w:r w:rsidRPr="001E6C21">
              <w:rPr>
                <w:rFonts w:ascii="Arial" w:hAnsi="Arial" w:cs="Arial"/>
                <w:color w:val="000000"/>
                <w:sz w:val="18"/>
                <w:szCs w:val="18"/>
              </w:rPr>
              <w:lastRenderedPageBreak/>
              <w:t xml:space="preserve">II and they create a second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14:paraId="77078EE5" w14:textId="77777777"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14:paraId="7801CE24" w14:textId="77777777" w:rsidR="00BF661D" w:rsidRPr="001E6C21" w:rsidRDefault="00BF661D" w:rsidP="00BF661D">
            <w:pPr>
              <w:rPr>
                <w:sz w:val="18"/>
                <w:szCs w:val="18"/>
              </w:rPr>
            </w:pPr>
          </w:p>
        </w:tc>
        <w:tc>
          <w:tcPr>
            <w:tcW w:w="1990" w:type="dxa"/>
            <w:tcBorders>
              <w:bottom w:val="thickThinSmallGap" w:sz="12" w:space="0" w:color="auto"/>
            </w:tcBorders>
          </w:tcPr>
          <w:p w14:paraId="784E2B18" w14:textId="77777777" w:rsidR="00BF661D" w:rsidRPr="001E6C21" w:rsidRDefault="00BF661D" w:rsidP="00BF661D">
            <w:pPr>
              <w:rPr>
                <w:sz w:val="18"/>
                <w:szCs w:val="18"/>
              </w:rPr>
            </w:pPr>
          </w:p>
        </w:tc>
        <w:tc>
          <w:tcPr>
            <w:tcW w:w="1128" w:type="dxa"/>
            <w:tcBorders>
              <w:bottom w:val="thickThinSmallGap" w:sz="12" w:space="0" w:color="auto"/>
            </w:tcBorders>
          </w:tcPr>
          <w:p w14:paraId="69D826D6" w14:textId="77777777" w:rsidR="00BF661D" w:rsidRPr="001E6C21" w:rsidRDefault="00BF661D" w:rsidP="00BF661D">
            <w:pPr>
              <w:rPr>
                <w:sz w:val="18"/>
                <w:szCs w:val="18"/>
              </w:rPr>
            </w:pPr>
          </w:p>
        </w:tc>
        <w:tc>
          <w:tcPr>
            <w:tcW w:w="1345" w:type="dxa"/>
            <w:tcBorders>
              <w:bottom w:val="thickThinSmallGap" w:sz="12" w:space="0" w:color="auto"/>
            </w:tcBorders>
          </w:tcPr>
          <w:p w14:paraId="2456C7F8" w14:textId="77777777" w:rsidR="00BF661D" w:rsidRPr="001E6C21" w:rsidRDefault="00BF661D" w:rsidP="00BF661D">
            <w:pPr>
              <w:rPr>
                <w:sz w:val="18"/>
                <w:szCs w:val="18"/>
              </w:rPr>
            </w:pPr>
          </w:p>
        </w:tc>
      </w:tr>
      <w:tr w:rsidR="001E6C21" w:rsidRPr="001E6C21" w14:paraId="33A4E955"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8E9AEDE" w14:textId="77777777" w:rsidR="009930FC" w:rsidRPr="001E6C21" w:rsidRDefault="009930FC" w:rsidP="00BF661D">
            <w:pPr>
              <w:rPr>
                <w:rFonts w:ascii="Arial" w:hAnsi="Arial" w:cs="Arial"/>
                <w:color w:val="000000"/>
                <w:sz w:val="18"/>
                <w:szCs w:val="18"/>
              </w:rPr>
            </w:pPr>
            <w:r w:rsidRPr="001E6C21">
              <w:rPr>
                <w:rFonts w:ascii="Arial" w:hAnsi="Arial" w:cs="Arial"/>
                <w:color w:val="000000"/>
                <w:sz w:val="18"/>
                <w:szCs w:val="18"/>
              </w:rPr>
              <w:lastRenderedPageBreak/>
              <w:t>Roles</w:t>
            </w:r>
          </w:p>
        </w:tc>
        <w:tc>
          <w:tcPr>
            <w:tcW w:w="1472" w:type="dxa"/>
            <w:tcBorders>
              <w:top w:val="thickThinSmallGap" w:sz="12" w:space="0" w:color="auto"/>
              <w:left w:val="double" w:sz="4" w:space="0" w:color="auto"/>
              <w:bottom w:val="single" w:sz="4" w:space="0" w:color="auto"/>
            </w:tcBorders>
          </w:tcPr>
          <w:p w14:paraId="37E66A71" w14:textId="77777777"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 xml:space="preserve">Guest </w:t>
            </w:r>
          </w:p>
        </w:tc>
        <w:tc>
          <w:tcPr>
            <w:tcW w:w="2817" w:type="dxa"/>
            <w:tcBorders>
              <w:top w:val="thickThinSmallGap" w:sz="12" w:space="0" w:color="auto"/>
              <w:bottom w:val="single" w:sz="4" w:space="0" w:color="auto"/>
            </w:tcBorders>
          </w:tcPr>
          <w:p w14:paraId="1D8E4B31" w14:textId="77777777"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14:paraId="76E75DFB" w14:textId="77777777"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250D5574" w14:textId="77777777" w:rsidR="009930FC" w:rsidRPr="001E6C21" w:rsidRDefault="009930FC" w:rsidP="00BF661D">
            <w:pPr>
              <w:rPr>
                <w:sz w:val="18"/>
                <w:szCs w:val="18"/>
              </w:rPr>
            </w:pPr>
          </w:p>
        </w:tc>
        <w:tc>
          <w:tcPr>
            <w:tcW w:w="1990" w:type="dxa"/>
            <w:tcBorders>
              <w:top w:val="thickThinSmallGap" w:sz="12" w:space="0" w:color="auto"/>
              <w:bottom w:val="single" w:sz="4" w:space="0" w:color="auto"/>
            </w:tcBorders>
          </w:tcPr>
          <w:p w14:paraId="0B9412F1" w14:textId="77777777" w:rsidR="009930FC" w:rsidRPr="001E6C21" w:rsidRDefault="009930FC" w:rsidP="00BF661D">
            <w:pPr>
              <w:rPr>
                <w:sz w:val="18"/>
                <w:szCs w:val="18"/>
              </w:rPr>
            </w:pPr>
          </w:p>
        </w:tc>
        <w:tc>
          <w:tcPr>
            <w:tcW w:w="1128" w:type="dxa"/>
            <w:tcBorders>
              <w:top w:val="thickThinSmallGap" w:sz="12" w:space="0" w:color="auto"/>
              <w:bottom w:val="single" w:sz="4" w:space="0" w:color="auto"/>
            </w:tcBorders>
          </w:tcPr>
          <w:p w14:paraId="4AA76C2F" w14:textId="77777777" w:rsidR="009930FC" w:rsidRPr="001E6C21" w:rsidRDefault="009930FC" w:rsidP="00BF661D">
            <w:pPr>
              <w:rPr>
                <w:sz w:val="18"/>
                <w:szCs w:val="18"/>
              </w:rPr>
            </w:pPr>
          </w:p>
        </w:tc>
        <w:tc>
          <w:tcPr>
            <w:tcW w:w="1345" w:type="dxa"/>
            <w:tcBorders>
              <w:top w:val="thickThinSmallGap" w:sz="12" w:space="0" w:color="auto"/>
              <w:bottom w:val="single" w:sz="4" w:space="0" w:color="auto"/>
            </w:tcBorders>
          </w:tcPr>
          <w:p w14:paraId="13EE2F9A" w14:textId="77777777" w:rsidR="009930FC" w:rsidRPr="001E6C21" w:rsidRDefault="009930FC" w:rsidP="00BF661D">
            <w:pPr>
              <w:rPr>
                <w:sz w:val="18"/>
                <w:szCs w:val="18"/>
              </w:rPr>
            </w:pPr>
          </w:p>
        </w:tc>
      </w:tr>
      <w:tr w:rsidR="001E6C21" w:rsidRPr="001E6C21" w14:paraId="7C347EF7"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5898392B" w14:textId="77777777"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14:paraId="62D617E9" w14:textId="77777777"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p>
        </w:tc>
        <w:tc>
          <w:tcPr>
            <w:tcW w:w="2817" w:type="dxa"/>
            <w:tcBorders>
              <w:bottom w:val="single" w:sz="4" w:space="0" w:color="auto"/>
            </w:tcBorders>
          </w:tcPr>
          <w:p w14:paraId="4A60380F" w14:textId="77777777"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14:paraId="68537F4C" w14:textId="77777777"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 xml:space="preserve">=OGUNBIYIP). </w:t>
            </w:r>
          </w:p>
          <w:p w14:paraId="66477D5E" w14:textId="77777777"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14:paraId="5FA17B87" w14:textId="77777777"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14:paraId="510CD7F6" w14:textId="77777777"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14:paraId="74C5E41C" w14:textId="77777777"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14:paraId="66CD0E04" w14:textId="77777777"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14:paraId="639F956E" w14:textId="77777777" w:rsidR="00340DD6" w:rsidRPr="001E6C21" w:rsidRDefault="00340DD6" w:rsidP="00BF661D">
            <w:pPr>
              <w:rPr>
                <w:sz w:val="18"/>
                <w:szCs w:val="18"/>
              </w:rPr>
            </w:pPr>
          </w:p>
        </w:tc>
      </w:tr>
      <w:tr w:rsidR="001E6C21" w:rsidRPr="001E6C21" w14:paraId="63808B41"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04F7BA0D" w14:textId="77777777"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14:paraId="2EA942FD" w14:textId="77777777"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p>
        </w:tc>
        <w:tc>
          <w:tcPr>
            <w:tcW w:w="2817" w:type="dxa"/>
            <w:tcBorders>
              <w:top w:val="single" w:sz="4" w:space="0" w:color="auto"/>
              <w:bottom w:val="thickThinSmallGap" w:sz="12" w:space="0" w:color="auto"/>
            </w:tcBorders>
          </w:tcPr>
          <w:p w14:paraId="2E7BBB94" w14:textId="77777777"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14:paraId="5BD7E42C" w14:textId="77777777"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045949CC" w14:textId="77777777"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14:paraId="7070DA78" w14:textId="77777777"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14:paraId="347A12BF" w14:textId="77777777"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14:paraId="4A2E0B9E" w14:textId="77777777" w:rsidR="009930FC" w:rsidRPr="001E6C21" w:rsidRDefault="009930FC" w:rsidP="00BF661D">
            <w:pPr>
              <w:rPr>
                <w:sz w:val="18"/>
                <w:szCs w:val="18"/>
              </w:rPr>
            </w:pPr>
          </w:p>
        </w:tc>
      </w:tr>
      <w:tr w:rsidR="001E6C21" w:rsidRPr="001E6C21" w14:paraId="00C5EC85" w14:textId="77777777"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14:paraId="556B3B2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14:paraId="0DC9B27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stack</w:t>
            </w:r>
          </w:p>
        </w:tc>
        <w:tc>
          <w:tcPr>
            <w:tcW w:w="2817" w:type="dxa"/>
            <w:tcBorders>
              <w:top w:val="thickThinSmallGap" w:sz="12" w:space="0" w:color="auto"/>
              <w:bottom w:val="thickThinSmallGap" w:sz="12" w:space="0" w:color="auto"/>
            </w:tcBorders>
          </w:tcPr>
          <w:p w14:paraId="0DCF8061"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14:paraId="6C7CCF38" w14:textId="77777777"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14:paraId="0B268A36"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6090FEA0"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35852521"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4FEE3722" w14:textId="77777777" w:rsidR="00340DD6" w:rsidRPr="001E6C21" w:rsidRDefault="00340DD6" w:rsidP="00340DD6">
            <w:pPr>
              <w:rPr>
                <w:sz w:val="18"/>
                <w:szCs w:val="18"/>
              </w:rPr>
            </w:pPr>
          </w:p>
        </w:tc>
      </w:tr>
      <w:tr w:rsidR="001E6C21" w:rsidRPr="001E6C21" w14:paraId="23C4E1E1" w14:textId="77777777"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14:paraId="440F63A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Enhance search capabilities </w:t>
            </w:r>
          </w:p>
        </w:tc>
        <w:tc>
          <w:tcPr>
            <w:tcW w:w="1472" w:type="dxa"/>
            <w:tcBorders>
              <w:top w:val="thickThinSmallGap" w:sz="12" w:space="0" w:color="auto"/>
              <w:left w:val="double" w:sz="4" w:space="0" w:color="auto"/>
              <w:bottom w:val="thickThinSmallGap" w:sz="12" w:space="0" w:color="auto"/>
            </w:tcBorders>
          </w:tcPr>
          <w:p w14:paraId="1D6E3C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Enhance search capabilities</w:t>
            </w:r>
          </w:p>
        </w:tc>
        <w:tc>
          <w:tcPr>
            <w:tcW w:w="2817" w:type="dxa"/>
            <w:tcBorders>
              <w:top w:val="thickThinSmallGap" w:sz="12" w:space="0" w:color="auto"/>
              <w:bottom w:val="thickThinSmallGap" w:sz="12" w:space="0" w:color="auto"/>
            </w:tcBorders>
          </w:tcPr>
          <w:p w14:paraId="290D5F3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user-friendly dashboard to easily access the grants and the underlying GreenSheets which would help visualize some of the key metrics</w:t>
            </w:r>
          </w:p>
        </w:tc>
        <w:tc>
          <w:tcPr>
            <w:tcW w:w="1184" w:type="dxa"/>
            <w:tcBorders>
              <w:top w:val="thickThinSmallGap" w:sz="12" w:space="0" w:color="auto"/>
              <w:bottom w:val="thickThinSmallGap" w:sz="12" w:space="0" w:color="auto"/>
              <w:right w:val="double" w:sz="4" w:space="0" w:color="auto"/>
            </w:tcBorders>
          </w:tcPr>
          <w:p w14:paraId="0109E499" w14:textId="77777777"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14:paraId="7393767B"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7B352FA9"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42727030"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3B46BCC7" w14:textId="77777777" w:rsidR="00340DD6" w:rsidRPr="001E6C21" w:rsidRDefault="00340DD6" w:rsidP="00340DD6">
            <w:pPr>
              <w:rPr>
                <w:sz w:val="18"/>
                <w:szCs w:val="18"/>
              </w:rPr>
            </w:pPr>
          </w:p>
        </w:tc>
      </w:tr>
      <w:tr w:rsidR="001E6C21" w:rsidRPr="001E6C21" w14:paraId="2CFE52D2" w14:textId="77777777"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531A486F" w14:textId="77777777" w:rsidR="00340DD6" w:rsidRPr="001E6C21" w:rsidRDefault="00340DD6" w:rsidP="00340DD6">
            <w:pPr>
              <w:rPr>
                <w:sz w:val="18"/>
                <w:szCs w:val="18"/>
              </w:rPr>
            </w:pPr>
            <w:r w:rsidRPr="001E6C21">
              <w:rPr>
                <w:rFonts w:ascii="Arial" w:hAnsi="Arial" w:cs="Arial"/>
                <w:color w:val="000000"/>
                <w:sz w:val="18"/>
                <w:szCs w:val="18"/>
              </w:rPr>
              <w:lastRenderedPageBreak/>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14:paraId="3259A00B"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14:paraId="335D980B" w14:textId="77777777" w:rsidR="00340DD6" w:rsidRPr="001E6C21" w:rsidRDefault="00340DD6" w:rsidP="002356D5">
            <w:pPr>
              <w:rPr>
                <w:rFonts w:ascii="Arial" w:hAnsi="Arial" w:cs="Arial"/>
                <w:color w:val="000000"/>
                <w:sz w:val="18"/>
                <w:szCs w:val="18"/>
              </w:rPr>
            </w:pPr>
          </w:p>
        </w:tc>
        <w:tc>
          <w:tcPr>
            <w:tcW w:w="2817" w:type="dxa"/>
            <w:tcBorders>
              <w:top w:val="thickThinSmallGap" w:sz="12" w:space="0" w:color="auto"/>
              <w:bottom w:val="single" w:sz="4" w:space="0" w:color="auto"/>
            </w:tcBorders>
          </w:tcPr>
          <w:p w14:paraId="289EB3DE"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14:paraId="6B670544" w14:textId="77777777"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14:paraId="6A41F5B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7F7B6808"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14:paraId="3C52E7DA" w14:textId="77777777"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go back 2-3 years. In addition, the current </w:t>
            </w:r>
            <w:r w:rsidRPr="001E6C21">
              <w:rPr>
                <w:rFonts w:ascii="Arial" w:hAnsi="Arial" w:cs="Arial"/>
                <w:color w:val="000000"/>
                <w:sz w:val="18"/>
                <w:szCs w:val="18"/>
              </w:rPr>
              <w:lastRenderedPageBreak/>
              <w:t xml:space="preserve">FY may have 2 or more versions of published GreenSheets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In case of revised awards, multiple NOAs, at least one instance of desired question/answer combination will be considered as 1 for the report. </w:t>
            </w:r>
            <w:r w:rsidRPr="001E6C21">
              <w:rPr>
                <w:rFonts w:ascii="Arial" w:hAnsi="Arial" w:cs="Arial"/>
                <w:color w:val="000000"/>
                <w:sz w:val="18"/>
                <w:szCs w:val="18"/>
              </w:rPr>
              <w:br/>
              <w:t xml:space="preserve">f. For multiyear awards, only select the grant of the award was issued in </w:t>
            </w:r>
            <w:r w:rsidRPr="001E6C21">
              <w:rPr>
                <w:rFonts w:ascii="Arial" w:hAnsi="Arial" w:cs="Arial"/>
                <w:color w:val="000000"/>
                <w:sz w:val="18"/>
                <w:szCs w:val="18"/>
              </w:rPr>
              <w:lastRenderedPageBreak/>
              <w:t xml:space="preserve">the requested FY of the report. </w:t>
            </w:r>
          </w:p>
        </w:tc>
        <w:tc>
          <w:tcPr>
            <w:tcW w:w="1128" w:type="dxa"/>
            <w:tcBorders>
              <w:top w:val="thickThinSmallGap" w:sz="12" w:space="0" w:color="auto"/>
              <w:bottom w:val="single" w:sz="4" w:space="0" w:color="auto"/>
            </w:tcBorders>
          </w:tcPr>
          <w:p w14:paraId="5395743B"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14:paraId="2798D3B3" w14:textId="77777777"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14:paraId="2123A929"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33BBFF22" w14:textId="77777777"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14:paraId="4E3781B5" w14:textId="77777777" w:rsidR="00901995" w:rsidRPr="001E6C21" w:rsidRDefault="00901995" w:rsidP="00901995">
            <w:pPr>
              <w:rPr>
                <w:sz w:val="18"/>
                <w:szCs w:val="18"/>
              </w:rPr>
            </w:pPr>
            <w:r w:rsidRPr="001E6C21">
              <w:rPr>
                <w:rFonts w:ascii="Arial" w:hAnsi="Arial" w:cs="Arial"/>
                <w:color w:val="000000"/>
                <w:sz w:val="18"/>
                <w:szCs w:val="18"/>
              </w:rPr>
              <w:t>Create user interface allowing to search and select questions.</w:t>
            </w:r>
          </w:p>
        </w:tc>
        <w:tc>
          <w:tcPr>
            <w:tcW w:w="2817" w:type="dxa"/>
            <w:tcBorders>
              <w:bottom w:val="single" w:sz="4" w:space="0" w:color="auto"/>
            </w:tcBorders>
          </w:tcPr>
          <w:p w14:paraId="4277EC19" w14:textId="419F1632"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User interface allowing searching and selection of all versions questions on promoted FB templates within the date range is needed. As the end goal, the interface should allow to find question(s) id</w:t>
            </w:r>
            <w:ins w:id="3" w:author="Polonsky, Yakov (NIH/NCI) [C]" w:date="2016-07-25T13:57:00Z">
              <w:r w:rsidR="00922088">
                <w:rPr>
                  <w:rFonts w:ascii="Arial" w:hAnsi="Arial" w:cs="Arial"/>
                  <w:color w:val="000000"/>
                  <w:sz w:val="18"/>
                  <w:szCs w:val="18"/>
                </w:rPr>
                <w:t>(s)</w:t>
              </w:r>
            </w:ins>
            <w:r w:rsidRPr="001E6C21">
              <w:rPr>
                <w:rFonts w:ascii="Arial" w:hAnsi="Arial" w:cs="Arial"/>
                <w:color w:val="000000"/>
                <w:sz w:val="18"/>
                <w:szCs w:val="18"/>
              </w:rPr>
              <w:t xml:space="preserve"> and corresponding answer(s) i</w:t>
            </w:r>
            <w:ins w:id="4" w:author="Polonsky, Yakov (NIH/NCI) [C]" w:date="2016-07-25T13:57:00Z">
              <w:r w:rsidR="00253C2D">
                <w:rPr>
                  <w:rFonts w:ascii="Arial" w:hAnsi="Arial" w:cs="Arial"/>
                  <w:color w:val="000000"/>
                  <w:sz w:val="18"/>
                  <w:szCs w:val="18"/>
                </w:rPr>
                <w:t>d</w:t>
              </w:r>
            </w:ins>
            <w:del w:id="5" w:author="Polonsky, Yakov (NIH/NCI) [C]" w:date="2016-07-25T13:57:00Z">
              <w:r w:rsidRPr="001E6C21" w:rsidDel="00253C2D">
                <w:rPr>
                  <w:rFonts w:ascii="Arial" w:hAnsi="Arial" w:cs="Arial"/>
                  <w:color w:val="000000"/>
                  <w:sz w:val="18"/>
                  <w:szCs w:val="18"/>
                </w:rPr>
                <w:delText>f</w:delText>
              </w:r>
            </w:del>
            <w:r w:rsidRPr="001E6C21">
              <w:rPr>
                <w:rFonts w:ascii="Arial" w:hAnsi="Arial" w:cs="Arial"/>
                <w:color w:val="000000"/>
                <w:sz w:val="18"/>
                <w:szCs w:val="18"/>
              </w:rPr>
              <w:t xml:space="preserve">(s). These id(s) will be used by OGA for reporting. </w:t>
            </w:r>
          </w:p>
        </w:tc>
        <w:tc>
          <w:tcPr>
            <w:tcW w:w="1184" w:type="dxa"/>
            <w:tcBorders>
              <w:bottom w:val="single" w:sz="4" w:space="0" w:color="auto"/>
              <w:right w:val="double" w:sz="4" w:space="0" w:color="auto"/>
            </w:tcBorders>
          </w:tcPr>
          <w:p w14:paraId="0DA951C7" w14:textId="77777777"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3B2F8D7" w14:textId="77777777"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14:paraId="740116C3" w14:textId="77777777"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14:paraId="68D31BB1" w14:textId="77777777"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14:paraId="05DA4207" w14:textId="77777777" w:rsidR="00901995" w:rsidRPr="001E6C21" w:rsidRDefault="00901995" w:rsidP="00901995">
            <w:pPr>
              <w:rPr>
                <w:rFonts w:ascii="Arial" w:hAnsi="Arial" w:cs="Arial"/>
                <w:color w:val="000000"/>
                <w:sz w:val="18"/>
                <w:szCs w:val="18"/>
              </w:rPr>
            </w:pPr>
          </w:p>
        </w:tc>
      </w:tr>
      <w:tr w:rsidR="001E6C21" w:rsidRPr="001E6C21" w14:paraId="3117BA6E"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701D6095"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14:paraId="320F3A67" w14:textId="77777777" w:rsidR="00340DD6" w:rsidRPr="001E6C21" w:rsidRDefault="002356D5" w:rsidP="00340DD6">
            <w:pPr>
              <w:rPr>
                <w:sz w:val="18"/>
                <w:szCs w:val="18"/>
              </w:rPr>
            </w:pPr>
            <w:r w:rsidRPr="001E6C21">
              <w:rPr>
                <w:rFonts w:ascii="Arial" w:hAnsi="Arial" w:cs="Arial"/>
                <w:color w:val="000000"/>
                <w:sz w:val="18"/>
                <w:szCs w:val="18"/>
              </w:rPr>
              <w:t>Providing data for OGA reporting</w:t>
            </w:r>
          </w:p>
        </w:tc>
        <w:tc>
          <w:tcPr>
            <w:tcW w:w="2817" w:type="dxa"/>
            <w:tcBorders>
              <w:top w:val="single" w:sz="4" w:space="0" w:color="auto"/>
              <w:bottom w:val="thickThinSmallGap" w:sz="12" w:space="0" w:color="auto"/>
            </w:tcBorders>
          </w:tcPr>
          <w:p w14:paraId="0D404814" w14:textId="77777777"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14:paraId="7619E5C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5A9009AF"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Data migration for GreenSheets</w:t>
            </w:r>
          </w:p>
        </w:tc>
        <w:tc>
          <w:tcPr>
            <w:tcW w:w="1990" w:type="dxa"/>
            <w:tcBorders>
              <w:top w:val="single" w:sz="4" w:space="0" w:color="auto"/>
              <w:bottom w:val="thickThinSmallGap" w:sz="12" w:space="0" w:color="auto"/>
            </w:tcBorders>
          </w:tcPr>
          <w:p w14:paraId="62D0600E"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14:paraId="6F01DEFC"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14:paraId="35D46AF3" w14:textId="77777777" w:rsidR="00340DD6" w:rsidRPr="001E6C21" w:rsidRDefault="00340DD6" w:rsidP="00340DD6">
            <w:pPr>
              <w:rPr>
                <w:sz w:val="18"/>
                <w:szCs w:val="18"/>
              </w:rPr>
            </w:pPr>
            <w:r w:rsidRPr="001E6C21">
              <w:rPr>
                <w:rFonts w:ascii="Arial" w:hAnsi="Arial" w:cs="Arial"/>
                <w:color w:val="000000"/>
                <w:sz w:val="18"/>
                <w:szCs w:val="18"/>
              </w:rPr>
              <w:t>OGAI2E-140</w:t>
            </w:r>
          </w:p>
        </w:tc>
      </w:tr>
      <w:tr w:rsidR="001E6C21" w:rsidRPr="001E6C21" w14:paraId="2D4A0751"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657D2BE" w14:textId="77777777"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14:paraId="223CB97D"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Ability to add policy link to a question</w:t>
            </w:r>
          </w:p>
        </w:tc>
        <w:tc>
          <w:tcPr>
            <w:tcW w:w="2817" w:type="dxa"/>
            <w:tcBorders>
              <w:top w:val="thickThinSmallGap" w:sz="12" w:space="0" w:color="auto"/>
            </w:tcBorders>
          </w:tcPr>
          <w:p w14:paraId="0EA4AAA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14:paraId="5E32C17F"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5C360B4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link to GreenSheets from GPMATs</w:t>
            </w:r>
          </w:p>
        </w:tc>
        <w:tc>
          <w:tcPr>
            <w:tcW w:w="1990" w:type="dxa"/>
            <w:tcBorders>
              <w:top w:val="thickThinSmallGap" w:sz="12" w:space="0" w:color="auto"/>
            </w:tcBorders>
          </w:tcPr>
          <w:p w14:paraId="205AF949"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1128" w:type="dxa"/>
            <w:tcBorders>
              <w:top w:val="thickThinSmallGap" w:sz="12" w:space="0" w:color="auto"/>
            </w:tcBorders>
          </w:tcPr>
          <w:p w14:paraId="5D1A273B" w14:textId="77777777"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F5FE7BC" w14:textId="77777777"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14:paraId="4983C5BE"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0C07771C" w14:textId="77777777" w:rsidR="00340DD6" w:rsidRPr="001E6C21" w:rsidRDefault="00340DD6" w:rsidP="00340DD6">
            <w:pPr>
              <w:rPr>
                <w:sz w:val="18"/>
                <w:szCs w:val="18"/>
              </w:rPr>
            </w:pPr>
          </w:p>
        </w:tc>
        <w:tc>
          <w:tcPr>
            <w:tcW w:w="1472" w:type="dxa"/>
            <w:tcBorders>
              <w:left w:val="double" w:sz="4" w:space="0" w:color="auto"/>
            </w:tcBorders>
          </w:tcPr>
          <w:p w14:paraId="157127FE" w14:textId="77777777" w:rsidR="00340DD6" w:rsidRPr="001E6C21" w:rsidRDefault="00340DD6" w:rsidP="00340DD6">
            <w:pPr>
              <w:rPr>
                <w:sz w:val="18"/>
                <w:szCs w:val="18"/>
              </w:rPr>
            </w:pPr>
            <w:r w:rsidRPr="001E6C21">
              <w:rPr>
                <w:rFonts w:ascii="Arial" w:hAnsi="Arial" w:cs="Arial"/>
                <w:color w:val="000000"/>
                <w:sz w:val="18"/>
                <w:szCs w:val="18"/>
              </w:rPr>
              <w:t>Opening GreenSheets in same browser window</w:t>
            </w:r>
          </w:p>
        </w:tc>
        <w:tc>
          <w:tcPr>
            <w:tcW w:w="2817" w:type="dxa"/>
          </w:tcPr>
          <w:p w14:paraId="3118054E" w14:textId="77777777" w:rsidR="00340DD6" w:rsidRPr="001E6C21" w:rsidRDefault="00340DD6" w:rsidP="00340DD6">
            <w:pPr>
              <w:rPr>
                <w:rFonts w:ascii="Arial" w:hAnsi="Arial" w:cs="Arial"/>
                <w:color w:val="000000"/>
                <w:sz w:val="18"/>
                <w:szCs w:val="18"/>
              </w:rPr>
            </w:pPr>
          </w:p>
        </w:tc>
        <w:tc>
          <w:tcPr>
            <w:tcW w:w="1184" w:type="dxa"/>
            <w:tcBorders>
              <w:right w:val="double" w:sz="4" w:space="0" w:color="auto"/>
            </w:tcBorders>
          </w:tcPr>
          <w:p w14:paraId="01904680"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14:paraId="16ED42B7" w14:textId="77777777" w:rsidR="00340DD6" w:rsidRPr="001E6C21" w:rsidRDefault="00340DD6" w:rsidP="00340DD6">
            <w:pPr>
              <w:rPr>
                <w:rFonts w:ascii="Arial" w:hAnsi="Arial" w:cs="Arial"/>
                <w:color w:val="000000"/>
                <w:sz w:val="18"/>
                <w:szCs w:val="18"/>
              </w:rPr>
            </w:pPr>
          </w:p>
        </w:tc>
        <w:tc>
          <w:tcPr>
            <w:tcW w:w="1990" w:type="dxa"/>
          </w:tcPr>
          <w:p w14:paraId="27253263" w14:textId="77777777" w:rsidR="00340DD6" w:rsidRPr="001E6C21" w:rsidRDefault="00340DD6" w:rsidP="00340DD6">
            <w:pPr>
              <w:rPr>
                <w:rFonts w:ascii="Arial" w:hAnsi="Arial" w:cs="Arial"/>
                <w:color w:val="000000"/>
                <w:sz w:val="18"/>
                <w:szCs w:val="18"/>
              </w:rPr>
            </w:pPr>
          </w:p>
        </w:tc>
        <w:tc>
          <w:tcPr>
            <w:tcW w:w="1128" w:type="dxa"/>
          </w:tcPr>
          <w:p w14:paraId="590ABF04" w14:textId="77777777" w:rsidR="00340DD6" w:rsidRPr="001E6C21" w:rsidRDefault="00340DD6" w:rsidP="00340DD6">
            <w:pPr>
              <w:jc w:val="center"/>
              <w:rPr>
                <w:rFonts w:ascii="Arial" w:hAnsi="Arial" w:cs="Arial"/>
                <w:b/>
                <w:bCs/>
                <w:color w:val="FF0000"/>
                <w:sz w:val="18"/>
                <w:szCs w:val="18"/>
              </w:rPr>
            </w:pPr>
          </w:p>
        </w:tc>
        <w:tc>
          <w:tcPr>
            <w:tcW w:w="1345" w:type="dxa"/>
          </w:tcPr>
          <w:p w14:paraId="0C4EE3BF" w14:textId="77777777" w:rsidR="00340DD6" w:rsidRPr="001E6C21" w:rsidRDefault="00340DD6" w:rsidP="00340DD6">
            <w:pPr>
              <w:rPr>
                <w:sz w:val="18"/>
                <w:szCs w:val="18"/>
              </w:rPr>
            </w:pPr>
          </w:p>
        </w:tc>
      </w:tr>
      <w:tr w:rsidR="00901995" w:rsidRPr="001E6C21" w14:paraId="42E8E317"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5F45DC11" w14:textId="77777777" w:rsidR="00340DD6" w:rsidRPr="001E6C21" w:rsidRDefault="00340DD6" w:rsidP="00340DD6">
            <w:pPr>
              <w:rPr>
                <w:sz w:val="18"/>
                <w:szCs w:val="18"/>
              </w:rPr>
            </w:pPr>
          </w:p>
        </w:tc>
        <w:tc>
          <w:tcPr>
            <w:tcW w:w="1472" w:type="dxa"/>
            <w:tcBorders>
              <w:left w:val="double" w:sz="4" w:space="0" w:color="auto"/>
              <w:bottom w:val="single" w:sz="4" w:space="0" w:color="auto"/>
            </w:tcBorders>
          </w:tcPr>
          <w:p w14:paraId="16187469" w14:textId="77777777" w:rsidR="00340DD6" w:rsidRPr="001E6C21" w:rsidRDefault="00340DD6" w:rsidP="00340DD6">
            <w:pPr>
              <w:rPr>
                <w:sz w:val="18"/>
                <w:szCs w:val="18"/>
              </w:rPr>
            </w:pPr>
            <w:r w:rsidRPr="001E6C21">
              <w:rPr>
                <w:rFonts w:ascii="Arial" w:hAnsi="Arial" w:cs="Arial"/>
                <w:color w:val="000000"/>
                <w:sz w:val="18"/>
                <w:szCs w:val="18"/>
              </w:rPr>
              <w:t>Look and feel</w:t>
            </w:r>
          </w:p>
        </w:tc>
        <w:tc>
          <w:tcPr>
            <w:tcW w:w="2817" w:type="dxa"/>
            <w:tcBorders>
              <w:bottom w:val="single" w:sz="4" w:space="0" w:color="auto"/>
            </w:tcBorders>
          </w:tcPr>
          <w:p w14:paraId="433699C4"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needs to have a consistent look and feel with other I2E applications</w:t>
            </w:r>
          </w:p>
        </w:tc>
        <w:tc>
          <w:tcPr>
            <w:tcW w:w="1184" w:type="dxa"/>
            <w:tcBorders>
              <w:bottom w:val="single" w:sz="4" w:space="0" w:color="auto"/>
              <w:right w:val="double" w:sz="4" w:space="0" w:color="auto"/>
            </w:tcBorders>
          </w:tcPr>
          <w:p w14:paraId="20B5C1D5" w14:textId="77777777"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14:paraId="77D9C2BF" w14:textId="77777777"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14:paraId="78110654" w14:textId="77777777"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14:paraId="402CC8EA"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14:paraId="1124915A" w14:textId="77777777" w:rsidR="00340DD6" w:rsidRPr="001E6C21" w:rsidRDefault="00340DD6" w:rsidP="00340DD6">
            <w:pPr>
              <w:rPr>
                <w:sz w:val="18"/>
                <w:szCs w:val="18"/>
              </w:rPr>
            </w:pPr>
          </w:p>
        </w:tc>
      </w:tr>
      <w:tr w:rsidR="001E6C21" w:rsidRPr="001E6C21" w14:paraId="691E3B74"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7B5CC870" w14:textId="77777777"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14:paraId="31825DC9" w14:textId="77777777" w:rsidR="00340DD6" w:rsidRPr="001E6C21" w:rsidRDefault="00340DD6" w:rsidP="00340DD6">
            <w:pPr>
              <w:rPr>
                <w:sz w:val="18"/>
                <w:szCs w:val="18"/>
              </w:rPr>
            </w:pPr>
            <w:r w:rsidRPr="001E6C21">
              <w:rPr>
                <w:rFonts w:ascii="Arial" w:hAnsi="Arial" w:cs="Arial"/>
                <w:color w:val="000000"/>
                <w:sz w:val="18"/>
                <w:szCs w:val="18"/>
              </w:rPr>
              <w:t>Additional list of UI improvements</w:t>
            </w:r>
          </w:p>
        </w:tc>
        <w:tc>
          <w:tcPr>
            <w:tcW w:w="2817" w:type="dxa"/>
            <w:tcBorders>
              <w:bottom w:val="thickThinSmallGap" w:sz="12" w:space="0" w:color="auto"/>
            </w:tcBorders>
          </w:tcPr>
          <w:p w14:paraId="7154AD7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1184" w:type="dxa"/>
            <w:tcBorders>
              <w:bottom w:val="thickThinSmallGap" w:sz="12" w:space="0" w:color="auto"/>
              <w:right w:val="double" w:sz="4" w:space="0" w:color="auto"/>
            </w:tcBorders>
          </w:tcPr>
          <w:p w14:paraId="589009C5" w14:textId="77777777"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14:paraId="28D3AC80" w14:textId="77777777"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14:paraId="5B8D6D7C" w14:textId="77777777"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14:paraId="5BAE16B8"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14:paraId="40AA8788" w14:textId="77777777" w:rsidR="00340DD6" w:rsidRPr="001E6C21" w:rsidRDefault="00340DD6" w:rsidP="00340DD6">
            <w:pPr>
              <w:rPr>
                <w:sz w:val="18"/>
                <w:szCs w:val="18"/>
              </w:rPr>
            </w:pPr>
          </w:p>
        </w:tc>
      </w:tr>
      <w:tr w:rsidR="001E6C21" w:rsidRPr="001E6C21" w14:paraId="6E02B71A"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14:paraId="47DBC32E" w14:textId="77777777" w:rsidR="0078397A" w:rsidRPr="001E6C21" w:rsidRDefault="0078397A" w:rsidP="00340DD6">
            <w:pPr>
              <w:rPr>
                <w:sz w:val="18"/>
                <w:szCs w:val="18"/>
              </w:rPr>
            </w:pPr>
            <w:r w:rsidRPr="001E6C21">
              <w:rPr>
                <w:rFonts w:ascii="Arial" w:hAnsi="Arial" w:cs="Arial"/>
                <w:color w:val="000000"/>
                <w:sz w:val="18"/>
                <w:szCs w:val="18"/>
              </w:rPr>
              <w:t>Additional business needs</w:t>
            </w:r>
          </w:p>
        </w:tc>
        <w:tc>
          <w:tcPr>
            <w:tcW w:w="1472" w:type="dxa"/>
            <w:vMerge w:val="restart"/>
            <w:tcBorders>
              <w:top w:val="thickThinSmallGap" w:sz="12" w:space="0" w:color="auto"/>
              <w:left w:val="double" w:sz="4" w:space="0" w:color="auto"/>
              <w:bottom w:val="thickThinSmallGap" w:sz="12" w:space="0" w:color="auto"/>
            </w:tcBorders>
          </w:tcPr>
          <w:p w14:paraId="54DBA715" w14:textId="77777777" w:rsidR="0078397A" w:rsidRPr="001E6C21" w:rsidRDefault="0078397A" w:rsidP="00340DD6">
            <w:pPr>
              <w:rPr>
                <w:sz w:val="18"/>
                <w:szCs w:val="18"/>
              </w:rPr>
            </w:pPr>
          </w:p>
        </w:tc>
        <w:tc>
          <w:tcPr>
            <w:tcW w:w="4001" w:type="dxa"/>
            <w:gridSpan w:val="2"/>
            <w:vMerge w:val="restart"/>
            <w:tcBorders>
              <w:top w:val="thickThinSmallGap" w:sz="12" w:space="0" w:color="auto"/>
              <w:bottom w:val="thickThinSmallGap" w:sz="12" w:space="0" w:color="auto"/>
              <w:right w:val="double" w:sz="4" w:space="0" w:color="auto"/>
            </w:tcBorders>
          </w:tcPr>
          <w:p w14:paraId="09A5B5A3" w14:textId="77777777"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14:paraId="3535DBFF"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p>
        </w:tc>
        <w:tc>
          <w:tcPr>
            <w:tcW w:w="1990" w:type="dxa"/>
            <w:tcBorders>
              <w:top w:val="thickThinSmallGap" w:sz="12" w:space="0" w:color="auto"/>
            </w:tcBorders>
          </w:tcPr>
          <w:p w14:paraId="6E459EC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w:t>
            </w:r>
            <w:r w:rsidRPr="001E6C21">
              <w:rPr>
                <w:rFonts w:ascii="Arial" w:hAnsi="Arial" w:cs="Arial"/>
                <w:color w:val="000000"/>
                <w:sz w:val="18"/>
                <w:szCs w:val="18"/>
              </w:rPr>
              <w:lastRenderedPageBreak/>
              <w:t xml:space="preserve">and its implementation. </w:t>
            </w:r>
            <w:r w:rsidRPr="001E6C21">
              <w:rPr>
                <w:rFonts w:ascii="Arial" w:hAnsi="Arial" w:cs="Arial"/>
                <w:color w:val="000000"/>
                <w:sz w:val="18"/>
                <w:szCs w:val="18"/>
              </w:rPr>
              <w:br/>
            </w:r>
            <w:r w:rsidRPr="001E6C21">
              <w:rPr>
                <w:rFonts w:ascii="Arial" w:hAnsi="Arial" w:cs="Arial"/>
                <w:color w:val="000000"/>
                <w:sz w:val="18"/>
                <w:szCs w:val="18"/>
              </w:rPr>
              <w:br/>
              <w:t>The questions on GS for revisions can be different from original GS. Could it be handled with conditional questions on the same template and saved in GreenSheets for each revision?</w:t>
            </w:r>
          </w:p>
        </w:tc>
        <w:tc>
          <w:tcPr>
            <w:tcW w:w="1128" w:type="dxa"/>
            <w:tcBorders>
              <w:top w:val="thickThinSmallGap" w:sz="12" w:space="0" w:color="auto"/>
            </w:tcBorders>
          </w:tcPr>
          <w:p w14:paraId="7FE9FE27" w14:textId="77777777"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lastRenderedPageBreak/>
              <w:t>Major</w:t>
            </w:r>
          </w:p>
        </w:tc>
        <w:tc>
          <w:tcPr>
            <w:tcW w:w="1345" w:type="dxa"/>
            <w:tcBorders>
              <w:top w:val="thickThinSmallGap" w:sz="12" w:space="0" w:color="auto"/>
            </w:tcBorders>
          </w:tcPr>
          <w:p w14:paraId="4EC81CB9"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14:paraId="0012275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79374EB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9D490E2" w14:textId="77777777"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14:paraId="4AC7216A"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5459CE40"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Create ability to version GS.</w:t>
            </w:r>
          </w:p>
        </w:tc>
        <w:tc>
          <w:tcPr>
            <w:tcW w:w="1990" w:type="dxa"/>
          </w:tcPr>
          <w:p w14:paraId="144A58E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version. </w:t>
            </w:r>
            <w:r w:rsidRPr="001E6C21">
              <w:rPr>
                <w:rFonts w:ascii="Arial" w:hAnsi="Arial" w:cs="Arial"/>
                <w:color w:val="000000"/>
                <w:sz w:val="18"/>
                <w:szCs w:val="18"/>
              </w:rPr>
              <w:br/>
              <w:t xml:space="preserve">FROZEN and SUBMITTED GS should keep the version at the time of status change. SAVED GS will need to be presented with the new template. </w:t>
            </w:r>
            <w:r w:rsidRPr="001E6C21">
              <w:rPr>
                <w:rFonts w:ascii="Arial" w:hAnsi="Arial" w:cs="Arial"/>
                <w:color w:val="000000"/>
                <w:sz w:val="18"/>
                <w:szCs w:val="18"/>
              </w:rPr>
              <w:br/>
              <w:t xml:space="preserve">In addition, for SAVED GS it would be nice if the system could copy answers </w:t>
            </w:r>
            <w:r w:rsidRPr="001E6C21">
              <w:rPr>
                <w:rFonts w:ascii="Arial" w:hAnsi="Arial" w:cs="Arial"/>
                <w:color w:val="000000"/>
                <w:sz w:val="18"/>
                <w:szCs w:val="18"/>
              </w:rPr>
              <w:lastRenderedPageBreak/>
              <w:t>from old version to the new for questions which did not change.</w:t>
            </w:r>
          </w:p>
        </w:tc>
        <w:tc>
          <w:tcPr>
            <w:tcW w:w="1128" w:type="dxa"/>
          </w:tcPr>
          <w:p w14:paraId="03423040" w14:textId="77777777"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14:paraId="1D41CAE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14:paraId="3AD3B8C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37AEA4C" w14:textId="77777777"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14:paraId="2D7B5555" w14:textId="77777777" w:rsidR="0078397A" w:rsidRPr="001E6C21" w:rsidRDefault="0078397A" w:rsidP="00340DD6">
            <w:pPr>
              <w:rPr>
                <w:rFonts w:ascii="Arial" w:hAnsi="Arial" w:cs="Arial"/>
                <w:color w:val="000000"/>
                <w:sz w:val="18"/>
                <w:szCs w:val="18"/>
              </w:rPr>
            </w:pPr>
          </w:p>
        </w:tc>
        <w:tc>
          <w:tcPr>
            <w:tcW w:w="4001" w:type="dxa"/>
            <w:gridSpan w:val="2"/>
            <w:vMerge/>
            <w:tcBorders>
              <w:bottom w:val="thickThinSmallGap" w:sz="12" w:space="0" w:color="auto"/>
              <w:right w:val="double" w:sz="4" w:space="0" w:color="auto"/>
            </w:tcBorders>
          </w:tcPr>
          <w:p w14:paraId="6F85585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14:paraId="699A35B3"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p>
        </w:tc>
        <w:tc>
          <w:tcPr>
            <w:tcW w:w="1990" w:type="dxa"/>
          </w:tcPr>
          <w:p w14:paraId="5C0B143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1128" w:type="dxa"/>
          </w:tcPr>
          <w:p w14:paraId="3013ED1B"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077BFE34"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OGAI2E-144</w:t>
            </w:r>
          </w:p>
        </w:tc>
      </w:tr>
      <w:tr w:rsidR="001E6C21" w:rsidRPr="001E6C21" w14:paraId="07F8484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67638FD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7193039F" w14:textId="77777777"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14:paraId="2FFEF20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62970B52"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bookmarkStart w:id="6" w:name="_GoBack"/>
            <w:bookmarkEnd w:id="6"/>
          </w:p>
        </w:tc>
        <w:tc>
          <w:tcPr>
            <w:tcW w:w="1990" w:type="dxa"/>
          </w:tcPr>
          <w:p w14:paraId="579A2566"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**Crystal would like to do this during FY16.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14:paraId="4F99A76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54B6E83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14:paraId="1D21B883"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AF87BCA"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09B1EB99" w14:textId="77777777"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14:paraId="09A7FFB0"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0D08B1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p>
        </w:tc>
        <w:tc>
          <w:tcPr>
            <w:tcW w:w="1990" w:type="dxa"/>
            <w:tcBorders>
              <w:bottom w:val="single" w:sz="4" w:space="0" w:color="auto"/>
            </w:tcBorders>
          </w:tcPr>
          <w:p w14:paraId="21989A33" w14:textId="77777777"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 xml:space="preserve">Examples: type 4, "4,UH3", "4,U42", "4,UH2", "4,R01", </w:t>
            </w:r>
            <w:r w:rsidRPr="001E6C21">
              <w:rPr>
                <w:rFonts w:ascii="Arial" w:hAnsi="Arial" w:cs="Arial"/>
                <w:color w:val="000000"/>
                <w:sz w:val="18"/>
                <w:szCs w:val="18"/>
              </w:rPr>
              <w:lastRenderedPageBreak/>
              <w:t>"4,R03",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14:paraId="766062E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Borders>
              <w:bottom w:val="single" w:sz="4" w:space="0" w:color="auto"/>
            </w:tcBorders>
          </w:tcPr>
          <w:p w14:paraId="6ABE2F19" w14:textId="77777777"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14:paraId="7F49D1E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31B038AE"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07B42CD" w14:textId="77777777"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14:paraId="23BE9947"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14:paraId="620AF45C"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p>
        </w:tc>
        <w:tc>
          <w:tcPr>
            <w:tcW w:w="1990" w:type="dxa"/>
            <w:tcBorders>
              <w:bottom w:val="thickThinSmallGap" w:sz="12" w:space="0" w:color="auto"/>
            </w:tcBorders>
          </w:tcPr>
          <w:p w14:paraId="594D56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14:paraId="0706AC3F" w14:textId="77777777"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14:paraId="260A96D9" w14:textId="77777777" w:rsidR="0078397A" w:rsidRPr="001E6C21" w:rsidRDefault="0078397A" w:rsidP="00340DD6">
            <w:pPr>
              <w:rPr>
                <w:sz w:val="18"/>
                <w:szCs w:val="18"/>
              </w:rPr>
            </w:pPr>
            <w:r w:rsidRPr="001E6C21">
              <w:rPr>
                <w:rFonts w:ascii="Arial" w:hAnsi="Arial" w:cs="Arial"/>
                <w:color w:val="000000"/>
                <w:sz w:val="18"/>
                <w:szCs w:val="18"/>
              </w:rPr>
              <w:t>OGAI2E-141</w:t>
            </w:r>
          </w:p>
        </w:tc>
      </w:tr>
      <w:tr w:rsidR="001E6C21" w:rsidRPr="001E6C21" w14:paraId="4C5DCC18"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4E0596C7" w14:textId="77777777" w:rsidR="00340DD6" w:rsidRPr="001E6C21" w:rsidRDefault="00340DD6" w:rsidP="00340DD6">
            <w:pPr>
              <w:rPr>
                <w:sz w:val="18"/>
                <w:szCs w:val="18"/>
              </w:rPr>
            </w:pPr>
            <w:r w:rsidRPr="001E6C21">
              <w:rPr>
                <w:rFonts w:ascii="Arial" w:hAnsi="Arial" w:cs="Arial"/>
                <w:color w:val="000000"/>
                <w:sz w:val="18"/>
                <w:szCs w:val="18"/>
              </w:rPr>
              <w:t xml:space="preserve">Assess streamlining integration of GreenSheets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14:paraId="47763BD1" w14:textId="77777777" w:rsidR="00340DD6" w:rsidRPr="001E6C21" w:rsidRDefault="00044BAC" w:rsidP="00340DD6">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p>
        </w:tc>
        <w:tc>
          <w:tcPr>
            <w:tcW w:w="4001" w:type="dxa"/>
            <w:gridSpan w:val="2"/>
            <w:tcBorders>
              <w:top w:val="thickThinSmallGap" w:sz="12" w:space="0" w:color="auto"/>
              <w:left w:val="single" w:sz="4" w:space="0" w:color="auto"/>
              <w:bottom w:val="single" w:sz="4" w:space="0" w:color="auto"/>
              <w:right w:val="double" w:sz="4" w:space="0" w:color="auto"/>
            </w:tcBorders>
          </w:tcPr>
          <w:p w14:paraId="1DE18D81" w14:textId="77777777" w:rsidR="00340DD6" w:rsidRPr="001E6C21" w:rsidRDefault="00044BAC" w:rsidP="001E6C21">
            <w:pPr>
              <w:rPr>
                <w:rFonts w:ascii="Arial" w:hAnsi="Arial" w:cs="Arial"/>
                <w:color w:val="000000"/>
                <w:sz w:val="18"/>
                <w:szCs w:val="18"/>
              </w:rPr>
            </w:pPr>
            <w:r w:rsidRPr="001E6C21">
              <w:rPr>
                <w:rFonts w:ascii="Arial" w:hAnsi="Arial" w:cs="Arial"/>
                <w:color w:val="000000"/>
                <w:sz w:val="18"/>
                <w:szCs w:val="18"/>
              </w:rPr>
              <w:t xml:space="preserve">During initial GS FB integration some FB features were turned off. Analysis and OGA discussion is needed to evaluate the need to turn on additional </w:t>
            </w:r>
            <w:r w:rsidR="001E6C21" w:rsidRPr="001E6C21">
              <w:rPr>
                <w:rFonts w:ascii="Arial" w:hAnsi="Arial" w:cs="Arial"/>
                <w:color w:val="000000"/>
                <w:sz w:val="18"/>
                <w:szCs w:val="18"/>
              </w:rPr>
              <w:t>capabilities</w:t>
            </w:r>
            <w:r w:rsidRPr="001E6C21">
              <w:rPr>
                <w:rFonts w:ascii="Arial" w:hAnsi="Arial" w:cs="Arial"/>
                <w:color w:val="000000"/>
                <w:sz w:val="18"/>
                <w:szCs w:val="18"/>
              </w:rPr>
              <w:t>.</w:t>
            </w:r>
          </w:p>
        </w:tc>
        <w:tc>
          <w:tcPr>
            <w:tcW w:w="1529" w:type="dxa"/>
            <w:tcBorders>
              <w:top w:val="thickThinSmallGap" w:sz="12" w:space="0" w:color="auto"/>
              <w:left w:val="double" w:sz="4" w:space="0" w:color="auto"/>
              <w:bottom w:val="single" w:sz="4" w:space="0" w:color="auto"/>
            </w:tcBorders>
          </w:tcPr>
          <w:p w14:paraId="70FE59C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feature allowing PDs to preview GS</w:t>
            </w:r>
          </w:p>
        </w:tc>
        <w:tc>
          <w:tcPr>
            <w:tcW w:w="1990" w:type="dxa"/>
            <w:tcBorders>
              <w:top w:val="thickThinSmallGap" w:sz="12" w:space="0" w:color="auto"/>
              <w:bottom w:val="single" w:sz="4" w:space="0" w:color="auto"/>
            </w:tcBorders>
          </w:tcPr>
          <w:p w14:paraId="68C68E1D"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lastRenderedPageBreak/>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14:paraId="2446ED8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14:paraId="50139C67"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14:paraId="1B63EA05" w14:textId="77777777" w:rsidR="00340DD6" w:rsidRPr="001E6C21" w:rsidRDefault="00340DD6" w:rsidP="00901995">
            <w:pPr>
              <w:rPr>
                <w:rFonts w:ascii="Arial" w:hAnsi="Arial" w:cs="Arial"/>
                <w:color w:val="00B050"/>
                <w:sz w:val="18"/>
                <w:szCs w:val="18"/>
              </w:rPr>
            </w:pPr>
            <w:r w:rsidRPr="001E6C21">
              <w:rPr>
                <w:rFonts w:ascii="Arial" w:hAnsi="Arial" w:cs="Arial"/>
                <w:color w:val="00B050"/>
                <w:sz w:val="18"/>
                <w:szCs w:val="18"/>
              </w:rPr>
              <w:lastRenderedPageBreak/>
              <w:t>Minor</w:t>
            </w:r>
          </w:p>
        </w:tc>
        <w:tc>
          <w:tcPr>
            <w:tcW w:w="1345" w:type="dxa"/>
            <w:tcBorders>
              <w:top w:val="thickThinSmallGap" w:sz="12" w:space="0" w:color="auto"/>
              <w:bottom w:val="single" w:sz="4" w:space="0" w:color="auto"/>
            </w:tcBorders>
          </w:tcPr>
          <w:p w14:paraId="63158A0C"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OGAI2E-148</w:t>
            </w:r>
          </w:p>
        </w:tc>
      </w:tr>
      <w:tr w:rsidR="00C6564A" w:rsidRPr="001E6C21" w14:paraId="2C1735EB" w14:textId="77777777"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14:paraId="456B9779"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14:paraId="4B9EE63B" w14:textId="77777777" w:rsidR="00340DD6" w:rsidRPr="001E6C21" w:rsidRDefault="00340DD6" w:rsidP="00340DD6">
            <w:pPr>
              <w:rPr>
                <w:sz w:val="18"/>
                <w:szCs w:val="18"/>
              </w:rPr>
            </w:pPr>
          </w:p>
        </w:tc>
        <w:tc>
          <w:tcPr>
            <w:tcW w:w="4001" w:type="dxa"/>
            <w:gridSpan w:val="2"/>
            <w:tcBorders>
              <w:top w:val="single" w:sz="4" w:space="0" w:color="auto"/>
              <w:left w:val="single" w:sz="4" w:space="0" w:color="auto"/>
              <w:bottom w:val="thickThinSmallGap" w:sz="12" w:space="0" w:color="auto"/>
              <w:right w:val="double" w:sz="4" w:space="0" w:color="auto"/>
            </w:tcBorders>
          </w:tcPr>
          <w:p w14:paraId="29F34724" w14:textId="77777777"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14:paraId="74FD0485"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p>
        </w:tc>
        <w:tc>
          <w:tcPr>
            <w:tcW w:w="1990" w:type="dxa"/>
            <w:tcBorders>
              <w:bottom w:val="thickThinSmallGap" w:sz="12" w:space="0" w:color="auto"/>
            </w:tcBorders>
          </w:tcPr>
          <w:p w14:paraId="29A3575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1128" w:type="dxa"/>
            <w:tcBorders>
              <w:bottom w:val="thickThinSmallGap" w:sz="12" w:space="0" w:color="auto"/>
            </w:tcBorders>
          </w:tcPr>
          <w:p w14:paraId="7A5B0D68" w14:textId="77777777" w:rsidR="00340DD6" w:rsidRPr="001E6C21" w:rsidRDefault="00340DD6" w:rsidP="00340DD6">
            <w:pPr>
              <w:rPr>
                <w:sz w:val="18"/>
                <w:szCs w:val="18"/>
              </w:rPr>
            </w:pPr>
            <w:r w:rsidRPr="001E6C21">
              <w:rPr>
                <w:rFonts w:ascii="Arial" w:hAnsi="Arial" w:cs="Arial"/>
                <w:color w:val="943634" w:themeColor="accent2" w:themeShade="BF"/>
                <w:sz w:val="18"/>
                <w:szCs w:val="18"/>
              </w:rPr>
              <w:t>Major</w:t>
            </w:r>
          </w:p>
        </w:tc>
        <w:tc>
          <w:tcPr>
            <w:tcW w:w="1345" w:type="dxa"/>
            <w:tcBorders>
              <w:bottom w:val="thickThinSmallGap" w:sz="12" w:space="0" w:color="auto"/>
            </w:tcBorders>
          </w:tcPr>
          <w:p w14:paraId="121E36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14:paraId="117C4673" w14:textId="77777777" w:rsidR="00B9343E" w:rsidRPr="002B6494" w:rsidRDefault="00B9343E" w:rsidP="002B6494"/>
    <w:p w14:paraId="67A76797" w14:textId="77777777" w:rsidR="00666DAF" w:rsidRDefault="00666DA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2B8E9" w14:textId="77777777" w:rsidR="006F62D3" w:rsidRDefault="006F62D3" w:rsidP="000F154D">
      <w:pPr>
        <w:spacing w:after="0" w:line="240" w:lineRule="auto"/>
      </w:pPr>
      <w:r>
        <w:separator/>
      </w:r>
    </w:p>
  </w:endnote>
  <w:endnote w:type="continuationSeparator" w:id="0">
    <w:p w14:paraId="0AB6BA8F" w14:textId="77777777" w:rsidR="006F62D3" w:rsidRDefault="006F62D3"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622929"/>
      <w:docPartObj>
        <w:docPartGallery w:val="Page Numbers (Bottom of Page)"/>
        <w:docPartUnique/>
      </w:docPartObj>
    </w:sdtPr>
    <w:sdtEndPr>
      <w:rPr>
        <w:noProof/>
      </w:rPr>
    </w:sdtEndPr>
    <w:sdtContent>
      <w:p w14:paraId="05F4ACF0" w14:textId="77777777" w:rsidR="000F154D" w:rsidRDefault="000F154D">
        <w:pPr>
          <w:pStyle w:val="Footer"/>
          <w:jc w:val="right"/>
        </w:pPr>
        <w:r>
          <w:fldChar w:fldCharType="begin"/>
        </w:r>
        <w:r>
          <w:instrText xml:space="preserve"> PAGE   \* MERGEFORMAT </w:instrText>
        </w:r>
        <w:r>
          <w:fldChar w:fldCharType="separate"/>
        </w:r>
        <w:r w:rsidR="00253C2D">
          <w:rPr>
            <w:noProof/>
          </w:rPr>
          <w:t>9</w:t>
        </w:r>
        <w:r>
          <w:rPr>
            <w:noProof/>
          </w:rPr>
          <w:fldChar w:fldCharType="end"/>
        </w:r>
      </w:p>
    </w:sdtContent>
  </w:sdt>
  <w:p w14:paraId="169B144F" w14:textId="77777777" w:rsidR="000F154D" w:rsidRDefault="000F15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09CAD" w14:textId="77777777" w:rsidR="006F62D3" w:rsidRDefault="006F62D3" w:rsidP="000F154D">
      <w:pPr>
        <w:spacing w:after="0" w:line="240" w:lineRule="auto"/>
      </w:pPr>
      <w:r>
        <w:separator/>
      </w:r>
    </w:p>
  </w:footnote>
  <w:footnote w:type="continuationSeparator" w:id="0">
    <w:p w14:paraId="0A120321" w14:textId="77777777" w:rsidR="006F62D3" w:rsidRDefault="006F62D3" w:rsidP="000F154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lonsky, Yakov (NIH/NCI) [C]">
    <w15:presenceInfo w15:providerId="None" w15:userId="Polonsky, Yakov (NIH/NCI)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206C8"/>
    <w:rsid w:val="001213B8"/>
    <w:rsid w:val="001E6C21"/>
    <w:rsid w:val="00215756"/>
    <w:rsid w:val="002356D5"/>
    <w:rsid w:val="00253C2D"/>
    <w:rsid w:val="00286658"/>
    <w:rsid w:val="002A0274"/>
    <w:rsid w:val="002A44A9"/>
    <w:rsid w:val="002B6494"/>
    <w:rsid w:val="002B7784"/>
    <w:rsid w:val="002D294B"/>
    <w:rsid w:val="002D78BA"/>
    <w:rsid w:val="00301F4B"/>
    <w:rsid w:val="00313320"/>
    <w:rsid w:val="00340DD6"/>
    <w:rsid w:val="003B3B0D"/>
    <w:rsid w:val="003E79D7"/>
    <w:rsid w:val="003F093C"/>
    <w:rsid w:val="00476F33"/>
    <w:rsid w:val="004A679D"/>
    <w:rsid w:val="004B251B"/>
    <w:rsid w:val="004C1E54"/>
    <w:rsid w:val="005F5C65"/>
    <w:rsid w:val="006011D4"/>
    <w:rsid w:val="006046FC"/>
    <w:rsid w:val="00666DAF"/>
    <w:rsid w:val="006F4D83"/>
    <w:rsid w:val="006F62D3"/>
    <w:rsid w:val="0078397A"/>
    <w:rsid w:val="007B255B"/>
    <w:rsid w:val="007C3F29"/>
    <w:rsid w:val="00883196"/>
    <w:rsid w:val="008D2C8D"/>
    <w:rsid w:val="008E3C98"/>
    <w:rsid w:val="00901995"/>
    <w:rsid w:val="00922088"/>
    <w:rsid w:val="00945BE6"/>
    <w:rsid w:val="009930FC"/>
    <w:rsid w:val="009E46E9"/>
    <w:rsid w:val="00A606D3"/>
    <w:rsid w:val="00AC7B77"/>
    <w:rsid w:val="00B9343E"/>
    <w:rsid w:val="00BD4EA6"/>
    <w:rsid w:val="00BF661D"/>
    <w:rsid w:val="00C339EF"/>
    <w:rsid w:val="00C57A5B"/>
    <w:rsid w:val="00C6564A"/>
    <w:rsid w:val="00CD67EE"/>
    <w:rsid w:val="00D50E48"/>
    <w:rsid w:val="00D90DA2"/>
    <w:rsid w:val="00E01D2E"/>
    <w:rsid w:val="00E845A9"/>
    <w:rsid w:val="00E90AC1"/>
    <w:rsid w:val="00F5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81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 w:type="paragraph" w:styleId="BalloonText">
    <w:name w:val="Balloon Text"/>
    <w:basedOn w:val="Normal"/>
    <w:link w:val="BalloonTextChar"/>
    <w:uiPriority w:val="99"/>
    <w:semiHidden/>
    <w:unhideWhenUsed/>
    <w:rsid w:val="002157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7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10</Pages>
  <Words>1530</Words>
  <Characters>8721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Polonsky, Yakov (NIH/NCI) [C]</cp:lastModifiedBy>
  <cp:revision>40</cp:revision>
  <dcterms:created xsi:type="dcterms:W3CDTF">2016-07-20T19:10:00Z</dcterms:created>
  <dcterms:modified xsi:type="dcterms:W3CDTF">2016-07-25T17:59:00Z</dcterms:modified>
</cp:coreProperties>
</file>