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D6" w:rsidRPr="00191064" w:rsidRDefault="008454D6" w:rsidP="008454D6">
      <w:pPr>
        <w:pStyle w:val="1"/>
        <w:pageBreakBefore/>
        <w:rPr>
          <w:rFonts w:ascii="微软雅黑" w:eastAsia="微软雅黑" w:hAnsi="微软雅黑"/>
          <w:sz w:val="15"/>
          <w:szCs w:val="15"/>
        </w:rPr>
      </w:pPr>
      <w:bookmarkStart w:id="0" w:name="_Toc449561171"/>
      <w:bookmarkStart w:id="1" w:name="_Toc197243892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简介</w:t>
      </w:r>
      <w:bookmarkEnd w:id="0"/>
    </w:p>
    <w:p w:rsidR="008454D6" w:rsidRPr="00191064" w:rsidRDefault="008454D6" w:rsidP="008454D6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proofErr w:type="gramStart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本</w:t>
      </w:r>
      <w:r w:rsidR="00A8363F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需求</w:t>
      </w:r>
      <w:proofErr w:type="gramEnd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将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>针对项目</w:t>
      </w: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所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>涵盖的</w:t>
      </w:r>
      <w:r w:rsidR="00A8363F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忠诚</w:t>
      </w:r>
      <w:proofErr w:type="gramStart"/>
      <w:r w:rsidR="00A8363F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度计划</w:t>
      </w:r>
      <w:proofErr w:type="gramEnd"/>
      <w:r w:rsidRPr="00191064">
        <w:rPr>
          <w:rFonts w:ascii="微软雅黑" w:eastAsia="微软雅黑" w:hAnsi="微软雅黑"/>
          <w:sz w:val="15"/>
          <w:szCs w:val="15"/>
          <w:lang w:eastAsia="zh-CN"/>
        </w:rPr>
        <w:t>功能需求</w:t>
      </w: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做</w:t>
      </w:r>
      <w:r w:rsidR="00A8363F" w:rsidRPr="00191064">
        <w:rPr>
          <w:rFonts w:ascii="微软雅黑" w:eastAsia="微软雅黑" w:hAnsi="微软雅黑"/>
          <w:sz w:val="15"/>
          <w:szCs w:val="15"/>
          <w:lang w:eastAsia="zh-CN"/>
        </w:rPr>
        <w:t>详细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>阐述</w:t>
      </w: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。</w:t>
      </w:r>
    </w:p>
    <w:p w:rsidR="008454D6" w:rsidRPr="00191064" w:rsidRDefault="008454D6" w:rsidP="008454D6">
      <w:pPr>
        <w:rPr>
          <w:rFonts w:ascii="微软雅黑" w:eastAsia="微软雅黑" w:hAnsi="微软雅黑"/>
          <w:sz w:val="15"/>
          <w:szCs w:val="15"/>
          <w:lang w:eastAsia="zh-CN"/>
        </w:rPr>
      </w:pPr>
    </w:p>
    <w:p w:rsidR="008454D6" w:rsidRPr="00191064" w:rsidRDefault="008454D6" w:rsidP="008454D6">
      <w:pPr>
        <w:pStyle w:val="2"/>
        <w:rPr>
          <w:rFonts w:ascii="微软雅黑" w:eastAsia="微软雅黑" w:hAnsi="微软雅黑"/>
          <w:sz w:val="15"/>
          <w:szCs w:val="15"/>
        </w:rPr>
      </w:pPr>
      <w:bookmarkStart w:id="2" w:name="_Toc449561172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项目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>背景</w:t>
      </w:r>
      <w:bookmarkEnd w:id="2"/>
    </w:p>
    <w:p w:rsidR="008454D6" w:rsidRPr="00191064" w:rsidRDefault="008454D6" w:rsidP="008454D6">
      <w:pPr>
        <w:pStyle w:val="Instruction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32"/>
        <w:rPr>
          <w:rFonts w:ascii="微软雅黑" w:eastAsia="微软雅黑" w:hAnsi="微软雅黑"/>
          <w:i w:val="0"/>
          <w:color w:val="auto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i w:val="0"/>
          <w:color w:val="auto"/>
          <w:sz w:val="15"/>
          <w:szCs w:val="15"/>
          <w:lang w:eastAsia="zh-CN"/>
        </w:rPr>
        <w:t>华北</w:t>
      </w:r>
      <w:r w:rsidRPr="00191064">
        <w:rPr>
          <w:rFonts w:ascii="微软雅黑" w:eastAsia="微软雅黑" w:hAnsi="微软雅黑"/>
          <w:i w:val="0"/>
          <w:color w:val="auto"/>
          <w:sz w:val="15"/>
          <w:szCs w:val="15"/>
          <w:lang w:eastAsia="zh-CN"/>
        </w:rPr>
        <w:t>集团希望</w:t>
      </w:r>
      <w:r w:rsidR="00A8363F" w:rsidRPr="00191064">
        <w:rPr>
          <w:rFonts w:ascii="微软雅黑" w:eastAsia="微软雅黑" w:hAnsi="微软雅黑" w:hint="eastAsia"/>
          <w:i w:val="0"/>
          <w:color w:val="auto"/>
          <w:sz w:val="15"/>
          <w:szCs w:val="15"/>
          <w:lang w:eastAsia="zh-CN"/>
        </w:rPr>
        <w:t>建立</w:t>
      </w:r>
      <w:r w:rsidR="00A8363F" w:rsidRPr="00191064">
        <w:rPr>
          <w:rFonts w:ascii="微软雅黑" w:eastAsia="微软雅黑" w:hAnsi="微软雅黑"/>
          <w:i w:val="0"/>
          <w:color w:val="auto"/>
          <w:sz w:val="15"/>
          <w:szCs w:val="15"/>
          <w:lang w:eastAsia="zh-CN"/>
        </w:rPr>
        <w:t>忠诚度系统，通过</w:t>
      </w:r>
      <w:r w:rsidR="00A8363F" w:rsidRPr="00191064">
        <w:rPr>
          <w:rFonts w:ascii="微软雅黑" w:eastAsia="微软雅黑" w:hAnsi="微软雅黑" w:hint="eastAsia"/>
          <w:i w:val="0"/>
          <w:color w:val="auto"/>
          <w:sz w:val="15"/>
          <w:szCs w:val="15"/>
          <w:lang w:eastAsia="zh-CN"/>
        </w:rPr>
        <w:t>忠诚</w:t>
      </w:r>
      <w:proofErr w:type="gramStart"/>
      <w:r w:rsidR="00A8363F" w:rsidRPr="00191064">
        <w:rPr>
          <w:rFonts w:ascii="微软雅黑" w:eastAsia="微软雅黑" w:hAnsi="微软雅黑" w:hint="eastAsia"/>
          <w:i w:val="0"/>
          <w:color w:val="auto"/>
          <w:sz w:val="15"/>
          <w:szCs w:val="15"/>
          <w:lang w:eastAsia="zh-CN"/>
        </w:rPr>
        <w:t>度</w:t>
      </w:r>
      <w:r w:rsidR="00A8363F" w:rsidRPr="00191064">
        <w:rPr>
          <w:rFonts w:ascii="微软雅黑" w:eastAsia="微软雅黑" w:hAnsi="微软雅黑"/>
          <w:i w:val="0"/>
          <w:color w:val="auto"/>
          <w:sz w:val="15"/>
          <w:szCs w:val="15"/>
          <w:lang w:eastAsia="zh-CN"/>
        </w:rPr>
        <w:t>方案</w:t>
      </w:r>
      <w:proofErr w:type="gramEnd"/>
      <w:r w:rsidR="00A8363F" w:rsidRPr="00191064">
        <w:rPr>
          <w:rFonts w:ascii="微软雅黑" w:eastAsia="微软雅黑" w:hAnsi="微软雅黑"/>
          <w:i w:val="0"/>
          <w:color w:val="auto"/>
          <w:sz w:val="15"/>
          <w:szCs w:val="15"/>
          <w:lang w:eastAsia="zh-CN"/>
        </w:rPr>
        <w:t>及CRM系统</w:t>
      </w:r>
      <w:r w:rsidR="00A8363F" w:rsidRPr="00191064">
        <w:rPr>
          <w:rFonts w:ascii="微软雅黑" w:eastAsia="微软雅黑" w:hAnsi="微软雅黑" w:hint="eastAsia"/>
          <w:i w:val="0"/>
          <w:color w:val="auto"/>
          <w:sz w:val="15"/>
          <w:szCs w:val="15"/>
          <w:lang w:eastAsia="zh-CN"/>
        </w:rPr>
        <w:t>提高顾客满意度</w:t>
      </w:r>
      <w:r w:rsidR="00A8363F" w:rsidRPr="00191064">
        <w:rPr>
          <w:rFonts w:ascii="微软雅黑" w:eastAsia="微软雅黑" w:hAnsi="微软雅黑"/>
          <w:i w:val="0"/>
          <w:color w:val="auto"/>
          <w:sz w:val="15"/>
          <w:szCs w:val="15"/>
          <w:lang w:eastAsia="zh-CN"/>
        </w:rPr>
        <w:t>及</w:t>
      </w:r>
      <w:r w:rsidR="00A8363F" w:rsidRPr="00191064">
        <w:rPr>
          <w:rFonts w:ascii="微软雅黑" w:eastAsia="微软雅黑" w:hAnsi="微软雅黑" w:hint="eastAsia"/>
          <w:i w:val="0"/>
          <w:color w:val="auto"/>
          <w:sz w:val="15"/>
          <w:szCs w:val="15"/>
          <w:lang w:eastAsia="zh-CN"/>
        </w:rPr>
        <w:t>顾客</w:t>
      </w:r>
      <w:r w:rsidR="00A8363F" w:rsidRPr="00191064">
        <w:rPr>
          <w:rFonts w:ascii="微软雅黑" w:eastAsia="微软雅黑" w:hAnsi="微软雅黑"/>
          <w:i w:val="0"/>
          <w:color w:val="auto"/>
          <w:sz w:val="15"/>
          <w:szCs w:val="15"/>
          <w:lang w:eastAsia="zh-CN"/>
        </w:rPr>
        <w:t>粘性，实现更加稳固的长期发展和</w:t>
      </w:r>
      <w:r w:rsidR="00A8363F" w:rsidRPr="00191064">
        <w:rPr>
          <w:rFonts w:ascii="微软雅黑" w:eastAsia="微软雅黑" w:hAnsi="微软雅黑" w:hint="eastAsia"/>
          <w:i w:val="0"/>
          <w:color w:val="auto"/>
          <w:sz w:val="15"/>
          <w:szCs w:val="15"/>
          <w:lang w:eastAsia="zh-CN"/>
        </w:rPr>
        <w:t>品牌实力</w:t>
      </w:r>
      <w:r w:rsidR="00A8363F" w:rsidRPr="00191064">
        <w:rPr>
          <w:rFonts w:ascii="微软雅黑" w:eastAsia="微软雅黑" w:hAnsi="微软雅黑"/>
          <w:i w:val="0"/>
          <w:color w:val="auto"/>
          <w:sz w:val="15"/>
          <w:szCs w:val="15"/>
          <w:lang w:eastAsia="zh-CN"/>
        </w:rPr>
        <w:t>。</w:t>
      </w:r>
    </w:p>
    <w:p w:rsidR="008454D6" w:rsidRPr="00191064" w:rsidRDefault="008454D6" w:rsidP="008454D6">
      <w:pPr>
        <w:pStyle w:val="2"/>
        <w:rPr>
          <w:rFonts w:ascii="微软雅黑" w:eastAsia="微软雅黑" w:hAnsi="微软雅黑"/>
          <w:sz w:val="15"/>
          <w:szCs w:val="15"/>
        </w:rPr>
      </w:pPr>
      <w:bookmarkStart w:id="3" w:name="_Toc449561173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项目及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>范围</w:t>
      </w:r>
      <w:bookmarkEnd w:id="3"/>
    </w:p>
    <w:p w:rsidR="008454D6" w:rsidRPr="00191064" w:rsidRDefault="008454D6" w:rsidP="008454D6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华北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>集团需求</w:t>
      </w: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是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>建立</w:t>
      </w:r>
      <w:r w:rsidR="00A8363F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忠诚度系统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>。</w:t>
      </w:r>
      <w:proofErr w:type="gramStart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本需求</w:t>
      </w:r>
      <w:proofErr w:type="gramEnd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重点强调华北集团</w:t>
      </w:r>
      <w:r w:rsidR="00A8363F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此项相关</w:t>
      </w: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需求和会对项目交付产生影响的项目假设及先决条件。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 xml:space="preserve"> </w:t>
      </w:r>
    </w:p>
    <w:p w:rsidR="008454D6" w:rsidRPr="00191064" w:rsidRDefault="008454D6" w:rsidP="008454D6">
      <w:pPr>
        <w:jc w:val="both"/>
        <w:rPr>
          <w:rFonts w:ascii="微软雅黑" w:eastAsia="微软雅黑" w:hAnsi="微软雅黑" w:cs="Arial"/>
          <w:sz w:val="15"/>
          <w:szCs w:val="15"/>
          <w:lang w:eastAsia="zh-CN"/>
        </w:rPr>
      </w:pPr>
    </w:p>
    <w:p w:rsidR="008454D6" w:rsidRPr="00191064" w:rsidRDefault="008454D6" w:rsidP="008454D6">
      <w:pPr>
        <w:pStyle w:val="2"/>
        <w:rPr>
          <w:rFonts w:ascii="微软雅黑" w:eastAsia="微软雅黑" w:hAnsi="微软雅黑"/>
          <w:sz w:val="15"/>
          <w:szCs w:val="15"/>
        </w:rPr>
      </w:pPr>
      <w:bookmarkStart w:id="4" w:name="_Toc449561174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业务场景</w:t>
      </w:r>
      <w:bookmarkEnd w:id="4"/>
    </w:p>
    <w:p w:rsidR="008454D6" w:rsidRPr="00191064" w:rsidRDefault="00BC4B3B" w:rsidP="008454D6">
      <w:pPr>
        <w:ind w:firstLine="432"/>
        <w:jc w:val="both"/>
        <w:rPr>
          <w:rFonts w:ascii="微软雅黑" w:eastAsia="微软雅黑" w:hAnsi="微软雅黑" w:cs="Arial"/>
          <w:sz w:val="15"/>
          <w:szCs w:val="15"/>
          <w:lang w:eastAsia="zh-CN"/>
        </w:rPr>
      </w:pPr>
      <w:r w:rsidRPr="00191064">
        <w:rPr>
          <w:rFonts w:ascii="微软雅黑" w:eastAsia="微软雅黑" w:hAnsi="微软雅黑" w:cs="Arial" w:hint="eastAsia"/>
          <w:sz w:val="15"/>
          <w:szCs w:val="15"/>
          <w:lang w:eastAsia="zh-CN"/>
        </w:rPr>
        <w:t>忠诚</w:t>
      </w:r>
      <w:proofErr w:type="gramStart"/>
      <w:r w:rsidRPr="00191064">
        <w:rPr>
          <w:rFonts w:ascii="微软雅黑" w:eastAsia="微软雅黑" w:hAnsi="微软雅黑" w:cs="Arial" w:hint="eastAsia"/>
          <w:sz w:val="15"/>
          <w:szCs w:val="15"/>
          <w:lang w:eastAsia="zh-CN"/>
        </w:rPr>
        <w:t>度项目总</w:t>
      </w:r>
      <w:r w:rsidRPr="00191064">
        <w:rPr>
          <w:rFonts w:ascii="微软雅黑" w:eastAsia="微软雅黑" w:hAnsi="微软雅黑" w:cs="Arial"/>
          <w:sz w:val="15"/>
          <w:szCs w:val="15"/>
          <w:lang w:eastAsia="zh-CN"/>
        </w:rPr>
        <w:t>览</w:t>
      </w:r>
      <w:proofErr w:type="gramEnd"/>
      <w:r w:rsidR="008454D6" w:rsidRPr="00191064">
        <w:rPr>
          <w:rFonts w:ascii="微软雅黑" w:eastAsia="微软雅黑" w:hAnsi="微软雅黑" w:cs="Arial"/>
          <w:sz w:val="15"/>
          <w:szCs w:val="15"/>
          <w:lang w:eastAsia="zh-CN"/>
        </w:rPr>
        <w:t>：</w:t>
      </w:r>
    </w:p>
    <w:p w:rsidR="00BC4B3B" w:rsidRPr="00191064" w:rsidRDefault="00BC4B3B" w:rsidP="008454D6">
      <w:pPr>
        <w:ind w:firstLine="432"/>
        <w:jc w:val="both"/>
        <w:rPr>
          <w:rFonts w:ascii="微软雅黑" w:eastAsia="微软雅黑" w:hAnsi="微软雅黑" w:cs="Arial"/>
          <w:sz w:val="15"/>
          <w:szCs w:val="15"/>
        </w:rPr>
      </w:pPr>
      <w:r w:rsidRPr="00191064">
        <w:rPr>
          <w:rFonts w:ascii="微软雅黑" w:eastAsia="微软雅黑" w:hAnsi="微软雅黑" w:cs="Arial"/>
          <w:noProof/>
          <w:sz w:val="15"/>
          <w:szCs w:val="15"/>
          <w:lang w:val="en-US" w:eastAsia="zh-CN"/>
        </w:rPr>
        <w:drawing>
          <wp:inline distT="0" distB="0" distL="0" distR="0" wp14:anchorId="6548F182">
            <wp:extent cx="4905375" cy="3017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926" cy="302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54D6" w:rsidRPr="00191064" w:rsidRDefault="008454D6" w:rsidP="008454D6">
      <w:pPr>
        <w:jc w:val="both"/>
        <w:rPr>
          <w:rFonts w:ascii="微软雅黑" w:eastAsia="微软雅黑" w:hAnsi="微软雅黑" w:cs="Arial"/>
          <w:sz w:val="15"/>
          <w:szCs w:val="15"/>
        </w:rPr>
      </w:pPr>
    </w:p>
    <w:p w:rsidR="008454D6" w:rsidRPr="00191064" w:rsidRDefault="008454D6" w:rsidP="008454D6">
      <w:pPr>
        <w:pStyle w:val="1"/>
        <w:pageBreakBefore/>
        <w:rPr>
          <w:rFonts w:ascii="微软雅黑" w:eastAsia="微软雅黑" w:hAnsi="微软雅黑"/>
          <w:sz w:val="15"/>
          <w:szCs w:val="15"/>
        </w:rPr>
      </w:pPr>
      <w:bookmarkStart w:id="5" w:name="_Toc449561175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需求分类</w:t>
      </w:r>
      <w:bookmarkEnd w:id="5"/>
    </w:p>
    <w:p w:rsidR="007A6F10" w:rsidRPr="00191064" w:rsidRDefault="008454D6" w:rsidP="00EE16D0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根据</w:t>
      </w:r>
      <w:r w:rsidR="000D2129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忠诚</w:t>
      </w:r>
      <w:proofErr w:type="gramStart"/>
      <w:r w:rsidR="000D2129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度项目</w:t>
      </w:r>
      <w:proofErr w:type="gramEnd"/>
      <w:r w:rsidR="000D2129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规划</w:t>
      </w: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，所有的需求被分为以下</w:t>
      </w:r>
      <w:r w:rsidR="00EE16D0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十</w:t>
      </w: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类：</w:t>
      </w:r>
    </w:p>
    <w:p w:rsidR="0079255D" w:rsidRPr="00191064" w:rsidRDefault="00F405FD" w:rsidP="00EE16D0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noProof/>
          <w:sz w:val="15"/>
          <w:szCs w:val="15"/>
          <w:lang w:val="en-US" w:eastAsia="zh-CN"/>
        </w:rPr>
        <w:drawing>
          <wp:inline distT="0" distB="0" distL="0" distR="0">
            <wp:extent cx="5274310" cy="115590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D6" w:rsidRPr="00191064" w:rsidRDefault="004C5492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一、会员通道/注册登记，及数据收集与安全</w:t>
      </w:r>
    </w:p>
    <w:p w:rsidR="004C5492" w:rsidRPr="00191064" w:rsidRDefault="004C5492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二、操作运营</w:t>
      </w:r>
      <w:r w:rsidR="007A6F10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（IT、财务、卡系统）</w:t>
      </w:r>
    </w:p>
    <w:p w:rsidR="004C5492" w:rsidRPr="00191064" w:rsidRDefault="004C5492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三、积分发放与控制</w:t>
      </w:r>
    </w:p>
    <w:p w:rsidR="004C5492" w:rsidRPr="00191064" w:rsidRDefault="004C5492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四、积分兑换</w:t>
      </w:r>
    </w:p>
    <w:p w:rsidR="004C5492" w:rsidRPr="00191064" w:rsidRDefault="007A6F10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五</w:t>
      </w:r>
      <w:r w:rsidRPr="00191064">
        <w:rPr>
          <w:rFonts w:ascii="微软雅黑" w:eastAsia="微软雅黑" w:hAnsi="微软雅黑"/>
          <w:sz w:val="15"/>
          <w:szCs w:val="15"/>
          <w:lang w:eastAsia="zh-CN"/>
        </w:rPr>
        <w:t>、</w:t>
      </w:r>
      <w:r w:rsidR="004C5492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通讯</w:t>
      </w:r>
      <w:r w:rsidR="004C5492" w:rsidRPr="00191064">
        <w:rPr>
          <w:rFonts w:ascii="微软雅黑" w:eastAsia="微软雅黑" w:hAnsi="微软雅黑"/>
          <w:sz w:val="15"/>
          <w:szCs w:val="15"/>
          <w:lang w:eastAsia="zh-CN"/>
        </w:rPr>
        <w:t>CSC-CRM-Website</w:t>
      </w:r>
    </w:p>
    <w:p w:rsidR="004C5492" w:rsidRPr="00191064" w:rsidRDefault="007A6F10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六</w:t>
      </w:r>
      <w:r w:rsidR="004C5492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、会计与结算</w:t>
      </w:r>
    </w:p>
    <w:p w:rsidR="004C5492" w:rsidRPr="00191064" w:rsidRDefault="007A6F10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七</w:t>
      </w:r>
      <w:r w:rsidR="004C5492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、及时奖励，</w:t>
      </w:r>
      <w:r w:rsidR="0048293A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提货</w:t>
      </w:r>
      <w:proofErr w:type="gramStart"/>
      <w:r w:rsidR="0048293A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券</w:t>
      </w:r>
      <w:proofErr w:type="gramEnd"/>
      <w:r w:rsidR="0048293A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/</w:t>
      </w:r>
      <w:r w:rsidR="004C5492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优惠券</w:t>
      </w:r>
      <w:r w:rsidR="0048293A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等</w:t>
      </w:r>
    </w:p>
    <w:p w:rsidR="004C5492" w:rsidRPr="00191064" w:rsidRDefault="007A6F10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八</w:t>
      </w:r>
      <w:r w:rsidR="00D70941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、报告&amp;品牌</w:t>
      </w:r>
    </w:p>
    <w:p w:rsidR="00D70941" w:rsidRPr="00191064" w:rsidRDefault="007A6F10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九</w:t>
      </w:r>
      <w:r w:rsidR="00EC5F33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、其它</w:t>
      </w:r>
    </w:p>
    <w:p w:rsidR="00497412" w:rsidRPr="00191064" w:rsidRDefault="007A6F10" w:rsidP="00E622AD">
      <w:pPr>
        <w:ind w:firstLine="432"/>
        <w:rPr>
          <w:rFonts w:ascii="微软雅黑" w:eastAsia="微软雅黑" w:hAnsi="微软雅黑"/>
          <w:sz w:val="15"/>
          <w:szCs w:val="15"/>
          <w:lang w:eastAsia="zh-CN"/>
        </w:rPr>
      </w:pPr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十</w:t>
      </w:r>
      <w:r w:rsidR="00601E18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、法</w:t>
      </w:r>
      <w:proofErr w:type="gramStart"/>
      <w:r w:rsidR="00601E18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务</w:t>
      </w:r>
      <w:proofErr w:type="gramEnd"/>
      <w:r w:rsidR="00601E18"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财务</w:t>
      </w:r>
    </w:p>
    <w:p w:rsidR="008454D6" w:rsidRPr="00191064" w:rsidRDefault="008454D6" w:rsidP="008454D6">
      <w:pPr>
        <w:rPr>
          <w:rFonts w:ascii="微软雅黑" w:eastAsia="微软雅黑" w:hAnsi="微软雅黑"/>
          <w:sz w:val="15"/>
          <w:szCs w:val="15"/>
          <w:lang w:eastAsia="zh-CN"/>
        </w:rPr>
      </w:pPr>
    </w:p>
    <w:p w:rsidR="008454D6" w:rsidRPr="00191064" w:rsidRDefault="008454D6" w:rsidP="008454D6">
      <w:pPr>
        <w:pStyle w:val="1"/>
        <w:pageBreakBefore/>
        <w:rPr>
          <w:rFonts w:ascii="微软雅黑" w:eastAsia="微软雅黑" w:hAnsi="微软雅黑"/>
          <w:sz w:val="15"/>
          <w:szCs w:val="15"/>
          <w:lang w:eastAsia="zh-CN"/>
        </w:rPr>
      </w:pPr>
      <w:bookmarkStart w:id="6" w:name="_Toc449561176"/>
      <w:bookmarkEnd w:id="1"/>
      <w:r w:rsidRPr="00191064">
        <w:rPr>
          <w:rFonts w:ascii="微软雅黑" w:eastAsia="微软雅黑" w:hAnsi="微软雅黑" w:hint="eastAsia"/>
          <w:sz w:val="15"/>
          <w:szCs w:val="15"/>
          <w:lang w:eastAsia="zh-CN"/>
        </w:rPr>
        <w:t>需求清单</w:t>
      </w:r>
      <w:bookmarkEnd w:id="6"/>
    </w:p>
    <w:tbl>
      <w:tblPr>
        <w:tblW w:w="963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654"/>
      </w:tblGrid>
      <w:tr w:rsidR="008454D6" w:rsidRPr="00191064" w:rsidTr="00BC6D89">
        <w:trPr>
          <w:trHeight w:val="381"/>
        </w:trPr>
        <w:tc>
          <w:tcPr>
            <w:tcW w:w="9639" w:type="dxa"/>
            <w:gridSpan w:val="2"/>
            <w:shd w:val="clear" w:color="auto" w:fill="BDD6EE"/>
          </w:tcPr>
          <w:p w:rsidR="008454D6" w:rsidRPr="00191064" w:rsidRDefault="008454D6" w:rsidP="00BC6D89">
            <w:pPr>
              <w:tabs>
                <w:tab w:val="left" w:pos="1530"/>
                <w:tab w:val="center" w:pos="4252"/>
              </w:tabs>
              <w:rPr>
                <w:rFonts w:ascii="微软雅黑" w:eastAsia="微软雅黑" w:hAnsi="微软雅黑"/>
                <w:b/>
                <w:sz w:val="15"/>
                <w:szCs w:val="15"/>
                <w:lang w:val="en-US" w:eastAsia="zh-CN"/>
              </w:rPr>
            </w:pPr>
            <w:r w:rsidRPr="00191064">
              <w:rPr>
                <w:rFonts w:ascii="微软雅黑" w:eastAsia="微软雅黑" w:hAnsi="微软雅黑"/>
                <w:sz w:val="15"/>
                <w:szCs w:val="15"/>
                <w:lang w:val="en-US"/>
              </w:rPr>
              <w:tab/>
            </w:r>
            <w:r w:rsidRPr="00191064">
              <w:rPr>
                <w:rFonts w:ascii="微软雅黑" w:eastAsia="微软雅黑" w:hAnsi="微软雅黑"/>
                <w:sz w:val="15"/>
                <w:szCs w:val="15"/>
                <w:lang w:val="en-US"/>
              </w:rPr>
              <w:tab/>
            </w:r>
            <w:r w:rsidRPr="00191064">
              <w:rPr>
                <w:rFonts w:ascii="微软雅黑" w:eastAsia="微软雅黑" w:hAnsi="微软雅黑" w:hint="eastAsia"/>
                <w:b/>
                <w:sz w:val="15"/>
                <w:szCs w:val="15"/>
                <w:lang w:val="en-US" w:eastAsia="zh-CN"/>
              </w:rPr>
              <w:t>优先级定义</w:t>
            </w:r>
          </w:p>
        </w:tc>
      </w:tr>
      <w:tr w:rsidR="008454D6" w:rsidRPr="00191064" w:rsidTr="00BC6D89">
        <w:trPr>
          <w:trHeight w:val="677"/>
        </w:trPr>
        <w:tc>
          <w:tcPr>
            <w:tcW w:w="1985" w:type="dxa"/>
            <w:shd w:val="clear" w:color="auto" w:fill="auto"/>
          </w:tcPr>
          <w:p w:rsidR="008454D6" w:rsidRPr="00191064" w:rsidRDefault="00601E18" w:rsidP="00BC6D89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en-US"/>
              </w:rPr>
            </w:pPr>
            <w:r w:rsidRPr="00191064"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测试期间</w:t>
            </w:r>
          </w:p>
        </w:tc>
        <w:tc>
          <w:tcPr>
            <w:tcW w:w="7654" w:type="dxa"/>
            <w:shd w:val="clear" w:color="auto" w:fill="auto"/>
          </w:tcPr>
          <w:p w:rsidR="008454D6" w:rsidRPr="00191064" w:rsidRDefault="00601E18" w:rsidP="00BC6D89">
            <w:pPr>
              <w:rPr>
                <w:rFonts w:ascii="微软雅黑" w:eastAsia="微软雅黑" w:hAnsi="微软雅黑"/>
                <w:sz w:val="15"/>
                <w:szCs w:val="15"/>
                <w:lang w:val="en-US" w:eastAsia="zh-CN"/>
              </w:rPr>
            </w:pPr>
            <w:r w:rsidRPr="00191064"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指期望</w:t>
            </w:r>
            <w:r w:rsidRPr="00191064">
              <w:rPr>
                <w:rFonts w:ascii="微软雅黑" w:eastAsia="微软雅黑" w:hAnsi="微软雅黑"/>
                <w:sz w:val="15"/>
                <w:szCs w:val="15"/>
                <w:lang w:val="en-US" w:eastAsia="zh-CN"/>
              </w:rPr>
              <w:t>实现2016年Q4在天津先完成全网测试及上线</w:t>
            </w:r>
          </w:p>
        </w:tc>
      </w:tr>
      <w:tr w:rsidR="008454D6" w:rsidRPr="003D4F04" w:rsidTr="00BC6D89">
        <w:trPr>
          <w:trHeight w:val="688"/>
        </w:trPr>
        <w:tc>
          <w:tcPr>
            <w:tcW w:w="1985" w:type="dxa"/>
            <w:shd w:val="clear" w:color="auto" w:fill="auto"/>
          </w:tcPr>
          <w:p w:rsidR="008454D6" w:rsidRPr="00191064" w:rsidRDefault="00601E18" w:rsidP="00BC6D89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en-US" w:eastAsia="zh-CN"/>
              </w:rPr>
            </w:pPr>
            <w:r w:rsidRPr="00191064"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第一阶段</w:t>
            </w:r>
          </w:p>
        </w:tc>
        <w:tc>
          <w:tcPr>
            <w:tcW w:w="7654" w:type="dxa"/>
            <w:shd w:val="clear" w:color="auto" w:fill="auto"/>
          </w:tcPr>
          <w:p w:rsidR="008454D6" w:rsidRPr="00191064" w:rsidRDefault="00601E18" w:rsidP="00BC6D89">
            <w:pPr>
              <w:rPr>
                <w:rFonts w:ascii="微软雅黑" w:eastAsia="微软雅黑" w:hAnsi="微软雅黑"/>
                <w:sz w:val="15"/>
                <w:szCs w:val="15"/>
                <w:lang w:val="en-US" w:eastAsia="zh-CN"/>
              </w:rPr>
            </w:pPr>
            <w:r w:rsidRPr="00191064"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指</w:t>
            </w:r>
            <w:r w:rsidR="00225579" w:rsidRPr="00191064"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期望</w:t>
            </w:r>
            <w:r w:rsidR="00225579" w:rsidRPr="00191064">
              <w:rPr>
                <w:rFonts w:ascii="微软雅黑" w:eastAsia="微软雅黑" w:hAnsi="微软雅黑"/>
                <w:sz w:val="15"/>
                <w:szCs w:val="15"/>
                <w:lang w:val="en-US" w:eastAsia="zh-CN"/>
              </w:rPr>
              <w:t>可以在2017年上半年实现的功能需求</w:t>
            </w:r>
          </w:p>
        </w:tc>
      </w:tr>
      <w:tr w:rsidR="008454D6" w:rsidRPr="003D4F04" w:rsidTr="00BC6D89">
        <w:trPr>
          <w:trHeight w:val="718"/>
        </w:trPr>
        <w:tc>
          <w:tcPr>
            <w:tcW w:w="1985" w:type="dxa"/>
            <w:shd w:val="clear" w:color="auto" w:fill="auto"/>
          </w:tcPr>
          <w:p w:rsidR="008454D6" w:rsidRPr="00191064" w:rsidRDefault="00877D0E" w:rsidP="00BC6D89">
            <w:pPr>
              <w:jc w:val="center"/>
              <w:rPr>
                <w:rFonts w:ascii="微软雅黑" w:eastAsia="微软雅黑" w:hAnsi="微软雅黑"/>
                <w:sz w:val="15"/>
                <w:szCs w:val="15"/>
                <w:lang w:val="en-US" w:eastAsia="zh-CN"/>
              </w:rPr>
            </w:pPr>
            <w:r w:rsidRPr="00191064"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第二阶段</w:t>
            </w:r>
          </w:p>
        </w:tc>
        <w:tc>
          <w:tcPr>
            <w:tcW w:w="7654" w:type="dxa"/>
            <w:shd w:val="clear" w:color="auto" w:fill="auto"/>
          </w:tcPr>
          <w:p w:rsidR="008454D6" w:rsidRPr="00191064" w:rsidRDefault="00877D0E" w:rsidP="00BC6D89">
            <w:pPr>
              <w:rPr>
                <w:rFonts w:ascii="微软雅黑" w:eastAsia="微软雅黑" w:hAnsi="微软雅黑"/>
                <w:sz w:val="15"/>
                <w:szCs w:val="15"/>
                <w:lang w:val="en-US" w:eastAsia="zh-CN"/>
              </w:rPr>
            </w:pPr>
            <w:r w:rsidRPr="00191064">
              <w:rPr>
                <w:rFonts w:ascii="微软雅黑" w:eastAsia="微软雅黑" w:hAnsi="微软雅黑" w:hint="eastAsia"/>
                <w:sz w:val="15"/>
                <w:szCs w:val="15"/>
                <w:lang w:val="en-US" w:eastAsia="zh-CN"/>
              </w:rPr>
              <w:t>指期望</w:t>
            </w:r>
            <w:r w:rsidRPr="00191064">
              <w:rPr>
                <w:rFonts w:ascii="微软雅黑" w:eastAsia="微软雅黑" w:hAnsi="微软雅黑"/>
                <w:sz w:val="15"/>
                <w:szCs w:val="15"/>
                <w:lang w:val="en-US" w:eastAsia="zh-CN"/>
              </w:rPr>
              <w:t>可以在2017年下半年实现的功能需求</w:t>
            </w:r>
          </w:p>
        </w:tc>
      </w:tr>
      <w:tr w:rsidR="008454D6" w:rsidRPr="00191064" w:rsidTr="00BC6D89">
        <w:trPr>
          <w:trHeight w:val="718"/>
        </w:trPr>
        <w:tc>
          <w:tcPr>
            <w:tcW w:w="9639" w:type="dxa"/>
            <w:gridSpan w:val="2"/>
            <w:shd w:val="clear" w:color="auto" w:fill="auto"/>
          </w:tcPr>
          <w:p w:rsidR="008454D6" w:rsidRPr="00191064" w:rsidRDefault="005F4095" w:rsidP="004B0655">
            <w:pPr>
              <w:rPr>
                <w:rFonts w:ascii="微软雅黑" w:eastAsia="微软雅黑" w:hAnsi="微软雅黑"/>
                <w:sz w:val="15"/>
                <w:szCs w:val="15"/>
                <w:lang w:val="en-US" w:eastAsia="zh-CN"/>
              </w:rPr>
            </w:pPr>
            <w:r w:rsidRPr="00191064">
              <w:rPr>
                <w:rFonts w:ascii="微软雅黑" w:eastAsia="微软雅黑" w:hAnsi="微软雅黑" w:hint="eastAsia"/>
                <w:color w:val="FF0000"/>
                <w:sz w:val="15"/>
                <w:szCs w:val="15"/>
                <w:lang w:val="en-US" w:eastAsia="zh-CN"/>
              </w:rPr>
              <w:t>以上</w:t>
            </w:r>
            <w:r w:rsidRPr="00191064">
              <w:rPr>
                <w:rFonts w:ascii="微软雅黑" w:eastAsia="微软雅黑" w:hAnsi="微软雅黑"/>
                <w:color w:val="FF0000"/>
                <w:sz w:val="15"/>
                <w:szCs w:val="15"/>
                <w:lang w:val="en-US" w:eastAsia="zh-CN"/>
              </w:rPr>
              <w:t>为</w:t>
            </w:r>
            <w:r w:rsidRPr="00191064">
              <w:rPr>
                <w:rFonts w:ascii="微软雅黑" w:eastAsia="微软雅黑" w:hAnsi="微软雅黑" w:hint="eastAsia"/>
                <w:color w:val="FF0000"/>
                <w:sz w:val="15"/>
                <w:szCs w:val="15"/>
                <w:lang w:val="en-US" w:eastAsia="zh-CN"/>
              </w:rPr>
              <w:t>期望</w:t>
            </w:r>
            <w:r w:rsidRPr="00191064">
              <w:rPr>
                <w:rFonts w:ascii="微软雅黑" w:eastAsia="微软雅黑" w:hAnsi="微软雅黑"/>
                <w:color w:val="FF0000"/>
                <w:sz w:val="15"/>
                <w:szCs w:val="15"/>
                <w:lang w:val="en-US" w:eastAsia="zh-CN"/>
              </w:rPr>
              <w:t>的项目</w:t>
            </w:r>
            <w:r w:rsidRPr="00191064">
              <w:rPr>
                <w:rFonts w:ascii="微软雅黑" w:eastAsia="微软雅黑" w:hAnsi="微软雅黑" w:hint="eastAsia"/>
                <w:color w:val="FF0000"/>
                <w:sz w:val="15"/>
                <w:szCs w:val="15"/>
                <w:lang w:val="en-US" w:eastAsia="zh-CN"/>
              </w:rPr>
              <w:t>上线</w:t>
            </w:r>
            <w:r w:rsidRPr="00191064">
              <w:rPr>
                <w:rFonts w:ascii="微软雅黑" w:eastAsia="微软雅黑" w:hAnsi="微软雅黑"/>
                <w:color w:val="FF0000"/>
                <w:sz w:val="15"/>
                <w:szCs w:val="15"/>
                <w:lang w:val="en-US" w:eastAsia="zh-CN"/>
              </w:rPr>
              <w:t>时间，</w:t>
            </w:r>
            <w:r w:rsidR="008454D6" w:rsidRPr="00191064">
              <w:rPr>
                <w:rFonts w:ascii="微软雅黑" w:eastAsia="微软雅黑" w:hAnsi="微软雅黑" w:hint="eastAsia"/>
                <w:color w:val="FF0000"/>
                <w:sz w:val="15"/>
                <w:szCs w:val="15"/>
                <w:lang w:val="en-US" w:eastAsia="zh-CN"/>
              </w:rPr>
              <w:t>供应商</w:t>
            </w:r>
            <w:r w:rsidR="008454D6" w:rsidRPr="00191064">
              <w:rPr>
                <w:rFonts w:ascii="微软雅黑" w:eastAsia="微软雅黑" w:hAnsi="微软雅黑"/>
                <w:color w:val="FF0000"/>
                <w:sz w:val="15"/>
                <w:szCs w:val="15"/>
                <w:lang w:eastAsia="zh-CN"/>
              </w:rPr>
              <w:t>提供对</w:t>
            </w:r>
            <w:r w:rsidR="008454D6" w:rsidRPr="00191064">
              <w:rPr>
                <w:rFonts w:ascii="微软雅黑" w:eastAsia="微软雅黑" w:hAnsi="微软雅黑" w:hint="eastAsia"/>
                <w:color w:val="FF0000"/>
                <w:sz w:val="15"/>
                <w:szCs w:val="15"/>
                <w:lang w:eastAsia="zh-CN"/>
              </w:rPr>
              <w:t>下述</w:t>
            </w:r>
            <w:r w:rsidR="008454D6" w:rsidRPr="00191064">
              <w:rPr>
                <w:rFonts w:ascii="微软雅黑" w:eastAsia="微软雅黑" w:hAnsi="微软雅黑"/>
                <w:color w:val="FF0000"/>
                <w:sz w:val="15"/>
                <w:szCs w:val="15"/>
                <w:lang w:eastAsia="zh-CN"/>
              </w:rPr>
              <w:t>需求</w:t>
            </w:r>
            <w:r w:rsidR="008454D6" w:rsidRPr="00191064">
              <w:rPr>
                <w:rFonts w:ascii="微软雅黑" w:eastAsia="微软雅黑" w:hAnsi="微软雅黑" w:hint="eastAsia"/>
                <w:color w:val="FF0000"/>
                <w:sz w:val="15"/>
                <w:szCs w:val="15"/>
                <w:lang w:eastAsia="zh-CN"/>
              </w:rPr>
              <w:t>可</w:t>
            </w:r>
            <w:r w:rsidR="008454D6" w:rsidRPr="00191064">
              <w:rPr>
                <w:rFonts w:ascii="微软雅黑" w:eastAsia="微软雅黑" w:hAnsi="微软雅黑"/>
                <w:color w:val="FF0000"/>
                <w:sz w:val="15"/>
                <w:szCs w:val="15"/>
                <w:lang w:eastAsia="zh-CN"/>
              </w:rPr>
              <w:t>支持的上线时间安排</w:t>
            </w:r>
            <w:r w:rsidR="004B0655" w:rsidRPr="00191064">
              <w:rPr>
                <w:rFonts w:ascii="微软雅黑" w:eastAsia="微软雅黑" w:hAnsi="微软雅黑" w:hint="eastAsia"/>
                <w:color w:val="FF0000"/>
                <w:sz w:val="15"/>
                <w:szCs w:val="15"/>
                <w:lang w:eastAsia="zh-CN"/>
              </w:rPr>
              <w:t>。</w:t>
            </w:r>
          </w:p>
        </w:tc>
      </w:tr>
    </w:tbl>
    <w:p w:rsidR="00C4684C" w:rsidRPr="00191064" w:rsidRDefault="00C4684C">
      <w:pPr>
        <w:rPr>
          <w:rFonts w:ascii="微软雅黑" w:eastAsia="微软雅黑" w:hAnsi="微软雅黑"/>
          <w:sz w:val="15"/>
          <w:szCs w:val="15"/>
          <w:lang w:eastAsia="zh-CN"/>
        </w:rPr>
      </w:pPr>
    </w:p>
    <w:tbl>
      <w:tblPr>
        <w:tblStyle w:val="a6"/>
        <w:tblW w:w="9696" w:type="dxa"/>
        <w:tblInd w:w="-572" w:type="dxa"/>
        <w:tblLook w:val="04A0" w:firstRow="1" w:lastRow="0" w:firstColumn="1" w:lastColumn="0" w:noHBand="0" w:noVBand="1"/>
      </w:tblPr>
      <w:tblGrid>
        <w:gridCol w:w="1562"/>
        <w:gridCol w:w="4239"/>
        <w:gridCol w:w="1145"/>
        <w:gridCol w:w="992"/>
        <w:gridCol w:w="993"/>
        <w:gridCol w:w="765"/>
      </w:tblGrid>
      <w:tr w:rsidR="00D853AD" w:rsidRPr="00D853AD" w:rsidTr="006413BD">
        <w:trPr>
          <w:trHeight w:val="1200"/>
        </w:trPr>
        <w:tc>
          <w:tcPr>
            <w:tcW w:w="1562" w:type="dxa"/>
            <w:hideMark/>
          </w:tcPr>
          <w:p w:rsidR="00D853AD" w:rsidRPr="00D853AD" w:rsidRDefault="00D853AD" w:rsidP="00BC6D89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  <w:lang w:val="en-US" w:eastAsia="zh-CN"/>
              </w:rPr>
            </w:pPr>
            <w:r w:rsidRPr="00D853AD"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需求类别</w:t>
            </w:r>
          </w:p>
        </w:tc>
        <w:tc>
          <w:tcPr>
            <w:tcW w:w="4239" w:type="dxa"/>
            <w:hideMark/>
          </w:tcPr>
          <w:p w:rsidR="00D853AD" w:rsidRPr="00D853AD" w:rsidRDefault="00D853AD" w:rsidP="00BC6D89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需求描述</w:t>
            </w:r>
          </w:p>
        </w:tc>
        <w:tc>
          <w:tcPr>
            <w:tcW w:w="1145" w:type="dxa"/>
            <w:hideMark/>
          </w:tcPr>
          <w:p w:rsidR="00D853AD" w:rsidRPr="00D853AD" w:rsidRDefault="00D853AD" w:rsidP="00BC6D89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天津上线测试阶段</w:t>
            </w:r>
            <w:r w:rsidRPr="00D853AD"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br/>
              <w:t>（2016.Q4）</w:t>
            </w:r>
          </w:p>
        </w:tc>
        <w:tc>
          <w:tcPr>
            <w:tcW w:w="992" w:type="dxa"/>
            <w:hideMark/>
          </w:tcPr>
          <w:p w:rsidR="00D853AD" w:rsidRPr="00D853AD" w:rsidRDefault="00D853AD" w:rsidP="00BC6D89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第一期上线</w:t>
            </w:r>
          </w:p>
        </w:tc>
        <w:tc>
          <w:tcPr>
            <w:tcW w:w="993" w:type="dxa"/>
            <w:hideMark/>
          </w:tcPr>
          <w:p w:rsidR="00D853AD" w:rsidRPr="00D853AD" w:rsidRDefault="00D853AD" w:rsidP="00BC6D89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第二期上线</w:t>
            </w:r>
          </w:p>
        </w:tc>
        <w:tc>
          <w:tcPr>
            <w:tcW w:w="765" w:type="dxa"/>
            <w:hideMark/>
          </w:tcPr>
          <w:p w:rsidR="00D853AD" w:rsidRPr="00D853AD" w:rsidRDefault="00D853AD" w:rsidP="00BC6D89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第三期</w:t>
            </w:r>
          </w:p>
        </w:tc>
      </w:tr>
      <w:tr w:rsidR="00D853AD" w:rsidRPr="00D853AD" w:rsidTr="006413BD">
        <w:trPr>
          <w:trHeight w:val="990"/>
        </w:trPr>
        <w:tc>
          <w:tcPr>
            <w:tcW w:w="1562" w:type="dxa"/>
            <w:vMerge w:val="restart"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一、会员通道/注册登记，及数据收集与安全</w:t>
            </w:r>
          </w:p>
        </w:tc>
        <w:tc>
          <w:tcPr>
            <w:tcW w:w="4239" w:type="dxa"/>
            <w:hideMark/>
          </w:tcPr>
          <w:p w:rsidR="00D853AD" w:rsidRPr="00D853AD" w:rsidRDefault="00404C4A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忠诚度会员系统注册登录渠道，包括企业</w:t>
            </w:r>
            <w:r w:rsidR="00D853AD"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APP,</w:t>
            </w:r>
            <w:proofErr w:type="gramStart"/>
            <w:r w:rsidR="00D853AD"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微信端</w:t>
            </w:r>
            <w:proofErr w:type="gramEnd"/>
            <w:r w:rsidR="00D853AD"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，网页端。通过其它社交媒体（如微信、微博、QQ、支付宝）都可以进行</w:t>
            </w:r>
            <w:proofErr w:type="gramStart"/>
            <w:r w:rsidR="00D853AD"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帐号</w:t>
            </w:r>
            <w:proofErr w:type="gramEnd"/>
            <w:r w:rsidR="00D853AD"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注册登陆。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Y 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(APP)</w:t>
            </w:r>
          </w:p>
        </w:tc>
        <w:tc>
          <w:tcPr>
            <w:tcW w:w="993" w:type="dxa"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Y(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微信测试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期间，其他渠道账号登录第二期）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42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微信端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/网页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端需要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一个下载导流口，实现到APP的导流。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42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微信端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/网页端/APP均需要实现几个基本功能（（如注册、积分查询、充值等））。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42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油站通过二维码、条形码识别忠诚客户ID/或者顾客手机号识别。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42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顾客使用手机号可以在前述渠道查询积分，但积分兑换或者代金券使用需要使用手机号/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二维码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+密码同时。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  <w:r w:rsidR="003D4F04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42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预付费卡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B2C用户使用其在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预付费卡系统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的账号也可登录Loyalty系统；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42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预付费卡充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值可以在网页/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微信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/APP渠道进行充值，（但不可以购买）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参照卡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系统上线时间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42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顾客可以更新完善个人信息，CSC完善信息，自己设置密码。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 w:val="restart"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二、操作运营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br/>
              <w:t>（IT、财务、卡系统）</w:t>
            </w: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顾客可以实时更新资料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每一个会员有一个唯一永久的ID识别码；POS端、积分兑换或查询需要PIN码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微信、APP、网页都可以同时实现操作，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微信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(APP&amp;网页)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兑换规则基础是积分和钱（现金或卡），燃油根</w:t>
            </w:r>
            <w:r w:rsidR="00FA6F03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据不同标号给与不同的单升（或每人民币）折扣，非燃油根据金额或产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(油)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Y(非油)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根据不同会员类型可以设置单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次或者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单日交易，商品类型等形式奖励上限和规则。不同支付渠道可设置积分奖励上限。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余额更新政策：兑换或撤销需要时时更新余额，奖励交易时时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更新余额</w:t>
            </w:r>
            <w:proofErr w:type="gramEnd"/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已兑换积分金额不可再次积分。不同支付组合可以给予不同的积分规则。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Loyalty 平台可以提供多种沟通策略并分级通讯 (针对不同类型客户)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Y（loyalty）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Y（CRM）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针对不同的市场活动Loyalty平台可向不同油站发送不同信息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  <w:r w:rsidR="000F15BE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与POS联结 （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零管系统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的对接数据一致）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消费小票上应有的信息：Loyalty数据，销售数据，积分奖励，总体积分数，账户积分可用余额。加密的主账号，油站ID，终端机ID等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设置积分奖励和兑换的税务处理规则，细节信息可以从ERP获得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Loyalty平台可以发送数据到CRM系统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Y（CRM）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后台与卡系统连接，后期进行数据CRM管理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参照卡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系统上线时间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85DF6">
        <w:trPr>
          <w:trHeight w:val="495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系统提供接入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各法律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实体的接口以完成自动退还与积分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记帐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（退货与相应的积分扣减）</w:t>
            </w:r>
          </w:p>
        </w:tc>
        <w:tc>
          <w:tcPr>
            <w:tcW w:w="1145" w:type="dxa"/>
            <w:noWrap/>
            <w:hideMark/>
          </w:tcPr>
          <w:p w:rsidR="00D853AD" w:rsidRPr="005628A1" w:rsidRDefault="00685DF6" w:rsidP="00D853AD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85DF6">
        <w:trPr>
          <w:trHeight w:val="435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会计报告可以满足自定义需求，在法律实体、地区、经销商间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记帐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，根据需求区隔形成不同的税务代码</w:t>
            </w:r>
          </w:p>
        </w:tc>
        <w:tc>
          <w:tcPr>
            <w:tcW w:w="1145" w:type="dxa"/>
            <w:noWrap/>
            <w:hideMark/>
          </w:tcPr>
          <w:p w:rsidR="00D853AD" w:rsidRPr="005628A1" w:rsidRDefault="00685DF6" w:rsidP="00D853AD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Y 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48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数据需要备份，掉线时需要数据恢复计划)和业务持续计划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当网络出问题但Loyalty系统正常使用，CSC可以记录新数据；当系统出问题时，CSC手动存储资料，以不影响运营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支持手持终端集成，手持终端必须能够接受识别Loyalty ID。接受积分兑换，打印小票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1260"/>
        </w:trPr>
        <w:tc>
          <w:tcPr>
            <w:tcW w:w="1562" w:type="dxa"/>
            <w:vMerge w:val="restart"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三、积分发放与控制</w:t>
            </w: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获得方式（1）消费油品、非油品都可以获得积分，（2）促销活动或各种形式顾客互动的一次性奖励积分。最好是开放性的系统设置，方便以后加需求。不同层级（集团，大区或者油站，会有不同方式的积分发放。）（3）推荐客户获得积分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(油)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Y（非油）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根据不同层级给不同的积分（集团全网，不同法律实体/分公司，城市，油站等）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与不同的合作伙伴的积分可以实现互换（按财务要求设置时间点结账，如果合作伙伴与我们不是等值交换，需要在后台设置规则）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所有积分相关信息数据（消费额、油类型、量、次数、产品、支付渠道、获得点的数、油站、集团、B2B，B2C等）要上传Loyalty系统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按照风险高低设置更改权限(给与管理员不同的权限控制)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用户可以在后台进行图形化界面设置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1125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后台所有积分规则都是可操作的，积分规则可根据华北需求设置，并且所有设置都是可以更改的。规则有拓展空间，包括（顾客、产品、钱、量、等）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积分获取上线设置，每天每人可以获得积分的上限,防止作假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非忠诚顾客的信息也可采集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</w:tr>
      <w:tr w:rsidR="00D853AD" w:rsidRPr="00D853AD" w:rsidTr="006413BD">
        <w:trPr>
          <w:trHeight w:val="660"/>
        </w:trPr>
        <w:tc>
          <w:tcPr>
            <w:tcW w:w="1562" w:type="dxa"/>
            <w:vMerge w:val="restart"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四、积分兑换</w:t>
            </w: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会员身份认证后，可以兑换燃或非燃油，合作伙伴站点的东西(后台需要设置兑换积分的合作伙伴数据来源与时间点，信息可以时时传送到POS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(油兑换)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Y（非油兑换）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积分在壳牌</w:t>
            </w:r>
            <w:r w:rsidR="00444367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华北集团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油站、网页、APP、合作伙伴的终端、call </w:t>
            </w:r>
            <w:proofErr w:type="spell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center</w:t>
            </w:r>
            <w:proofErr w:type="spell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均可进行兑换，计划第一期只在油站进行兑换。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(油站端)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Y(APP&amp;网站)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Y（合作伙伴）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兑换的规则可设定，可以打折或直减，数据时时发送到POS端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积分在线时时兑换，忠诚客户提供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二维码和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PIN码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油站便利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店产品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清单要做到线上对接，不同地区会有不同的兑换清单。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可设置在有效期内或促销时段的兑换，需要考虑优惠重叠的问题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F5098B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油站</w:t>
            </w:r>
            <w:r w:rsidR="00D853AD"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产品(油和非油)都可以用于兑换。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Y(油)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(非油)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Y（合作伙伴）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兑换的产品可以快递到家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可以从油站拿到兑换凭条，与加油小票印在一张上(包括积分的变化)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Y 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积分暂定2年，期限可以改(积分期限可设定)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帐户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三年之内（时间可设置）未使用转为睡眠，后期只要消费生成积分还可以再激活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积分可以在不同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帐户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间转移,需考虑权限设置&amp;风险控制，运营流程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 w:val="restart"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五、通讯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br/>
              <w:t>CSC-CRM-Website</w:t>
            </w: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顾客可以通过APP、顾客服务中心、网站、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微信等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查询个人积分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微信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&amp;客服)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Y(APP&amp;网站)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3D4F04" w:rsidTr="006413BD">
        <w:trPr>
          <w:trHeight w:val="75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顾客服务中心满足任意顾客任何需求，如顾客识别、顾客信息更新、余额查询、断网手动积分兑换、报告管理、积分冒用控制报告、活动需求支持等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3D4F04" w:rsidTr="006413BD">
        <w:trPr>
          <w:trHeight w:val="45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顾客可以通过app,网站，微信， </w:t>
            </w:r>
            <w:proofErr w:type="spell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csc</w:t>
            </w:r>
            <w:proofErr w:type="spell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来关闭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帐户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，但需进行客户验证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(CSC人工客服)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Y 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3D4F04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网页上的功能包含APP上所有功能（需要一版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手机版网页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3D4F04" w:rsidTr="006413BD">
        <w:trPr>
          <w:trHeight w:val="108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与CRM中心个性化的通讯：特定顾客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群信息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推送，包括开发定制化邮件（按顾客组）以满足不同法律实体需求，区隔不同法律实体，通讯自动化触发，通过邮箱与手机可以自动化配置个人需求，必须追踪需求激活、兑换及提供通讯渠道性能追踪报告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(基础)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(个性化)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通过APP推送顾客一般性建议。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特定顾客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群信息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推送，可含或不含优惠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关于CSC职能中支持顾客密码修改，需要CSC呼叫中心系统与积分系统对接，并能够在通话状态中实现密码的修改。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(人工)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660"/>
        </w:trPr>
        <w:tc>
          <w:tcPr>
            <w:tcW w:w="1562" w:type="dxa"/>
            <w:vMerge w:val="restart"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六、会计与结算</w:t>
            </w: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发行与兑换积分时，不同区域、不同实体、经销商、油站、合作伙伴间可以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记帐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，结算、报销、开发票，批次对账与平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账功能</w:t>
            </w:r>
            <w:proofErr w:type="gramEnd"/>
          </w:p>
        </w:tc>
        <w:tc>
          <w:tcPr>
            <w:tcW w:w="1145" w:type="dxa"/>
            <w:noWrap/>
            <w:hideMark/>
          </w:tcPr>
          <w:p w:rsidR="00D853AD" w:rsidRPr="00D853AD" w:rsidRDefault="00D853AD" w:rsidP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  <w:r w:rsidRPr="00BD2121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 </w:t>
            </w:r>
            <w:r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(</w:t>
            </w:r>
            <w:r w:rsidR="00BD2121"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省份内)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Y（跨省)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Y（合作伙伴）</w:t>
            </w:r>
          </w:p>
        </w:tc>
      </w:tr>
      <w:tr w:rsidR="00D853AD" w:rsidRPr="00D853AD" w:rsidTr="006413BD">
        <w:trPr>
          <w:trHeight w:val="78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 w:rsidP="00203C2B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积分系统能够</w:t>
            </w:r>
            <w:proofErr w:type="gramStart"/>
            <w:r w:rsidR="00203C2B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</w:t>
            </w:r>
            <w:r w:rsidR="00203C2B" w:rsidRPr="00203C2B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零管系统</w:t>
            </w:r>
            <w:proofErr w:type="gramEnd"/>
            <w:r w:rsidR="00203C2B" w:rsidRPr="00203C2B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、卡系统</w:t>
            </w:r>
            <w:r w:rsidR="00203C2B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、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ERP</w:t>
            </w:r>
            <w:r w:rsidR="000D1C9C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自动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对接，按照会计准则</w:t>
            </w:r>
            <w:r w:rsidR="000D1C9C" w:rsidRPr="000D1C9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、税务及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公司要求自动进行积分核算，包括积分生成、积分兑换、积分到期</w:t>
            </w:r>
            <w:r w:rsidR="000D1C9C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、</w:t>
            </w:r>
            <w:r w:rsidR="00EA043C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积分转移、</w:t>
            </w:r>
            <w:r w:rsidR="000D1C9C" w:rsidRPr="000D1C9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积分</w:t>
            </w:r>
            <w:proofErr w:type="gramStart"/>
            <w:r w:rsidR="000D1C9C" w:rsidRPr="000D1C9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跨法律</w:t>
            </w:r>
            <w:proofErr w:type="gramEnd"/>
            <w:r w:rsidR="000D1C9C" w:rsidRPr="000D1C9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实体的内部核算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。</w:t>
            </w:r>
          </w:p>
        </w:tc>
        <w:tc>
          <w:tcPr>
            <w:tcW w:w="1145" w:type="dxa"/>
            <w:noWrap/>
            <w:hideMark/>
          </w:tcPr>
          <w:p w:rsidR="00D853AD" w:rsidRPr="005628A1" w:rsidRDefault="000D1C9C" w:rsidP="00D853AD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0D1C9C" w:rsidRDefault="00D853AD" w:rsidP="00D853AD">
            <w:pPr>
              <w:rPr>
                <w:rFonts w:ascii="微软雅黑" w:eastAsia="微软雅黑" w:hAnsi="微软雅黑"/>
                <w:strike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针对不同活动机制的积分</w:t>
            </w:r>
            <w:r w:rsidR="000D1C9C" w:rsidRPr="000D1C9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活动</w:t>
            </w:r>
            <w:r w:rsidR="000D1C9C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，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按照</w:t>
            </w:r>
            <w:r w:rsidR="000D1C9C" w:rsidRPr="000D1C9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财务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核算与</w:t>
            </w:r>
            <w:r w:rsidR="000D1C9C" w:rsidRPr="000D1C9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财务</w:t>
            </w:r>
            <w:r w:rsidR="000D1C9C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分析的要求，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对应的会计核算科目也不同，因此积分系统可以按照业务和财务的具体要求将数据分类传输</w:t>
            </w:r>
            <w:r w:rsidR="000D1C9C" w:rsidRPr="000D1C9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并自动对接ERP系统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。</w:t>
            </w:r>
          </w:p>
        </w:tc>
        <w:tc>
          <w:tcPr>
            <w:tcW w:w="1145" w:type="dxa"/>
            <w:noWrap/>
            <w:hideMark/>
          </w:tcPr>
          <w:p w:rsidR="00D853AD" w:rsidRPr="005628A1" w:rsidRDefault="000D1C9C" w:rsidP="00D853AD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0D1C9C" w:rsidRDefault="00D853AD" w:rsidP="00D853AD">
            <w:pPr>
              <w:rPr>
                <w:rFonts w:ascii="微软雅黑" w:eastAsia="微软雅黑" w:hAnsi="微软雅黑"/>
                <w:strike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705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 w:rsidP="00EA043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积分平台对ERP的对接可以满足月结结账时间点的管理，避免数据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的漏传重复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导致积分系统与ERP系统的数据不一致</w:t>
            </w:r>
            <w:r w:rsidR="00BD2121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，</w:t>
            </w:r>
            <w:r w:rsidR="00EA043C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并</w:t>
            </w:r>
            <w:r w:rsidR="00BD2121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可按照财务要求</w:t>
            </w:r>
            <w:r w:rsid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的时间和频次</w:t>
            </w:r>
            <w:r w:rsidR="00BD2121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进行</w:t>
            </w:r>
            <w:r w:rsidR="00EA043C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积分系统</w:t>
            </w:r>
            <w:r w:rsid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对</w:t>
            </w:r>
            <w:r w:rsidR="00EA043C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ERP的数据传输</w:t>
            </w:r>
          </w:p>
        </w:tc>
        <w:tc>
          <w:tcPr>
            <w:tcW w:w="1145" w:type="dxa"/>
            <w:noWrap/>
            <w:hideMark/>
          </w:tcPr>
          <w:p w:rsidR="00D853AD" w:rsidRPr="005628A1" w:rsidRDefault="000D1C9C" w:rsidP="00D853AD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0D1C9C" w:rsidRDefault="00D853AD" w:rsidP="00D853AD">
            <w:pPr>
              <w:rPr>
                <w:rFonts w:ascii="微软雅黑" w:eastAsia="微软雅黑" w:hAnsi="微软雅黑"/>
                <w:strike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C5271B" w:rsidP="0007561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EA043C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油站端积分兑换上线测试期间，油站端</w:t>
            </w:r>
            <w:r w:rsidR="0007561D" w:rsidRPr="00EA043C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提货</w:t>
            </w:r>
            <w:proofErr w:type="gramStart"/>
            <w:r w:rsidR="0007561D" w:rsidRPr="00EA043C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="0007561D" w:rsidRPr="00EA043C">
              <w:rPr>
                <w:rFonts w:ascii="微软雅黑" w:eastAsia="微软雅黑" w:hAnsi="微软雅黑"/>
                <w:sz w:val="15"/>
                <w:szCs w:val="15"/>
                <w:lang w:eastAsia="zh-CN"/>
              </w:rPr>
              <w:t>/优惠券</w:t>
            </w:r>
            <w:r w:rsidR="00D853AD" w:rsidRPr="00EA043C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在第二期。</w:t>
            </w:r>
          </w:p>
        </w:tc>
        <w:tc>
          <w:tcPr>
            <w:tcW w:w="1145" w:type="dxa"/>
            <w:noWrap/>
            <w:hideMark/>
          </w:tcPr>
          <w:p w:rsidR="00D853AD" w:rsidRPr="00EA043C" w:rsidRDefault="00D853AD" w:rsidP="00EA043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  <w:r w:rsidR="006413BD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（优惠券</w:t>
            </w:r>
            <w:r w:rsid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-</w:t>
            </w:r>
            <w:r w:rsidR="006413BD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代金券）</w:t>
            </w:r>
          </w:p>
        </w:tc>
        <w:tc>
          <w:tcPr>
            <w:tcW w:w="992" w:type="dxa"/>
            <w:noWrap/>
            <w:hideMark/>
          </w:tcPr>
          <w:p w:rsidR="00D853AD" w:rsidRPr="00EA043C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</w:t>
            </w:r>
            <w:r w:rsidR="006413BD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</w:t>
            </w:r>
            <w:r w:rsid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-</w:t>
            </w:r>
            <w:r w:rsidR="006413BD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折扣</w:t>
            </w:r>
            <w:proofErr w:type="gramStart"/>
            <w:r w:rsidR="006413BD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="006413BD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D853AD" w:rsidRPr="00EA043C" w:rsidRDefault="00D853AD" w:rsidP="00EA043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</w:t>
            </w:r>
            <w:r w:rsidR="006413BD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优惠券</w:t>
            </w:r>
            <w:r w:rsid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-</w:t>
            </w:r>
            <w:r w:rsidR="006413BD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其它类</w:t>
            </w:r>
            <w:r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)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555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在油站端区分钱与积分的使用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54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可出具含品项、各层级（</w:t>
            </w:r>
            <w:r w:rsidR="00DA6588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包括</w:t>
            </w:r>
            <w:r w:rsidR="00DA6588" w:rsidRPr="00DA6588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但不限于分客户、商品</w:t>
            </w:r>
            <w:r w:rsidR="00DA6588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、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油站，地区，法律实体、支付级别</w:t>
            </w:r>
            <w:r w:rsidR="0055099F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、</w:t>
            </w:r>
            <w:r w:rsidR="0055099F" w:rsidRPr="0055099F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业务类型</w:t>
            </w:r>
            <w:r w:rsidR="00DA6588" w:rsidRPr="00DA6588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等</w:t>
            </w:r>
            <w:r w:rsidR="00DA6588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）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的财务报告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  <w:r w:rsidR="00DA6588" w:rsidRPr="00DA6588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A6588" w:rsidRDefault="00D853AD" w:rsidP="00D853AD">
            <w:pPr>
              <w:rPr>
                <w:rFonts w:ascii="微软雅黑" w:eastAsia="微软雅黑" w:hAnsi="微软雅黑"/>
                <w:strike/>
                <w:sz w:val="15"/>
                <w:szCs w:val="15"/>
                <w:lang w:eastAsia="zh-CN"/>
              </w:rPr>
            </w:pP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855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积分系统对接公司内部的财务，基于核对要求，需要有积分价值的体现，每月可以出具</w:t>
            </w:r>
            <w:r w:rsidR="00EA043C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分层级的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积分余额价值报告，与ERP系统递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延收入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科目核对一致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114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 w:rsidP="00EA043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客户在申请积分账户时需要确定地域省份/法律实体，在法律、税务和系统功能支持的情况下可以进行跨省操作</w:t>
            </w:r>
            <w:r w:rsidR="00DA6588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，</w:t>
            </w:r>
            <w:r w:rsidR="00DA6588" w:rsidRPr="00DA6588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并满足财务核算要求</w:t>
            </w:r>
            <w:r w:rsidRPr="00DA6588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  <w:r w:rsidR="00DA6588" w:rsidRPr="00DA6588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A6588" w:rsidRDefault="00D853AD" w:rsidP="00D853AD">
            <w:pPr>
              <w:rPr>
                <w:rFonts w:ascii="微软雅黑" w:eastAsia="微软雅黑" w:hAnsi="微软雅黑"/>
                <w:strike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585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与第三方合作的积分商城的具体流程在确定基本流程后再讨论细节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(合作伙伴)</w:t>
            </w:r>
          </w:p>
        </w:tc>
      </w:tr>
      <w:tr w:rsidR="00D853AD" w:rsidRPr="00D853AD" w:rsidTr="006413BD">
        <w:trPr>
          <w:trHeight w:val="1125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积分系统中可以提供交易明细(包括每笔积分对应的油站、油品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品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号、非油中类、</w:t>
            </w:r>
            <w:r w:rsidR="006413BD"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非油SKU</w:t>
            </w:r>
            <w:r w:rsidR="006413B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、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积分数量、积分金额），用于积分发行时分商品冲减销售收入和积分到期冲减销售收入使用,同时可以自动对接ERP系统生成帐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务</w:t>
            </w:r>
            <w:proofErr w:type="gramEnd"/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84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积分发行种类包括标准、开户、投诉、季节性活动等方式，需要按照不同类型的积分发放方式提供给ERP，按照财务要求进行不同帐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处理。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(油)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(非油)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1691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 w:rsidP="00EA043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积分发行（销售环节）：需要将积分对应的价值从销售收入中扣除确认递延收入，因此需要积分系统提供对应的销售环节产生的积分价值（要区分商品）提供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给零管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系统</w:t>
            </w:r>
            <w:r w:rsidR="006413B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/ERP系统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，</w:t>
            </w:r>
            <w:r w:rsidR="006413BD"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由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ERP系统形成销售收入和递延收入。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135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积分兑换（购买自有商品）：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作为零管系统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的一种支付方式，使用积分消费时，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零管对接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ERP生成应收积分和销售收入；同时积分系统对应的积分兑换数据要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与零管的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应收积分核对一致，同时对接ERP系统冲减应收积分和递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延收入</w:t>
            </w:r>
            <w:proofErr w:type="gramEnd"/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983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 w:rsidP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积分兑换（换取</w:t>
            </w:r>
            <w:r w:rsidR="00BD2121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折扣）：以固定折扣和折扣率的积分兑换应该体现积分价值，</w:t>
            </w:r>
            <w:r w:rsidR="00BD2121"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并</w:t>
            </w:r>
            <w:proofErr w:type="gramStart"/>
            <w:r w:rsidR="00BD2121"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在零管系统</w:t>
            </w:r>
            <w:proofErr w:type="gramEnd"/>
            <w:r w:rsidR="00BD2121"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与积分系统之间达成折扣数据的自动计算与对接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。积分系统可以分兑换类型提供金额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  <w:r w:rsidR="00BD2121"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75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积分兑换（购买第三方商品）：如果是在积分价值内的操作同上，超出积分价值的部分单独确认促销费用</w:t>
            </w:r>
            <w:r w:rsidR="00BD2121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，</w:t>
            </w:r>
            <w:r w:rsidR="00BD2121"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并可达成</w:t>
            </w:r>
            <w:proofErr w:type="gramStart"/>
            <w:r w:rsidR="00BD2121"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积分积分</w:t>
            </w:r>
            <w:proofErr w:type="gramEnd"/>
            <w:r w:rsidR="00BD2121"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系统的自动计算并对接ERP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D853AD" w:rsidRPr="00D853AD" w:rsidTr="006413BD">
        <w:trPr>
          <w:trHeight w:val="1380"/>
        </w:trPr>
        <w:tc>
          <w:tcPr>
            <w:tcW w:w="1562" w:type="dxa"/>
            <w:vMerge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D853AD" w:rsidRPr="00D853AD" w:rsidRDefault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积分到期：积分系统可事先计算每月即将到期的积分价值，每月月结第一个工作日积分系统可以将本月到期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未消费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的积分价值对接ERP</w:t>
            </w:r>
            <w:r w:rsidR="00BD2121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系统冲减递延收入，补记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收入，但是需要积分系统可以提供销售收入的对应商品（油品是品类，非油是中类。</w:t>
            </w:r>
          </w:p>
        </w:tc>
        <w:tc>
          <w:tcPr>
            <w:tcW w:w="114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 (油)</w:t>
            </w:r>
          </w:p>
        </w:tc>
        <w:tc>
          <w:tcPr>
            <w:tcW w:w="992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Y(非油)</w:t>
            </w:r>
          </w:p>
        </w:tc>
        <w:tc>
          <w:tcPr>
            <w:tcW w:w="993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D853AD" w:rsidRPr="00D853AD" w:rsidRDefault="00D853AD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EA043C" w:rsidRPr="00D853AD" w:rsidTr="006413BD">
        <w:trPr>
          <w:trHeight w:val="1290"/>
        </w:trPr>
        <w:tc>
          <w:tcPr>
            <w:tcW w:w="1562" w:type="dxa"/>
            <w:vMerge/>
            <w:hideMark/>
          </w:tcPr>
          <w:p w:rsidR="00EA043C" w:rsidRPr="00D853AD" w:rsidRDefault="00EA043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EA043C" w:rsidRPr="00D853AD" w:rsidRDefault="00EA043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积分系统中用积分兑换优惠券，积分系统可以提供兑换优惠券的信息，包括所兑换积分对应的油站、优惠券种类、数量、金额，积分系统可以生成数据对接ERP形成积分转优惠券的帐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处理；发行积分以外优惠券需要与前者区分，积分系统可单独提供数据</w:t>
            </w:r>
          </w:p>
        </w:tc>
        <w:tc>
          <w:tcPr>
            <w:tcW w:w="1145" w:type="dxa"/>
            <w:noWrap/>
            <w:hideMark/>
          </w:tcPr>
          <w:p w:rsidR="00EA043C" w:rsidRPr="006413BD" w:rsidRDefault="00EA043C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Y（优惠券中的代金券）</w:t>
            </w:r>
          </w:p>
        </w:tc>
        <w:tc>
          <w:tcPr>
            <w:tcW w:w="992" w:type="dxa"/>
            <w:noWrap/>
            <w:hideMark/>
          </w:tcPr>
          <w:p w:rsidR="00EA043C" w:rsidRPr="006413BD" w:rsidRDefault="00EA043C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Y（优惠券折扣</w:t>
            </w:r>
            <w:proofErr w:type="gramStart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EA043C" w:rsidRPr="006413BD" w:rsidRDefault="00EA043C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(优惠券的其它类)</w:t>
            </w:r>
          </w:p>
        </w:tc>
        <w:tc>
          <w:tcPr>
            <w:tcW w:w="765" w:type="dxa"/>
            <w:noWrap/>
            <w:hideMark/>
          </w:tcPr>
          <w:p w:rsidR="00EA043C" w:rsidRPr="00D853AD" w:rsidRDefault="00EA043C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BD2121" w:rsidRPr="00D853AD" w:rsidTr="006413BD">
        <w:trPr>
          <w:trHeight w:val="1485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积分系统中的优惠券使用：使用优惠券时：对接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到零管系统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是用优惠券方式，积分系统需要将优惠券消费的销售明细对接到ERP系统记入销售折扣或促销费用。销售需要区分油品品种和非油中类。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零管系统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需要EPS支持不同优惠券，可以区分积分消费、积分优惠券和非积分优惠券</w:t>
            </w:r>
          </w:p>
        </w:tc>
        <w:tc>
          <w:tcPr>
            <w:tcW w:w="1145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Y（优惠券中的代金券）</w:t>
            </w:r>
          </w:p>
        </w:tc>
        <w:tc>
          <w:tcPr>
            <w:tcW w:w="992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Y（优惠券折扣</w:t>
            </w:r>
            <w:proofErr w:type="gramStart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(优惠券的其它类)</w:t>
            </w:r>
          </w:p>
        </w:tc>
        <w:tc>
          <w:tcPr>
            <w:tcW w:w="76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BD2121" w:rsidRPr="00D853AD" w:rsidTr="00EA043C">
        <w:trPr>
          <w:trHeight w:val="468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 w:rsidP="00EA043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积分核算需要ERP系统设置相应的核算科目和接口</w:t>
            </w:r>
          </w:p>
        </w:tc>
        <w:tc>
          <w:tcPr>
            <w:tcW w:w="114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  <w:r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76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BD2121" w:rsidRPr="00D853AD" w:rsidTr="006413BD">
        <w:trPr>
          <w:trHeight w:val="1455"/>
        </w:trPr>
        <w:tc>
          <w:tcPr>
            <w:tcW w:w="1562" w:type="dxa"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税务的需求：从loyalty 系统中抽出客户特定时期兑换loyalty 积分金额。该部分金额需打印在顾客第二次充值的发票上。（由于税收政策的规定，所有折扣金额必须打印到发票上。如果没有打印折扣金额，折扣部分的金额将视同销售。为此我司要为折扣补缴税金。）</w:t>
            </w:r>
          </w:p>
        </w:tc>
        <w:tc>
          <w:tcPr>
            <w:tcW w:w="114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  <w:r w:rsidRPr="00BD2121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BD2121" w:rsidRPr="00D853AD" w:rsidTr="006413BD">
        <w:trPr>
          <w:trHeight w:val="1440"/>
        </w:trPr>
        <w:tc>
          <w:tcPr>
            <w:tcW w:w="1562" w:type="dxa"/>
            <w:vMerge w:val="restart"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七、及时奖励，提货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/优惠券等</w:t>
            </w: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提货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与优惠券（折扣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/代金券等）：明确有效期，明确费用分担，有效期内未使用其价值被视为收入，不能兑换现金。在油站室内兑换，每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使用一次。系统需要有防伪机制。预留未来支付系统完成后线上兑换可行性。</w:t>
            </w:r>
          </w:p>
        </w:tc>
        <w:tc>
          <w:tcPr>
            <w:tcW w:w="1145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Y（优惠券中的代金券）</w:t>
            </w:r>
          </w:p>
        </w:tc>
        <w:tc>
          <w:tcPr>
            <w:tcW w:w="992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Y（优惠券折扣</w:t>
            </w:r>
            <w:proofErr w:type="gramStart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(优惠券的其它类)</w:t>
            </w:r>
          </w:p>
        </w:tc>
        <w:tc>
          <w:tcPr>
            <w:tcW w:w="765" w:type="dxa"/>
            <w:noWrap/>
            <w:hideMark/>
          </w:tcPr>
          <w:p w:rsidR="00BD2121" w:rsidRPr="00D853A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</w:tr>
      <w:tr w:rsidR="00BD2121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提货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与优惠券（折扣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/代金券等）的规则与对应的积分规则需要一致，这样可以保持帐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核算的一致性</w:t>
            </w:r>
          </w:p>
        </w:tc>
        <w:tc>
          <w:tcPr>
            <w:tcW w:w="1145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Y（优惠券中的代金券）</w:t>
            </w:r>
          </w:p>
        </w:tc>
        <w:tc>
          <w:tcPr>
            <w:tcW w:w="992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Y（优惠券折扣</w:t>
            </w:r>
            <w:proofErr w:type="gramStart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(优惠券的其它类)</w:t>
            </w:r>
          </w:p>
        </w:tc>
        <w:tc>
          <w:tcPr>
            <w:tcW w:w="765" w:type="dxa"/>
            <w:noWrap/>
          </w:tcPr>
          <w:p w:rsidR="00BD2121" w:rsidRPr="00D853A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</w:tr>
      <w:tr w:rsidR="00BD2121" w:rsidRPr="00D853AD" w:rsidTr="003D4F04">
        <w:trPr>
          <w:trHeight w:val="705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可以用于兑换燃油、润滑油、便利店产品，包括未来第三方合作伙伴产品。</w:t>
            </w:r>
          </w:p>
        </w:tc>
        <w:tc>
          <w:tcPr>
            <w:tcW w:w="1145" w:type="dxa"/>
            <w:noWrap/>
          </w:tcPr>
          <w:p w:rsidR="00BD2121" w:rsidRPr="003D4F04" w:rsidRDefault="00660143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Y(燃油)</w:t>
            </w:r>
          </w:p>
        </w:tc>
        <w:tc>
          <w:tcPr>
            <w:tcW w:w="992" w:type="dxa"/>
            <w:noWrap/>
          </w:tcPr>
          <w:p w:rsidR="00BD2121" w:rsidRPr="006413BD" w:rsidRDefault="00660143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  <w: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  <w:t>（</w:t>
            </w:r>
            <w:r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非油</w:t>
            </w:r>
            <w: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</w:p>
        </w:tc>
        <w:tc>
          <w:tcPr>
            <w:tcW w:w="765" w:type="dxa"/>
            <w:noWrap/>
          </w:tcPr>
          <w:p w:rsidR="00BD2121" w:rsidRPr="00D853AD" w:rsidRDefault="00660143" w:rsidP="000D33C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Y(第三方)</w:t>
            </w:r>
          </w:p>
        </w:tc>
      </w:tr>
      <w:tr w:rsidR="00BD2121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提货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与优惠券（折扣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/代金券等）的交易前确认及辨识不同类型。（在油站是不同的财务计入方法）</w:t>
            </w:r>
          </w:p>
        </w:tc>
        <w:tc>
          <w:tcPr>
            <w:tcW w:w="1145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Y（优惠券中的代金券）</w:t>
            </w:r>
          </w:p>
        </w:tc>
        <w:tc>
          <w:tcPr>
            <w:tcW w:w="992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Y（优惠券折扣</w:t>
            </w:r>
            <w:proofErr w:type="gramStart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(优惠券的其它类)</w:t>
            </w:r>
          </w:p>
        </w:tc>
        <w:tc>
          <w:tcPr>
            <w:tcW w:w="765" w:type="dxa"/>
            <w:noWrap/>
          </w:tcPr>
          <w:p w:rsidR="00BD2121" w:rsidRPr="00D853A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</w:tr>
      <w:tr w:rsidR="00BD2121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提货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与优惠券（折扣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券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/代金券等），连接EPS系统</w:t>
            </w:r>
          </w:p>
        </w:tc>
        <w:tc>
          <w:tcPr>
            <w:tcW w:w="1145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Y（优惠券中的代金券）</w:t>
            </w:r>
          </w:p>
        </w:tc>
        <w:tc>
          <w:tcPr>
            <w:tcW w:w="992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Y（优惠券折扣</w:t>
            </w:r>
            <w:proofErr w:type="gramStart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(优惠券的其它类)</w:t>
            </w:r>
          </w:p>
        </w:tc>
        <w:tc>
          <w:tcPr>
            <w:tcW w:w="765" w:type="dxa"/>
            <w:noWrap/>
          </w:tcPr>
          <w:p w:rsidR="00BD2121" w:rsidRPr="00D853A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</w:tr>
      <w:tr w:rsidR="00BD2121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支持与积分无关的赠券的使用</w:t>
            </w:r>
          </w:p>
        </w:tc>
        <w:tc>
          <w:tcPr>
            <w:tcW w:w="1145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Y（优惠券中的代金券）</w:t>
            </w:r>
          </w:p>
        </w:tc>
        <w:tc>
          <w:tcPr>
            <w:tcW w:w="992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Y（优惠券折扣</w:t>
            </w:r>
            <w:proofErr w:type="gramStart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(优惠券的其它类)</w:t>
            </w:r>
          </w:p>
        </w:tc>
        <w:tc>
          <w:tcPr>
            <w:tcW w:w="765" w:type="dxa"/>
            <w:noWrap/>
          </w:tcPr>
          <w:p w:rsidR="00BD2121" w:rsidRPr="00D853A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</w:tr>
      <w:tr w:rsidR="00BD2121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使用规则包含但不限于：不同法律实体（分公司）、油站、室内使用、室外使用、所有产品、支付方式、时间等</w:t>
            </w:r>
          </w:p>
        </w:tc>
        <w:tc>
          <w:tcPr>
            <w:tcW w:w="1145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Y（优惠券中的代金券）</w:t>
            </w:r>
          </w:p>
        </w:tc>
        <w:tc>
          <w:tcPr>
            <w:tcW w:w="992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Y（优惠券折扣</w:t>
            </w:r>
            <w:proofErr w:type="gramStart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(优惠券的其它类)</w:t>
            </w:r>
          </w:p>
        </w:tc>
        <w:tc>
          <w:tcPr>
            <w:tcW w:w="765" w:type="dxa"/>
            <w:noWrap/>
          </w:tcPr>
          <w:p w:rsidR="00BD2121" w:rsidRPr="00D853A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</w:tr>
      <w:tr w:rsidR="00BD2121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优惠券使用务必不能手工对帐</w:t>
            </w:r>
          </w:p>
        </w:tc>
        <w:tc>
          <w:tcPr>
            <w:tcW w:w="1145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Y（优惠券中的代金券）</w:t>
            </w:r>
          </w:p>
        </w:tc>
        <w:tc>
          <w:tcPr>
            <w:tcW w:w="992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 xml:space="preserve">　Y（优惠券折扣</w:t>
            </w:r>
            <w:proofErr w:type="gramStart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券</w:t>
            </w:r>
            <w:proofErr w:type="gramEnd"/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）</w:t>
            </w:r>
          </w:p>
        </w:tc>
        <w:tc>
          <w:tcPr>
            <w:tcW w:w="993" w:type="dxa"/>
            <w:noWrap/>
            <w:hideMark/>
          </w:tcPr>
          <w:p w:rsidR="00BD2121" w:rsidRPr="006413B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highlight w:val="yellow"/>
                <w:lang w:eastAsia="zh-CN"/>
              </w:rPr>
            </w:pPr>
            <w:r w:rsidRPr="006413BD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 (优惠券的其它类)</w:t>
            </w:r>
          </w:p>
        </w:tc>
        <w:tc>
          <w:tcPr>
            <w:tcW w:w="765" w:type="dxa"/>
            <w:noWrap/>
          </w:tcPr>
          <w:p w:rsidR="00BD2121" w:rsidRPr="00D853AD" w:rsidRDefault="00BD2121" w:rsidP="000D33CC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</w:tr>
      <w:tr w:rsidR="00BD2121" w:rsidRPr="00D853AD" w:rsidTr="006413BD">
        <w:trPr>
          <w:trHeight w:val="330"/>
        </w:trPr>
        <w:tc>
          <w:tcPr>
            <w:tcW w:w="1562" w:type="dxa"/>
            <w:vMerge w:val="restart"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八、报告&amp;品牌</w:t>
            </w: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积分相关报表报告需求；根据权限设置查询数据资格。</w:t>
            </w:r>
          </w:p>
        </w:tc>
        <w:tc>
          <w:tcPr>
            <w:tcW w:w="114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BD2121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在壳牌VI下使用品牌信息、logo、设计</w:t>
            </w:r>
          </w:p>
        </w:tc>
        <w:tc>
          <w:tcPr>
            <w:tcW w:w="114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BD2121" w:rsidRPr="00D853AD" w:rsidTr="006413BD">
        <w:trPr>
          <w:trHeight w:val="660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APP需包含不限于下面功能：站点定位、新闻促销、推送信息、Loyalty功能、CSC客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服电话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链接、壳牌</w:t>
            </w:r>
            <w:r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华北</w:t>
            </w:r>
            <w:r>
              <w:rPr>
                <w:rFonts w:ascii="微软雅黑" w:eastAsia="微软雅黑" w:hAnsi="微软雅黑"/>
                <w:sz w:val="15"/>
                <w:szCs w:val="15"/>
                <w:lang w:eastAsia="zh-CN"/>
              </w:rPr>
              <w:t>集团</w:t>
            </w: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提议、合作伙伴提议、支付方案嵌入、允许顾客查询积分余额、社交功能、汽车额外服务，获取顾客位置信息等。</w:t>
            </w:r>
          </w:p>
        </w:tc>
        <w:tc>
          <w:tcPr>
            <w:tcW w:w="114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993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BD2121" w:rsidRPr="00D853AD" w:rsidTr="006413BD">
        <w:trPr>
          <w:trHeight w:val="330"/>
        </w:trPr>
        <w:tc>
          <w:tcPr>
            <w:tcW w:w="1562" w:type="dxa"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九、其它</w:t>
            </w: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系统允许并行混合多种促销方式，可设置优先级，系统可设置是否可叠加</w:t>
            </w:r>
          </w:p>
        </w:tc>
        <w:tc>
          <w:tcPr>
            <w:tcW w:w="114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76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BD2121" w:rsidRPr="00D853AD" w:rsidTr="006413BD">
        <w:trPr>
          <w:trHeight w:val="330"/>
        </w:trPr>
        <w:tc>
          <w:tcPr>
            <w:tcW w:w="1562" w:type="dxa"/>
            <w:vMerge w:val="restart"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十、法</w:t>
            </w:r>
            <w:proofErr w:type="gramStart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务</w:t>
            </w:r>
            <w:proofErr w:type="gramEnd"/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财务</w:t>
            </w: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不同法律实体间需要实现积分通发通兑。</w:t>
            </w:r>
          </w:p>
        </w:tc>
        <w:tc>
          <w:tcPr>
            <w:tcW w:w="114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  <w:r w:rsidR="00EA043C" w:rsidRPr="00EA043C">
              <w:rPr>
                <w:rFonts w:ascii="微软雅黑" w:eastAsia="微软雅黑" w:hAnsi="微软雅黑" w:hint="eastAsia"/>
                <w:sz w:val="15"/>
                <w:szCs w:val="15"/>
                <w:highlight w:val="yellow"/>
                <w:lang w:eastAsia="zh-CN"/>
              </w:rPr>
              <w:t>Y</w:t>
            </w:r>
          </w:p>
        </w:tc>
        <w:tc>
          <w:tcPr>
            <w:tcW w:w="992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993" w:type="dxa"/>
            <w:noWrap/>
            <w:hideMark/>
          </w:tcPr>
          <w:p w:rsidR="00BD2121" w:rsidRPr="00D853AD" w:rsidRDefault="00BD2121" w:rsidP="00EB3EC4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  <w:tr w:rsidR="00BD2121" w:rsidRPr="00D853AD" w:rsidTr="006413BD">
        <w:trPr>
          <w:trHeight w:val="330"/>
        </w:trPr>
        <w:tc>
          <w:tcPr>
            <w:tcW w:w="1562" w:type="dxa"/>
            <w:vMerge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</w:p>
        </w:tc>
        <w:tc>
          <w:tcPr>
            <w:tcW w:w="4239" w:type="dxa"/>
            <w:hideMark/>
          </w:tcPr>
          <w:p w:rsidR="00BD2121" w:rsidRPr="00D853AD" w:rsidRDefault="00BD2121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顾客更换城市，可实现积分转移</w:t>
            </w:r>
          </w:p>
        </w:tc>
        <w:tc>
          <w:tcPr>
            <w:tcW w:w="114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765" w:type="dxa"/>
            <w:noWrap/>
            <w:hideMark/>
          </w:tcPr>
          <w:p w:rsidR="00BD2121" w:rsidRPr="00D853AD" w:rsidRDefault="00BD2121" w:rsidP="00D853AD">
            <w:pPr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D853AD">
              <w:rPr>
                <w:rFonts w:ascii="微软雅黑" w:eastAsia="微软雅黑" w:hAnsi="微软雅黑" w:hint="eastAsia"/>
                <w:sz w:val="15"/>
                <w:szCs w:val="15"/>
                <w:lang w:eastAsia="zh-CN"/>
              </w:rPr>
              <w:t xml:space="preserve">　</w:t>
            </w:r>
          </w:p>
        </w:tc>
      </w:tr>
    </w:tbl>
    <w:p w:rsidR="00C4684C" w:rsidRPr="00191064" w:rsidRDefault="00C4684C">
      <w:pPr>
        <w:rPr>
          <w:rFonts w:ascii="微软雅黑" w:eastAsia="微软雅黑" w:hAnsi="微软雅黑"/>
          <w:sz w:val="15"/>
          <w:szCs w:val="15"/>
          <w:lang w:eastAsia="zh-CN"/>
        </w:rPr>
      </w:pPr>
    </w:p>
    <w:sectPr w:rsidR="00C4684C" w:rsidRPr="0019106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552" w:rsidRDefault="00781552" w:rsidP="008454D6">
      <w:pPr>
        <w:spacing w:after="0"/>
      </w:pPr>
      <w:r>
        <w:separator/>
      </w:r>
    </w:p>
  </w:endnote>
  <w:endnote w:type="continuationSeparator" w:id="0">
    <w:p w:rsidR="00781552" w:rsidRDefault="00781552" w:rsidP="008454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utura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utura Light"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552" w:rsidRDefault="00781552" w:rsidP="008454D6">
      <w:pPr>
        <w:spacing w:after="0"/>
      </w:pPr>
      <w:r>
        <w:separator/>
      </w:r>
    </w:p>
  </w:footnote>
  <w:footnote w:type="continuationSeparator" w:id="0">
    <w:p w:rsidR="00781552" w:rsidRDefault="00781552" w:rsidP="008454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C9C" w:rsidRPr="008454D6" w:rsidRDefault="000D1C9C">
    <w:pPr>
      <w:pStyle w:val="a4"/>
      <w:rPr>
        <w:rFonts w:ascii="黑体" w:eastAsia="黑体" w:hAnsi="黑体"/>
        <w:sz w:val="32"/>
        <w:szCs w:val="32"/>
        <w:lang w:eastAsia="zh-CN"/>
      </w:rPr>
    </w:pPr>
    <w:r w:rsidRPr="008454D6">
      <w:rPr>
        <w:rFonts w:ascii="黑体" w:eastAsia="黑体" w:hAnsi="黑体" w:hint="eastAsia"/>
        <w:sz w:val="32"/>
        <w:szCs w:val="32"/>
        <w:lang w:eastAsia="zh-CN"/>
      </w:rPr>
      <w:t>华北</w:t>
    </w:r>
    <w:r w:rsidRPr="008454D6">
      <w:rPr>
        <w:rFonts w:ascii="黑体" w:eastAsia="黑体" w:hAnsi="黑体"/>
        <w:sz w:val="32"/>
        <w:szCs w:val="32"/>
        <w:lang w:eastAsia="zh-CN"/>
      </w:rPr>
      <w:t>集团忠诚</w:t>
    </w:r>
    <w:proofErr w:type="gramStart"/>
    <w:r w:rsidRPr="008454D6">
      <w:rPr>
        <w:rFonts w:ascii="黑体" w:eastAsia="黑体" w:hAnsi="黑体"/>
        <w:sz w:val="32"/>
        <w:szCs w:val="32"/>
        <w:lang w:eastAsia="zh-CN"/>
      </w:rPr>
      <w:t>度需求</w:t>
    </w:r>
    <w:proofErr w:type="gramEnd"/>
    <w:r w:rsidRPr="008454D6">
      <w:rPr>
        <w:rFonts w:ascii="黑体" w:eastAsia="黑体" w:hAnsi="黑体"/>
        <w:sz w:val="32"/>
        <w:szCs w:val="32"/>
        <w:lang w:eastAsia="zh-CN"/>
      </w:rPr>
      <w:t>清单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E3858"/>
    <w:multiLevelType w:val="multilevel"/>
    <w:tmpl w:val="B4FA817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6D936B11"/>
    <w:multiLevelType w:val="hybridMultilevel"/>
    <w:tmpl w:val="02E2E3EA"/>
    <w:lvl w:ilvl="0" w:tplc="230041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CE"/>
    <w:rsid w:val="00011D77"/>
    <w:rsid w:val="000448E8"/>
    <w:rsid w:val="00052D73"/>
    <w:rsid w:val="00067A96"/>
    <w:rsid w:val="0007561D"/>
    <w:rsid w:val="000C1ADC"/>
    <w:rsid w:val="000D1C9C"/>
    <w:rsid w:val="000D2129"/>
    <w:rsid w:val="000F15BE"/>
    <w:rsid w:val="001209BC"/>
    <w:rsid w:val="00140431"/>
    <w:rsid w:val="00140B46"/>
    <w:rsid w:val="00143CCE"/>
    <w:rsid w:val="001827E1"/>
    <w:rsid w:val="00191064"/>
    <w:rsid w:val="00194B7C"/>
    <w:rsid w:val="001C6DB6"/>
    <w:rsid w:val="001D33A2"/>
    <w:rsid w:val="00203C2B"/>
    <w:rsid w:val="00225579"/>
    <w:rsid w:val="00297267"/>
    <w:rsid w:val="003C39FC"/>
    <w:rsid w:val="003C41DF"/>
    <w:rsid w:val="003D4F04"/>
    <w:rsid w:val="00404C4A"/>
    <w:rsid w:val="00444367"/>
    <w:rsid w:val="004554AA"/>
    <w:rsid w:val="0048293A"/>
    <w:rsid w:val="00497412"/>
    <w:rsid w:val="004B0655"/>
    <w:rsid w:val="004C5492"/>
    <w:rsid w:val="00516C86"/>
    <w:rsid w:val="0055099F"/>
    <w:rsid w:val="005628A1"/>
    <w:rsid w:val="005639D8"/>
    <w:rsid w:val="00566613"/>
    <w:rsid w:val="00581273"/>
    <w:rsid w:val="005C3D7D"/>
    <w:rsid w:val="005F4095"/>
    <w:rsid w:val="00601E18"/>
    <w:rsid w:val="0063358E"/>
    <w:rsid w:val="006413BD"/>
    <w:rsid w:val="00660143"/>
    <w:rsid w:val="00685DF6"/>
    <w:rsid w:val="006B7B28"/>
    <w:rsid w:val="00702E1B"/>
    <w:rsid w:val="0073676D"/>
    <w:rsid w:val="00756118"/>
    <w:rsid w:val="00781552"/>
    <w:rsid w:val="0079255D"/>
    <w:rsid w:val="007A25E5"/>
    <w:rsid w:val="007A6F10"/>
    <w:rsid w:val="007E383F"/>
    <w:rsid w:val="007F60B5"/>
    <w:rsid w:val="00801854"/>
    <w:rsid w:val="00801941"/>
    <w:rsid w:val="00836EBA"/>
    <w:rsid w:val="00840D26"/>
    <w:rsid w:val="008454D6"/>
    <w:rsid w:val="00877D0E"/>
    <w:rsid w:val="008E0F07"/>
    <w:rsid w:val="00912F8E"/>
    <w:rsid w:val="00923E77"/>
    <w:rsid w:val="00960506"/>
    <w:rsid w:val="00970029"/>
    <w:rsid w:val="00985987"/>
    <w:rsid w:val="009D0618"/>
    <w:rsid w:val="009E572D"/>
    <w:rsid w:val="009F3D24"/>
    <w:rsid w:val="009F6AE4"/>
    <w:rsid w:val="00A10AEF"/>
    <w:rsid w:val="00A1215A"/>
    <w:rsid w:val="00A76F2A"/>
    <w:rsid w:val="00A771D4"/>
    <w:rsid w:val="00A8363F"/>
    <w:rsid w:val="00AA5F79"/>
    <w:rsid w:val="00AD7BD7"/>
    <w:rsid w:val="00AE7CC1"/>
    <w:rsid w:val="00B116DE"/>
    <w:rsid w:val="00B25E5C"/>
    <w:rsid w:val="00B40B5C"/>
    <w:rsid w:val="00B528B8"/>
    <w:rsid w:val="00BC4B3B"/>
    <w:rsid w:val="00BC6D89"/>
    <w:rsid w:val="00BD2121"/>
    <w:rsid w:val="00BF689D"/>
    <w:rsid w:val="00C16707"/>
    <w:rsid w:val="00C4684C"/>
    <w:rsid w:val="00C47B96"/>
    <w:rsid w:val="00C5271B"/>
    <w:rsid w:val="00C657C8"/>
    <w:rsid w:val="00D455E7"/>
    <w:rsid w:val="00D70941"/>
    <w:rsid w:val="00D73254"/>
    <w:rsid w:val="00D75B15"/>
    <w:rsid w:val="00D853AD"/>
    <w:rsid w:val="00D925C0"/>
    <w:rsid w:val="00DA6588"/>
    <w:rsid w:val="00DF5728"/>
    <w:rsid w:val="00E30B79"/>
    <w:rsid w:val="00E622AD"/>
    <w:rsid w:val="00E97270"/>
    <w:rsid w:val="00EA043C"/>
    <w:rsid w:val="00EB3EC4"/>
    <w:rsid w:val="00EC5F33"/>
    <w:rsid w:val="00EE16D0"/>
    <w:rsid w:val="00EE1CE1"/>
    <w:rsid w:val="00F316D0"/>
    <w:rsid w:val="00F405FD"/>
    <w:rsid w:val="00F45CAD"/>
    <w:rsid w:val="00F5098B"/>
    <w:rsid w:val="00F75498"/>
    <w:rsid w:val="00F9544C"/>
    <w:rsid w:val="00FA6F03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4D6"/>
    <w:pPr>
      <w:spacing w:after="60"/>
    </w:pPr>
    <w:rPr>
      <w:rFonts w:ascii="Arial" w:eastAsia="宋体" w:hAnsi="Arial" w:cs="Times New Roman"/>
      <w:kern w:val="0"/>
      <w:sz w:val="20"/>
      <w:szCs w:val="24"/>
      <w:lang w:val="en-GB" w:eastAsia="en-US"/>
    </w:rPr>
  </w:style>
  <w:style w:type="paragraph" w:styleId="1">
    <w:name w:val="heading 1"/>
    <w:basedOn w:val="a"/>
    <w:next w:val="a"/>
    <w:link w:val="1Char"/>
    <w:qFormat/>
    <w:rsid w:val="008454D6"/>
    <w:pPr>
      <w:keepNext/>
      <w:widowControl w:val="0"/>
      <w:numPr>
        <w:numId w:val="1"/>
      </w:numPr>
      <w:tabs>
        <w:tab w:val="clear" w:pos="360"/>
        <w:tab w:val="num" w:pos="567"/>
      </w:tabs>
      <w:autoSpaceDE w:val="0"/>
      <w:autoSpaceDN w:val="0"/>
      <w:adjustRightInd w:val="0"/>
      <w:spacing w:before="240" w:after="120"/>
      <w:ind w:left="567" w:hanging="567"/>
      <w:textAlignment w:val="center"/>
      <w:outlineLvl w:val="0"/>
    </w:pPr>
    <w:rPr>
      <w:rFonts w:ascii="Futura Bold" w:hAnsi="Futura Bold"/>
      <w:b/>
      <w:color w:val="005495"/>
      <w:sz w:val="28"/>
      <w:szCs w:val="28"/>
    </w:rPr>
  </w:style>
  <w:style w:type="paragraph" w:styleId="2">
    <w:name w:val="heading 2"/>
    <w:basedOn w:val="a"/>
    <w:next w:val="a"/>
    <w:link w:val="2Char"/>
    <w:qFormat/>
    <w:rsid w:val="008454D6"/>
    <w:pPr>
      <w:keepNext/>
      <w:widowControl w:val="0"/>
      <w:numPr>
        <w:ilvl w:val="1"/>
        <w:numId w:val="1"/>
      </w:numPr>
      <w:tabs>
        <w:tab w:val="clear" w:pos="1080"/>
        <w:tab w:val="num" w:pos="851"/>
      </w:tabs>
      <w:autoSpaceDE w:val="0"/>
      <w:autoSpaceDN w:val="0"/>
      <w:adjustRightInd w:val="0"/>
      <w:spacing w:before="60" w:after="120"/>
      <w:ind w:left="567" w:hanging="567"/>
      <w:textAlignment w:val="center"/>
      <w:outlineLvl w:val="1"/>
    </w:pPr>
    <w:rPr>
      <w:rFonts w:ascii="Futura Medium" w:hAnsi="Futura Medium"/>
      <w:b/>
      <w:color w:val="005495"/>
      <w:sz w:val="24"/>
    </w:rPr>
  </w:style>
  <w:style w:type="paragraph" w:styleId="3">
    <w:name w:val="heading 3"/>
    <w:basedOn w:val="2"/>
    <w:next w:val="a"/>
    <w:link w:val="3Char"/>
    <w:qFormat/>
    <w:rsid w:val="008454D6"/>
    <w:pPr>
      <w:keepLines/>
      <w:numPr>
        <w:ilvl w:val="2"/>
      </w:numPr>
      <w:tabs>
        <w:tab w:val="clear" w:pos="1224"/>
        <w:tab w:val="left" w:pos="851"/>
      </w:tabs>
      <w:spacing w:before="120" w:after="60"/>
      <w:ind w:left="851" w:hanging="851"/>
      <w:outlineLvl w:val="2"/>
    </w:pPr>
    <w:rPr>
      <w:color w:val="auto"/>
      <w:kern w:val="2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454D6"/>
    <w:rPr>
      <w:rFonts w:ascii="Futura Bold" w:eastAsia="宋体" w:hAnsi="Futura Bold" w:cs="Times New Roman"/>
      <w:b/>
      <w:color w:val="005495"/>
      <w:kern w:val="0"/>
      <w:sz w:val="28"/>
      <w:szCs w:val="28"/>
      <w:lang w:val="en-GB" w:eastAsia="en-US"/>
    </w:rPr>
  </w:style>
  <w:style w:type="character" w:customStyle="1" w:styleId="2Char">
    <w:name w:val="标题 2 Char"/>
    <w:basedOn w:val="a0"/>
    <w:link w:val="2"/>
    <w:rsid w:val="008454D6"/>
    <w:rPr>
      <w:rFonts w:ascii="Futura Medium" w:eastAsia="宋体" w:hAnsi="Futura Medium" w:cs="Times New Roman"/>
      <w:b/>
      <w:color w:val="005495"/>
      <w:kern w:val="0"/>
      <w:sz w:val="24"/>
      <w:szCs w:val="24"/>
      <w:lang w:val="en-GB" w:eastAsia="en-US"/>
    </w:rPr>
  </w:style>
  <w:style w:type="character" w:customStyle="1" w:styleId="3Char">
    <w:name w:val="标题 3 Char"/>
    <w:basedOn w:val="a0"/>
    <w:link w:val="3"/>
    <w:rsid w:val="008454D6"/>
    <w:rPr>
      <w:rFonts w:ascii="Futura Medium" w:eastAsia="宋体" w:hAnsi="Futura Medium" w:cs="Times New Roman"/>
      <w:b/>
      <w:kern w:val="28"/>
      <w:sz w:val="22"/>
      <w:szCs w:val="24"/>
      <w:lang w:val="en-GB" w:eastAsia="en-US"/>
    </w:rPr>
  </w:style>
  <w:style w:type="paragraph" w:customStyle="1" w:styleId="InstructionText">
    <w:name w:val="Instruction Text"/>
    <w:basedOn w:val="a3"/>
    <w:rsid w:val="008454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utura Light" w:hAnsi="Futura Light"/>
      <w:i/>
      <w:color w:val="CC0000"/>
    </w:rPr>
  </w:style>
  <w:style w:type="paragraph" w:styleId="a3">
    <w:name w:val="Body Text"/>
    <w:basedOn w:val="a"/>
    <w:link w:val="Char"/>
    <w:uiPriority w:val="99"/>
    <w:semiHidden/>
    <w:unhideWhenUsed/>
    <w:rsid w:val="008454D6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8454D6"/>
    <w:rPr>
      <w:rFonts w:ascii="Arial" w:eastAsia="宋体" w:hAnsi="Arial" w:cs="Times New Roman"/>
      <w:kern w:val="0"/>
      <w:sz w:val="20"/>
      <w:szCs w:val="24"/>
      <w:lang w:val="en-GB" w:eastAsia="en-US"/>
    </w:rPr>
  </w:style>
  <w:style w:type="paragraph" w:styleId="a4">
    <w:name w:val="header"/>
    <w:basedOn w:val="a"/>
    <w:link w:val="Char0"/>
    <w:uiPriority w:val="99"/>
    <w:unhideWhenUsed/>
    <w:rsid w:val="00845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454D6"/>
    <w:rPr>
      <w:rFonts w:ascii="Arial" w:eastAsia="宋体" w:hAnsi="Arial" w:cs="Times New Roman"/>
      <w:kern w:val="0"/>
      <w:sz w:val="18"/>
      <w:szCs w:val="18"/>
      <w:lang w:val="en-GB" w:eastAsia="en-US"/>
    </w:rPr>
  </w:style>
  <w:style w:type="paragraph" w:styleId="a5">
    <w:name w:val="footer"/>
    <w:basedOn w:val="a"/>
    <w:link w:val="Char1"/>
    <w:uiPriority w:val="99"/>
    <w:unhideWhenUsed/>
    <w:rsid w:val="008454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454D6"/>
    <w:rPr>
      <w:rFonts w:ascii="Arial" w:eastAsia="宋体" w:hAnsi="Arial" w:cs="Times New Roman"/>
      <w:kern w:val="0"/>
      <w:sz w:val="18"/>
      <w:szCs w:val="18"/>
      <w:lang w:val="en-GB" w:eastAsia="en-US"/>
    </w:rPr>
  </w:style>
  <w:style w:type="table" w:styleId="a6">
    <w:name w:val="Table Grid"/>
    <w:basedOn w:val="a1"/>
    <w:uiPriority w:val="39"/>
    <w:rsid w:val="00191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5628A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628A1"/>
    <w:rPr>
      <w:rFonts w:ascii="Arial" w:eastAsia="宋体" w:hAnsi="Arial" w:cs="Times New Roman"/>
      <w:kern w:val="0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4D6"/>
    <w:pPr>
      <w:spacing w:after="60"/>
    </w:pPr>
    <w:rPr>
      <w:rFonts w:ascii="Arial" w:eastAsia="宋体" w:hAnsi="Arial" w:cs="Times New Roman"/>
      <w:kern w:val="0"/>
      <w:sz w:val="20"/>
      <w:szCs w:val="24"/>
      <w:lang w:val="en-GB" w:eastAsia="en-US"/>
    </w:rPr>
  </w:style>
  <w:style w:type="paragraph" w:styleId="1">
    <w:name w:val="heading 1"/>
    <w:basedOn w:val="a"/>
    <w:next w:val="a"/>
    <w:link w:val="1Char"/>
    <w:qFormat/>
    <w:rsid w:val="008454D6"/>
    <w:pPr>
      <w:keepNext/>
      <w:widowControl w:val="0"/>
      <w:numPr>
        <w:numId w:val="1"/>
      </w:numPr>
      <w:tabs>
        <w:tab w:val="clear" w:pos="360"/>
        <w:tab w:val="num" w:pos="567"/>
      </w:tabs>
      <w:autoSpaceDE w:val="0"/>
      <w:autoSpaceDN w:val="0"/>
      <w:adjustRightInd w:val="0"/>
      <w:spacing w:before="240" w:after="120"/>
      <w:ind w:left="567" w:hanging="567"/>
      <w:textAlignment w:val="center"/>
      <w:outlineLvl w:val="0"/>
    </w:pPr>
    <w:rPr>
      <w:rFonts w:ascii="Futura Bold" w:hAnsi="Futura Bold"/>
      <w:b/>
      <w:color w:val="005495"/>
      <w:sz w:val="28"/>
      <w:szCs w:val="28"/>
    </w:rPr>
  </w:style>
  <w:style w:type="paragraph" w:styleId="2">
    <w:name w:val="heading 2"/>
    <w:basedOn w:val="a"/>
    <w:next w:val="a"/>
    <w:link w:val="2Char"/>
    <w:qFormat/>
    <w:rsid w:val="008454D6"/>
    <w:pPr>
      <w:keepNext/>
      <w:widowControl w:val="0"/>
      <w:numPr>
        <w:ilvl w:val="1"/>
        <w:numId w:val="1"/>
      </w:numPr>
      <w:tabs>
        <w:tab w:val="clear" w:pos="1080"/>
        <w:tab w:val="num" w:pos="851"/>
      </w:tabs>
      <w:autoSpaceDE w:val="0"/>
      <w:autoSpaceDN w:val="0"/>
      <w:adjustRightInd w:val="0"/>
      <w:spacing w:before="60" w:after="120"/>
      <w:ind w:left="567" w:hanging="567"/>
      <w:textAlignment w:val="center"/>
      <w:outlineLvl w:val="1"/>
    </w:pPr>
    <w:rPr>
      <w:rFonts w:ascii="Futura Medium" w:hAnsi="Futura Medium"/>
      <w:b/>
      <w:color w:val="005495"/>
      <w:sz w:val="24"/>
    </w:rPr>
  </w:style>
  <w:style w:type="paragraph" w:styleId="3">
    <w:name w:val="heading 3"/>
    <w:basedOn w:val="2"/>
    <w:next w:val="a"/>
    <w:link w:val="3Char"/>
    <w:qFormat/>
    <w:rsid w:val="008454D6"/>
    <w:pPr>
      <w:keepLines/>
      <w:numPr>
        <w:ilvl w:val="2"/>
      </w:numPr>
      <w:tabs>
        <w:tab w:val="clear" w:pos="1224"/>
        <w:tab w:val="left" w:pos="851"/>
      </w:tabs>
      <w:spacing w:before="120" w:after="60"/>
      <w:ind w:left="851" w:hanging="851"/>
      <w:outlineLvl w:val="2"/>
    </w:pPr>
    <w:rPr>
      <w:color w:val="auto"/>
      <w:kern w:val="2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454D6"/>
    <w:rPr>
      <w:rFonts w:ascii="Futura Bold" w:eastAsia="宋体" w:hAnsi="Futura Bold" w:cs="Times New Roman"/>
      <w:b/>
      <w:color w:val="005495"/>
      <w:kern w:val="0"/>
      <w:sz w:val="28"/>
      <w:szCs w:val="28"/>
      <w:lang w:val="en-GB" w:eastAsia="en-US"/>
    </w:rPr>
  </w:style>
  <w:style w:type="character" w:customStyle="1" w:styleId="2Char">
    <w:name w:val="标题 2 Char"/>
    <w:basedOn w:val="a0"/>
    <w:link w:val="2"/>
    <w:rsid w:val="008454D6"/>
    <w:rPr>
      <w:rFonts w:ascii="Futura Medium" w:eastAsia="宋体" w:hAnsi="Futura Medium" w:cs="Times New Roman"/>
      <w:b/>
      <w:color w:val="005495"/>
      <w:kern w:val="0"/>
      <w:sz w:val="24"/>
      <w:szCs w:val="24"/>
      <w:lang w:val="en-GB" w:eastAsia="en-US"/>
    </w:rPr>
  </w:style>
  <w:style w:type="character" w:customStyle="1" w:styleId="3Char">
    <w:name w:val="标题 3 Char"/>
    <w:basedOn w:val="a0"/>
    <w:link w:val="3"/>
    <w:rsid w:val="008454D6"/>
    <w:rPr>
      <w:rFonts w:ascii="Futura Medium" w:eastAsia="宋体" w:hAnsi="Futura Medium" w:cs="Times New Roman"/>
      <w:b/>
      <w:kern w:val="28"/>
      <w:sz w:val="22"/>
      <w:szCs w:val="24"/>
      <w:lang w:val="en-GB" w:eastAsia="en-US"/>
    </w:rPr>
  </w:style>
  <w:style w:type="paragraph" w:customStyle="1" w:styleId="InstructionText">
    <w:name w:val="Instruction Text"/>
    <w:basedOn w:val="a3"/>
    <w:rsid w:val="008454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utura Light" w:hAnsi="Futura Light"/>
      <w:i/>
      <w:color w:val="CC0000"/>
    </w:rPr>
  </w:style>
  <w:style w:type="paragraph" w:styleId="a3">
    <w:name w:val="Body Text"/>
    <w:basedOn w:val="a"/>
    <w:link w:val="Char"/>
    <w:uiPriority w:val="99"/>
    <w:semiHidden/>
    <w:unhideWhenUsed/>
    <w:rsid w:val="008454D6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8454D6"/>
    <w:rPr>
      <w:rFonts w:ascii="Arial" w:eastAsia="宋体" w:hAnsi="Arial" w:cs="Times New Roman"/>
      <w:kern w:val="0"/>
      <w:sz w:val="20"/>
      <w:szCs w:val="24"/>
      <w:lang w:val="en-GB" w:eastAsia="en-US"/>
    </w:rPr>
  </w:style>
  <w:style w:type="paragraph" w:styleId="a4">
    <w:name w:val="header"/>
    <w:basedOn w:val="a"/>
    <w:link w:val="Char0"/>
    <w:uiPriority w:val="99"/>
    <w:unhideWhenUsed/>
    <w:rsid w:val="00845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454D6"/>
    <w:rPr>
      <w:rFonts w:ascii="Arial" w:eastAsia="宋体" w:hAnsi="Arial" w:cs="Times New Roman"/>
      <w:kern w:val="0"/>
      <w:sz w:val="18"/>
      <w:szCs w:val="18"/>
      <w:lang w:val="en-GB" w:eastAsia="en-US"/>
    </w:rPr>
  </w:style>
  <w:style w:type="paragraph" w:styleId="a5">
    <w:name w:val="footer"/>
    <w:basedOn w:val="a"/>
    <w:link w:val="Char1"/>
    <w:uiPriority w:val="99"/>
    <w:unhideWhenUsed/>
    <w:rsid w:val="008454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454D6"/>
    <w:rPr>
      <w:rFonts w:ascii="Arial" w:eastAsia="宋体" w:hAnsi="Arial" w:cs="Times New Roman"/>
      <w:kern w:val="0"/>
      <w:sz w:val="18"/>
      <w:szCs w:val="18"/>
      <w:lang w:val="en-GB" w:eastAsia="en-US"/>
    </w:rPr>
  </w:style>
  <w:style w:type="table" w:styleId="a6">
    <w:name w:val="Table Grid"/>
    <w:basedOn w:val="a1"/>
    <w:uiPriority w:val="39"/>
    <w:rsid w:val="00191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5628A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628A1"/>
    <w:rPr>
      <w:rFonts w:ascii="Arial" w:eastAsia="宋体" w:hAnsi="Arial" w:cs="Times New Roman"/>
      <w:kern w:val="0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视点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3551-E25E-46C5-A446-B6B21061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王娟</dc:creator>
  <cp:lastModifiedBy>yaoh</cp:lastModifiedBy>
  <cp:revision>1</cp:revision>
  <dcterms:created xsi:type="dcterms:W3CDTF">2016-07-18T23:51:00Z</dcterms:created>
  <dcterms:modified xsi:type="dcterms:W3CDTF">2016-07-18T23:51:00Z</dcterms:modified>
</cp:coreProperties>
</file>