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Investigation of Overall Rating Fairness in FIFA Games via Machine Learning Methods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Hanze Yao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Civil and Environmental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California Berkeley </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Berkeley, United States</w:t>
        <w:br w:type="textWrapping"/>
        <w:t xml:space="preserve">yaohanze2016@berkeley.edu</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Chao Wang</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of Civil and Environmental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University of California Berkeley</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Berkeley, United States</w:t>
        <w:br w:type="textWrapping"/>
        <w:t xml:space="preserve">chao_wang@berkeley.edu</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—FIFA is a football simulation game published by Electronic Arts. There is a long-existing claim </w:t>
      </w:r>
      <w:r w:rsidDel="00000000" w:rsidR="00000000" w:rsidRPr="00000000">
        <w:rPr>
          <w:b w:val="1"/>
          <w:sz w:val="18"/>
          <w:szCs w:val="18"/>
          <w:rtl w:val="0"/>
        </w:rPr>
        <w:t xml:space="preserve">in the FIFA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community that English Premier League (EPL) and England players have advantage on overall rating over other players with similar </w:t>
      </w:r>
      <w:r w:rsidDel="00000000" w:rsidR="00000000" w:rsidRPr="00000000">
        <w:rPr>
          <w:b w:val="1"/>
          <w:sz w:val="18"/>
          <w:szCs w:val="18"/>
          <w:rtl w:val="0"/>
        </w:rPr>
        <w:t xml:space="preserve">in-game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stats. Because England has one of the largest FIFA gaming </w:t>
      </w:r>
      <w:r w:rsidDel="00000000" w:rsidR="00000000" w:rsidRPr="00000000">
        <w:rPr>
          <w:b w:val="1"/>
          <w:sz w:val="18"/>
          <w:szCs w:val="18"/>
          <w:rtl w:val="0"/>
        </w:rPr>
        <w:t xml:space="preserve">communities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and EPL has the highest market value among all professional football leagues in the world. In this report, classification and neural network </w:t>
      </w:r>
      <w:r w:rsidDel="00000000" w:rsidR="00000000" w:rsidRPr="00000000">
        <w:rPr>
          <w:b w:val="1"/>
          <w:sz w:val="18"/>
          <w:szCs w:val="18"/>
          <w:rtl w:val="0"/>
        </w:rPr>
        <w:t xml:space="preserve">methods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are used to investigate the overall rating fairness from FIFA 15 to FIFA 20.</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Keywords—classification, neural network, fairness</w:t>
      </w:r>
    </w:p>
    <w:p w:rsidR="00000000" w:rsidDel="00000000" w:rsidP="00000000" w:rsidRDefault="00000000" w:rsidRPr="00000000" w14:paraId="0000000A">
      <w:pPr>
        <w:pStyle w:val="Heading1"/>
        <w:numPr>
          <w:ilvl w:val="0"/>
          <w:numId w:val="1"/>
        </w:numPr>
        <w:tabs>
          <w:tab w:val="left" w:pos="216"/>
        </w:tabs>
        <w:ind w:left="0" w:firstLine="216"/>
        <w:rPr/>
      </w:pPr>
      <w:r w:rsidDel="00000000" w:rsidR="00000000" w:rsidRPr="00000000">
        <w:rPr>
          <w:rtl w:val="0"/>
        </w:rPr>
        <w:t xml:space="preserve">Introduction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FIFA is an industry-leading football simulation game series developed by EA Vancouver and EA Romania. Each in game player has six categories of stats: pace, dribbling, shooting, defending, passing and physical. Goalkeepers have a different rating system with six stats categories: diving, handling, kicking, reflexes, speed and positioning. Each stats category contains several sub stats. For example, pace includes acceleration and sprint speed. The overall rating model based on in game stats is never open to the public. As a result, FIFA has been criticized for favoring English Premier League and England players on overall rating because of the huge market value </w:t>
      </w:r>
      <w:r w:rsidDel="00000000" w:rsidR="00000000" w:rsidRPr="00000000">
        <w:rPr>
          <w:rtl w:val="0"/>
        </w:rPr>
        <w:t xml:space="preserve">of the England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FIFA community. An example of this potential overall rating unfairness is as </w:t>
      </w:r>
      <w:r w:rsidDel="00000000" w:rsidR="00000000" w:rsidRPr="00000000">
        <w:rPr>
          <w:rtl w:val="0"/>
        </w:rPr>
        <w:t xml:space="preserve">follows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the latest FIFA game, Ferland Mendy, a French left back playing for Real Madrid in La Liga (top football league in Spain, one of the five major European football leagues), only has 83 overall rating with 2168 total in game stats. While Jamie Vardy, an England striker playing for Leicester City in English Premier League, has 86 overall rating with only 2143 total in game stats. Three overall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a big difference for top tier football players in FIFA. In this project classification is used to investigate the overall rating fairness for EPL players. Neural </w:t>
      </w:r>
      <w:r w:rsidDel="00000000" w:rsidR="00000000" w:rsidRPr="00000000">
        <w:rPr>
          <w:rtl w:val="0"/>
        </w:rPr>
        <w:t xml:space="preserve">networks 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used to investigate the overall rating fairness for England players. The methodology and results are discussed in detail in the following sections.</w:t>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rtl w:val="0"/>
        </w:rPr>
        <w:t xml:space="preserve">Methodology</w:t>
      </w:r>
    </w:p>
    <w:p w:rsidR="00000000" w:rsidDel="00000000" w:rsidP="00000000" w:rsidRDefault="00000000" w:rsidRPr="00000000" w14:paraId="0000000D">
      <w:pPr>
        <w:pStyle w:val="Heading2"/>
        <w:numPr>
          <w:ilvl w:val="1"/>
          <w:numId w:val="1"/>
        </w:numPr>
        <w:ind w:left="288" w:hanging="288"/>
        <w:rPr/>
      </w:pPr>
      <w:r w:rsidDel="00000000" w:rsidR="00000000" w:rsidRPr="00000000">
        <w:rPr>
          <w:rtl w:val="0"/>
        </w:rPr>
        <w:t xml:space="preserve">Fairness between players from EPL and other leagues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 the debate over COMPAS on the fairness between black and white defendants. In this project, there is not an attribute that can measure the overall rating like 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score to the risk of recidivism. Therefore, it is not possible to use the same method as setting a threshold for COMPAS score and investigating the false positive rate for different races. So, a new method is used in this project. In order to formulate this as a classification problem, a threshold is required for overall rating. To select a reasonable threshold, only players from five major European Leagues (English Premier Leagues, Spanish La Liga, Germany Bundesliga, Italian </w:t>
      </w:r>
      <w:r w:rsidDel="00000000" w:rsidR="00000000" w:rsidRPr="00000000">
        <w:rPr>
          <w:rtl w:val="0"/>
        </w:rPr>
        <w:t xml:space="preserve">Serie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and French Ligue 1) are considered. Because choosing a single overall rating threshold can guarantee a similar percentage of players with overall above and below the threshold between different leagues. The mean and median overall for the five leagues are shown in Table 1. A threshold of 73 is selected for classification.</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Mean and Median Overall for Different Leagues</w:t>
      </w:r>
    </w:p>
    <w:tbl>
      <w:tblPr>
        <w:tblStyle w:val="Table1"/>
        <w:tblW w:w="50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890"/>
        <w:gridCol w:w="2364"/>
        <w:tblGridChange w:id="0">
          <w:tblGrid>
            <w:gridCol w:w="828"/>
            <w:gridCol w:w="1890"/>
            <w:gridCol w:w="2364"/>
          </w:tblGrid>
        </w:tblGridChange>
      </w:tblGrid>
      <w:tr>
        <w:tc>
          <w:tcPr>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Game</w:t>
            </w:r>
          </w:p>
        </w:tc>
        <w:tc>
          <w:tcPr>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English Premier League</w:t>
            </w:r>
          </w:p>
        </w:tc>
        <w:tc>
          <w:tcPr>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Other Four European Leagues</w:t>
            </w:r>
          </w:p>
        </w:tc>
      </w:tr>
      <w:tr>
        <w:tc>
          <w:tcPr>
            <w:shd w:fill="auto"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15</w:t>
            </w:r>
          </w:p>
        </w:tc>
        <w:tc>
          <w:tcPr>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70.5 / 72.0</w:t>
            </w:r>
          </w:p>
        </w:tc>
        <w:tc>
          <w:tcPr>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69.9 / 71.0</w:t>
            </w:r>
          </w:p>
        </w:tc>
      </w:tr>
      <w:tr>
        <w:tc>
          <w:tcPr>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16</w:t>
            </w:r>
          </w:p>
        </w:tc>
        <w:tc>
          <w:tcPr>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72.9 / 75.0</w:t>
            </w:r>
          </w:p>
        </w:tc>
        <w:tc>
          <w:tcPr>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71.9 / 73.0</w:t>
            </w:r>
          </w:p>
        </w:tc>
      </w:tr>
      <w:tr>
        <w:tc>
          <w:tcPr>
            <w:shd w:fill="auto"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17</w:t>
            </w:r>
          </w:p>
        </w:tc>
        <w:tc>
          <w:tcPr>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72.2 / 75.0</w:t>
            </w:r>
          </w:p>
        </w:tc>
        <w:tc>
          <w:tcPr>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72.6 / 74.0</w:t>
            </w:r>
          </w:p>
        </w:tc>
      </w:tr>
      <w:tr>
        <w:tc>
          <w:tcPr>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18</w:t>
            </w:r>
          </w:p>
        </w:tc>
        <w:tc>
          <w:tcPr>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72.5 / 75.0</w:t>
            </w:r>
          </w:p>
        </w:tc>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72.5 / 73.0</w:t>
            </w:r>
          </w:p>
        </w:tc>
      </w:tr>
      <w:tr>
        <w:tc>
          <w:tcPr>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19</w:t>
            </w:r>
          </w:p>
        </w:tc>
        <w:tc>
          <w:tcPr>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72.6 / 75.0</w:t>
            </w:r>
          </w:p>
        </w:tc>
        <w:tc>
          <w:tcPr>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72.8 / 74.0</w:t>
            </w:r>
          </w:p>
        </w:tc>
      </w:tr>
      <w:tr>
        <w:tc>
          <w:tcPr>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FIFA 20</w:t>
            </w:r>
          </w:p>
        </w:tc>
        <w:tc>
          <w:tcPr>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73.4 / 75.0</w:t>
            </w:r>
          </w:p>
        </w:tc>
        <w:tc>
          <w:tcPr>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72.4 / 73.0</w:t>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ind w:firstLine="288"/>
        <w:jc w:val="left"/>
        <w:rPr/>
      </w:pPr>
      <w:bookmarkStart w:colFirst="0" w:colLast="0" w:name="_heading=h.gjdgxs" w:id="0"/>
      <w:bookmarkEnd w:id="0"/>
      <w:r w:rsidDel="00000000" w:rsidR="00000000" w:rsidRPr="00000000">
        <w:rPr>
          <w:rtl w:val="0"/>
        </w:rPr>
        <w:t xml:space="preserve">Now this is a binary classification problem for players with 73 overall or above and players with below 73 overall based on 8 features: pace, dribbling, shooting, defending, passing, physical, skill move and weak foot. Goalkeepers are not considered because of small data size. SGDClassifier from sklearn.linear_model with l2 regulation and logistic loss is used. After training, calculate the False Negative Rate (FNR) and False Positive Rate (FPR) of the test set. Now apply the EPL classification model to the test set of four other major European Leagues. If there is an overall rating boost for EPL players, the FNR should decrease and the FPR should increase compared to the original FNR and </w:t>
      </w:r>
      <w:r w:rsidDel="00000000" w:rsidR="00000000" w:rsidRPr="00000000">
        <w:rPr>
          <w:rtl w:val="0"/>
        </w:rPr>
        <w:t xml:space="preserve">FPR</w:t>
      </w:r>
      <w:r w:rsidDel="00000000" w:rsidR="00000000" w:rsidRPr="00000000">
        <w:rPr>
          <w:rtl w:val="0"/>
        </w:rPr>
        <w:t xml:space="preserve"> of the four other major European Leagues’ test </w:t>
      </w:r>
      <w:r w:rsidDel="00000000" w:rsidR="00000000" w:rsidRPr="00000000">
        <w:rPr>
          <w:rtl w:val="0"/>
        </w:rPr>
        <w:t xml:space="preserve">set</w:t>
      </w:r>
      <w:r w:rsidDel="00000000" w:rsidR="00000000" w:rsidRPr="00000000">
        <w:rPr>
          <w:rtl w:val="0"/>
        </w:rPr>
        <w:t xml:space="preserve">. </w:t>
      </w:r>
    </w:p>
    <w:p w:rsidR="00000000" w:rsidDel="00000000" w:rsidP="00000000" w:rsidRDefault="00000000" w:rsidRPr="00000000" w14:paraId="00000027">
      <w:pPr>
        <w:pStyle w:val="Heading2"/>
        <w:numPr>
          <w:ilvl w:val="1"/>
          <w:numId w:val="1"/>
        </w:numPr>
        <w:ind w:left="288" w:hanging="288"/>
        <w:rPr/>
      </w:pPr>
      <w:r w:rsidDel="00000000" w:rsidR="00000000" w:rsidRPr="00000000">
        <w:rPr>
          <w:rtl w:val="0"/>
        </w:rPr>
        <w:t xml:space="preserve">Fairness between players from England and other countries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In this subsection, the fairness between England football players and  football players from other countries is studied. A three layer fully connected neural network is trained to predict the overall rate of a player based on his stats attributes. The number of nodes for the two hidden layers of this neural network are 25 and 36 respectively. The active functions are chosen as the rectified linear unit (ReLU).</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From FIFA 15 to FIFA 20, in each year, two different models are then built with the same architecture given above. The difference is the training data sets. One model is trained with England players, the other model is trained with all non-England players. Finally, the model trained with England players is used to predict the overall rating of the non-England players. If </w:t>
      </w:r>
      <w:r w:rsidDel="00000000" w:rsidR="00000000" w:rsidRPr="00000000">
        <w:rPr>
          <w:rtl w:val="0"/>
        </w:rPr>
        <w:t xml:space="preserve">for non-England players, </w:t>
      </w:r>
      <w:r w:rsidDel="00000000" w:rsidR="00000000" w:rsidRPr="00000000">
        <w:rPr>
          <w:rtl w:val="0"/>
        </w:rPr>
        <w:t xml:space="preserve"> the overall rate predicted by the model trained with England players is higher than the value</w:t>
      </w:r>
      <w:r w:rsidDel="00000000" w:rsidR="00000000" w:rsidRPr="00000000">
        <w:rPr>
          <w:rtl w:val="0"/>
        </w:rPr>
        <w:t xml:space="preserve"> predicted by the model trained with England players, we then can conclude the bias in the FIFA rating model.</w:t>
      </w:r>
      <w:r w:rsidDel="00000000" w:rsidR="00000000" w:rsidRPr="00000000">
        <w:rPr>
          <w:rtl w:val="0"/>
        </w:rPr>
      </w:r>
    </w:p>
    <w:p w:rsidR="00000000" w:rsidDel="00000000" w:rsidP="00000000" w:rsidRDefault="00000000" w:rsidRPr="00000000" w14:paraId="0000002A">
      <w:pPr>
        <w:pStyle w:val="Heading1"/>
        <w:numPr>
          <w:ilvl w:val="0"/>
          <w:numId w:val="1"/>
        </w:numPr>
        <w:tabs>
          <w:tab w:val="left" w:pos="216"/>
        </w:tabs>
        <w:ind w:left="0" w:firstLine="216"/>
        <w:rPr/>
      </w:pPr>
      <w:r w:rsidDel="00000000" w:rsidR="00000000" w:rsidRPr="00000000">
        <w:rPr>
          <w:rtl w:val="0"/>
        </w:rPr>
        <w:t xml:space="preserve">Results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2D">
      <w:pPr>
        <w:pStyle w:val="Heading2"/>
        <w:numPr>
          <w:ilvl w:val="1"/>
          <w:numId w:val="1"/>
        </w:numPr>
        <w:ind w:left="288" w:hanging="288"/>
        <w:rPr/>
      </w:pPr>
      <w:r w:rsidDel="00000000" w:rsidR="00000000" w:rsidRPr="00000000">
        <w:rPr>
          <w:rtl w:val="0"/>
        </w:rPr>
        <w:t xml:space="preserve">Abbreviations and Acronyms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2F">
      <w:pPr>
        <w:pStyle w:val="Heading2"/>
        <w:numPr>
          <w:ilvl w:val="1"/>
          <w:numId w:val="1"/>
        </w:numPr>
        <w:ind w:left="288" w:hanging="288"/>
        <w:rPr/>
      </w:pPr>
      <w:r w:rsidDel="00000000" w:rsidR="00000000" w:rsidRPr="00000000">
        <w:rPr>
          <w:rtl w:val="0"/>
        </w:rPr>
        <w:t xml:space="preserve">Units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4">
      <w:pPr>
        <w:pStyle w:val="Heading2"/>
        <w:numPr>
          <w:ilvl w:val="1"/>
          <w:numId w:val="1"/>
        </w:numPr>
        <w:ind w:left="288" w:hanging="288"/>
        <w:rPr/>
      </w:pPr>
      <w:r w:rsidDel="00000000" w:rsidR="00000000" w:rsidRPr="00000000">
        <w:rPr>
          <w:rtl w:val="0"/>
        </w:rPr>
        <w:t xml:space="preserve">Equations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39">
      <w:pPr>
        <w:pStyle w:val="Heading2"/>
        <w:numPr>
          <w:ilvl w:val="1"/>
          <w:numId w:val="1"/>
        </w:numPr>
        <w:ind w:left="288" w:hanging="288"/>
        <w:rPr/>
      </w:pPr>
      <w:r w:rsidDel="00000000" w:rsidR="00000000" w:rsidRPr="00000000">
        <w:rPr>
          <w:rtl w:val="0"/>
        </w:rPr>
        <w:t xml:space="preserve">Some Common Mistakes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46">
      <w:pPr>
        <w:pStyle w:val="Heading1"/>
        <w:numPr>
          <w:ilvl w:val="0"/>
          <w:numId w:val="1"/>
        </w:numPr>
        <w:tabs>
          <w:tab w:val="left" w:pos="216"/>
        </w:tabs>
        <w:ind w:left="0" w:firstLine="216"/>
        <w:rPr/>
      </w:pPr>
      <w:r w:rsidDel="00000000" w:rsidR="00000000" w:rsidRPr="00000000">
        <w:rPr>
          <w:rtl w:val="0"/>
        </w:rPr>
        <w:t xml:space="preserve">Discussion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48">
      <w:pPr>
        <w:pStyle w:val="Heading2"/>
        <w:numPr>
          <w:ilvl w:val="1"/>
          <w:numId w:val="1"/>
        </w:numPr>
        <w:ind w:left="288" w:hanging="288"/>
        <w:rPr/>
      </w:pPr>
      <w:r w:rsidDel="00000000" w:rsidR="00000000" w:rsidRPr="00000000">
        <w:rPr>
          <w:rtl w:val="0"/>
        </w:rPr>
        <w:t xml:space="preserve">Authors and Affiliations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4A">
      <w:pPr>
        <w:pStyle w:val="Heading3"/>
        <w:numPr>
          <w:ilvl w:val="2"/>
          <w:numId w:val="1"/>
        </w:numPr>
        <w:ind w:left="0" w:firstLine="180"/>
        <w:rPr/>
      </w:pPr>
      <w:r w:rsidDel="00000000" w:rsidR="00000000" w:rsidRPr="00000000">
        <w:rPr>
          <w:rtl w:val="0"/>
        </w:rPr>
        <w:t xml:space="preserve">For papers with more than six authors: </w:t>
      </w:r>
      <w:r w:rsidDel="00000000" w:rsidR="00000000" w:rsidRPr="00000000">
        <w:rPr>
          <w:i w:val="0"/>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4B">
      <w:pPr>
        <w:pStyle w:val="Heading3"/>
        <w:numPr>
          <w:ilvl w:val="2"/>
          <w:numId w:val="1"/>
        </w:numPr>
        <w:ind w:left="0" w:firstLine="180"/>
        <w:rPr/>
      </w:pPr>
      <w:r w:rsidDel="00000000" w:rsidR="00000000" w:rsidRPr="00000000">
        <w:rPr>
          <w:rtl w:val="0"/>
        </w:rPr>
        <w:t xml:space="preserve">For papers with less than six authors: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4C">
      <w:pPr>
        <w:pStyle w:val="Heading4"/>
        <w:numPr>
          <w:ilvl w:val="3"/>
          <w:numId w:val="1"/>
        </w:numPr>
        <w:tabs>
          <w:tab w:val="left" w:pos="720"/>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4D">
      <w:pPr>
        <w:pStyle w:val="Heading4"/>
        <w:numPr>
          <w:ilvl w:val="3"/>
          <w:numId w:val="1"/>
        </w:numPr>
        <w:tabs>
          <w:tab w:val="left" w:pos="720"/>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4E">
      <w:pPr>
        <w:pStyle w:val="Heading4"/>
        <w:numPr>
          <w:ilvl w:val="3"/>
          <w:numId w:val="1"/>
        </w:numPr>
        <w:tabs>
          <w:tab w:val="left" w:pos="720"/>
        </w:tabs>
        <w:ind w:left="0" w:firstLine="360"/>
        <w:rPr>
          <w:i w:val="0"/>
        </w:rPr>
      </w:pPr>
      <w:r w:rsidDel="00000000" w:rsidR="00000000" w:rsidRPr="00000000">
        <w:rPr>
          <w:rtl w:val="0"/>
        </w:rPr>
        <w:t xml:space="preserve">Deletion: </w:t>
      </w:r>
      <w:r w:rsidDel="00000000" w:rsidR="00000000" w:rsidRPr="00000000">
        <w:rPr>
          <w:i w:val="0"/>
          <w:rtl w:val="0"/>
        </w:rPr>
        <w:t xml:space="preserve">Delete the author and affiliation lines for the extra authors.</w:t>
      </w:r>
    </w:p>
    <w:p w:rsidR="00000000" w:rsidDel="00000000" w:rsidP="00000000" w:rsidRDefault="00000000" w:rsidRPr="00000000" w14:paraId="0000004F">
      <w:pPr>
        <w:jc w:val="left"/>
        <w:rPr>
          <w:i w:val="1"/>
        </w:rPr>
      </w:pPr>
      <w:r w:rsidDel="00000000" w:rsidR="00000000" w:rsidRPr="00000000">
        <w:rPr>
          <w:rtl w:val="0"/>
        </w:rPr>
      </w:r>
    </w:p>
    <w:p w:rsidR="00000000" w:rsidDel="00000000" w:rsidP="00000000" w:rsidRDefault="00000000" w:rsidRPr="00000000" w14:paraId="00000050">
      <w:pPr>
        <w:pStyle w:val="Heading2"/>
        <w:numPr>
          <w:ilvl w:val="1"/>
          <w:numId w:val="1"/>
        </w:numPr>
        <w:ind w:left="288" w:hanging="288"/>
        <w:rPr/>
      </w:pPr>
      <w:r w:rsidDel="00000000" w:rsidR="00000000" w:rsidRPr="00000000">
        <w:rPr>
          <w:rtl w:val="0"/>
        </w:rPr>
        <w:t xml:space="preserve">Identify the Headings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54">
      <w:pPr>
        <w:pStyle w:val="Heading2"/>
        <w:numPr>
          <w:ilvl w:val="1"/>
          <w:numId w:val="1"/>
        </w:numPr>
        <w:ind w:left="288" w:hanging="288"/>
        <w:rPr/>
      </w:pPr>
      <w:r w:rsidDel="00000000" w:rsidR="00000000" w:rsidRPr="00000000">
        <w:rPr>
          <w:rtl w:val="0"/>
        </w:rPr>
        <w:t xml:space="preserve">Figures and Tables</w:t>
      </w:r>
    </w:p>
    <w:p w:rsidR="00000000" w:rsidDel="00000000" w:rsidP="00000000" w:rsidRDefault="00000000" w:rsidRPr="00000000" w14:paraId="00000055">
      <w:pPr>
        <w:pStyle w:val="Heading4"/>
        <w:numPr>
          <w:ilvl w:val="3"/>
          <w:numId w:val="1"/>
        </w:numPr>
        <w:tabs>
          <w:tab w:val="left" w:pos="720"/>
        </w:tabs>
        <w:ind w:left="0" w:firstLine="36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2"/>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tcMar>
              <w:top w:w="0.0" w:type="dxa"/>
              <w:bottom w:w="0.0" w:type="dxa"/>
            </w:tcM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tcMar>
              <w:top w:w="0.0" w:type="dxa"/>
              <w:bottom w:w="0.0" w:type="dxa"/>
            </w:tcM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tcMar>
              <w:top w:w="0.0" w:type="dxa"/>
              <w:bottom w:w="0.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tcMar>
              <w:top w:w="0.0" w:type="dxa"/>
              <w:bottom w:w="0.0" w:type="dxa"/>
            </w:tcM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tcMar>
              <w:top w:w="0.0" w:type="dxa"/>
              <w:bottom w:w="0.0" w:type="dxa"/>
            </w:tcM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tcMar>
              <w:top w:w="0.0" w:type="dxa"/>
              <w:bottom w:w="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1">
            <w:pPr>
              <w:rPr>
                <w:sz w:val="16"/>
                <w:szCs w:val="16"/>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2">
            <w:pPr>
              <w:rPr>
                <w:sz w:val="16"/>
                <w:szCs w:val="16"/>
              </w:rPr>
            </w:pPr>
            <w:r w:rsidDel="00000000" w:rsidR="00000000" w:rsidRPr="00000000">
              <w:rPr>
                <w:rtl w:val="0"/>
              </w:rPr>
            </w:r>
          </w:p>
        </w:tc>
      </w:tr>
    </w:tbl>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66">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68">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6A">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w:t>
      </w:r>
      <w:r w:rsidDel="00000000" w:rsidR="00000000" w:rsidRPr="00000000">
        <w:rPr>
          <w:rtl w:val="0"/>
        </w:rPr>
        <w:t xml:space="preserve">more, give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 S. Jacobs and C. P. Bean, “Fine particles, thin films and exchange anisotropy,” in Magnetism, vol. III, G. T. Rado and H. Suhl, Eds. New York: Academic, 1963, pp. 271–350.</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 Elissa, “Title of paper if known,” unpublished.</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Nicole, “Title of paper with only first word capitalized,” J. Name Stand. Abbrev., in press.</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3213100" cy="1155700"/>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custGeom>
                          <a:rect b="b" l="l" r="r" t="t"/>
                          <a:pathLst>
                            <a:path extrusionOk="0" h="1143000" w="3200400">
                              <a:moveTo>
                                <a:pt x="0" y="0"/>
                              </a:moveTo>
                              <a:lnTo>
                                <a:pt x="0" y="1143000"/>
                              </a:lnTo>
                              <a:lnTo>
                                <a:pt x="3200400" y="1143000"/>
                              </a:lnTo>
                              <a:lnTo>
                                <a:pt x="3200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We suggest that you use a text box to insert a graphic (which is ideally a 300 dpi TIFF or EPS file, with all fonts embedded) because, in an MSW document,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To have non-visible rules on your frame, use the MSWord “Format” pull-down menu, select Text Box &gt; Colors and Lines to choose No Fill and No Line.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241300</wp:posOffset>
                </wp:positionV>
                <wp:extent cx="3213100" cy="11557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13100" cy="1155700"/>
                        </a:xfrm>
                        <a:prstGeom prst="rect"/>
                        <a:ln/>
                      </pic:spPr>
                    </pic:pic>
                  </a:graphicData>
                </a:graphic>
              </wp:anchor>
            </w:drawing>
          </mc:Fallback>
        </mc:AlternateContent>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rPr>
      <w:lang w:eastAsia="en-US"/>
    </w:r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Abstract" w:customStyle="1">
    <w:name w:val="Abstract"/>
    <w:rsid w:val="00972203"/>
    <w:pPr>
      <w:spacing w:after="200"/>
      <w:ind w:firstLine="272"/>
      <w:jc w:val="both"/>
    </w:pPr>
    <w:rPr>
      <w:b w:val="1"/>
      <w:bCs w:val="1"/>
      <w:sz w:val="18"/>
      <w:szCs w:val="18"/>
      <w:lang w:eastAsia="en-US"/>
    </w:rPr>
  </w:style>
  <w:style w:type="paragraph" w:styleId="Affiliation" w:customStyle="1">
    <w:name w:val="Affiliation"/>
    <w:pPr>
      <w:jc w:val="center"/>
    </w:pPr>
    <w:rPr>
      <w:lang w:eastAsia="en-US"/>
    </w:rPr>
  </w:style>
  <w:style w:type="paragraph" w:styleId="Author" w:customStyle="1">
    <w:name w:val="Author"/>
    <w:pPr>
      <w:spacing w:after="40" w:before="360"/>
      <w:jc w:val="center"/>
    </w:pPr>
    <w:rPr>
      <w:noProof w:val="1"/>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lang w:eastAsia="en-US"/>
    </w:rPr>
  </w:style>
  <w:style w:type="paragraph" w:styleId="footnote" w:customStyle="1">
    <w:name w:val="footnote"/>
    <w:pPr>
      <w:framePr w:lines="0" w:vSpace="187" w:hSpace="187" w:wrap="notBeside" w:hAnchor="page" w:vAnchor="text" w:x="6121" w:y="577"/>
      <w:numPr>
        <w:numId w:val="3"/>
      </w:numPr>
      <w:spacing w:after="40"/>
    </w:pPr>
    <w:rPr>
      <w:sz w:val="16"/>
      <w:szCs w:val="16"/>
      <w:lang w:eastAsia="en-US"/>
    </w:rPr>
  </w:style>
  <w:style w:type="paragraph" w:styleId="papersubtitle" w:customStyle="1">
    <w:name w:val="paper subtitle"/>
    <w:pPr>
      <w:spacing w:after="120"/>
      <w:jc w:val="center"/>
    </w:pPr>
    <w:rPr>
      <w:rFonts w:eastAsia="MS Mincho"/>
      <w:noProof w:val="1"/>
      <w:sz w:val="28"/>
      <w:szCs w:val="28"/>
      <w:lang w:eastAsia="en-US"/>
    </w:rPr>
  </w:style>
  <w:style w:type="paragraph" w:styleId="papertitle" w:customStyle="1">
    <w:name w:val="paper title"/>
    <w:pPr>
      <w:spacing w:after="120"/>
      <w:jc w:val="center"/>
    </w:pPr>
    <w:rPr>
      <w:rFonts w:eastAsia="MS Mincho"/>
      <w:noProof w:val="1"/>
      <w:sz w:val="48"/>
      <w:szCs w:val="48"/>
      <w:lang w:eastAsia="en-US"/>
    </w:rPr>
  </w:style>
  <w:style w:type="paragraph" w:styleId="references" w:customStyle="1">
    <w:name w:val="references"/>
    <w:pPr>
      <w:numPr>
        <w:numId w:val="8"/>
      </w:numPr>
      <w:spacing w:after="50" w:line="180" w:lineRule="exact"/>
      <w:jc w:val="both"/>
    </w:pPr>
    <w:rPr>
      <w:rFonts w:eastAsia="MS Mincho"/>
      <w:noProof w:val="1"/>
      <w:sz w:val="16"/>
      <w:szCs w:val="16"/>
      <w:lang w:eastAsia="en-US"/>
    </w:rPr>
  </w:style>
  <w:style w:type="paragraph" w:styleId="sponsors" w:customStyle="1">
    <w:name w:val="sponsors"/>
    <w:pPr>
      <w:framePr w:lines="0" w:wrap="auto" w:hAnchor="text" w:x="615" w:y="2239"/>
      <w:pBdr>
        <w:top w:color="auto" w:space="2" w:sz="4" w:val="single"/>
      </w:pBdr>
      <w:ind w:firstLine="288"/>
    </w:pPr>
    <w:rPr>
      <w:sz w:val="16"/>
      <w:szCs w:val="16"/>
      <w:lang w:eastAsia="en-US"/>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lang w:eastAsia="en-US"/>
    </w:rPr>
  </w:style>
  <w:style w:type="paragraph" w:styleId="tablefootnote" w:customStyle="1">
    <w:name w:val="table footnote"/>
    <w:rsid w:val="005E2800"/>
    <w:pPr>
      <w:numPr>
        <w:numId w:val="24"/>
      </w:numPr>
      <w:spacing w:after="30" w:before="60"/>
      <w:ind w:left="58" w:hanging="29"/>
      <w:jc w:val="right"/>
    </w:pPr>
    <w:rPr>
      <w:sz w:val="12"/>
      <w:szCs w:val="12"/>
      <w:lang w:eastAsia="en-US"/>
    </w:rPr>
  </w:style>
  <w:style w:type="paragraph" w:styleId="tablehead" w:customStyle="1">
    <w:name w:val="table head"/>
    <w:pPr>
      <w:numPr>
        <w:numId w:val="9"/>
      </w:numPr>
      <w:spacing w:after="120" w:before="240" w:line="216" w:lineRule="auto"/>
      <w:jc w:val="center"/>
    </w:pPr>
    <w:rPr>
      <w:smallCaps w:val="1"/>
      <w:noProof w:val="1"/>
      <w:sz w:val="16"/>
      <w:szCs w:val="16"/>
      <w:lang w:eastAsia="en-US"/>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table" w:styleId="TableGrid">
    <w:name w:val="Table Grid"/>
    <w:basedOn w:val="TableNormal"/>
    <w:rsid w:val="00BB467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clkiJ09U7n7AfDw6dnzkz+GuvQ==">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2020-12-15T22:47:00Z</dcterms:created>
  <dc:creator>IEEE</dc:creator>
</cp:coreProperties>
</file>