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745"/>
            </w:pPr>
          </w:p>
          <w:p>
            <w:pPr>
              <w:pBdr>
                <w:bottom w:val="single" w:color="529286" w:sz="6" w:space="8"/>
              </w:pBdr>
              <w:spacing w:after="500"/>
              <w:ind w:left="1200" w:right="800"/>
            </w:pPr>
            <w:r>
              <w:rPr>
                <w:rFonts w:ascii="Calibri" w:eastAsia="SimHei"/>
                <w:color w:val="529286"/>
                <w:spacing w:val="40"/>
                <w:sz w:val="18"/>
                <w:szCs w:val="18"/>
              </w:rPr>
              <w:t xml:space="preserve">U  S  E  R     M  A  N  U  A  L</w:t>
            </w:r>
          </w:p>
          <w:p>
            <w:pPr>
              <w:spacing w:after="300" w:line="920" w:lineRule="atLeast"/>
              <w:ind w:left="1200"/>
            </w:pPr>
            <w:r>
              <w:rPr>
                <w:rFonts w:ascii="Arial" w:eastAsia="SimHei"/>
                <w:b/>
                <w:bCs/>
                <w:color w:val="FFFFFF"/>
                <w:sz w:val="80"/>
                <w:szCs w:val="80"/>
              </w:rPr>
              <w:t xml:space="preserve">授时管理系统用户使用说明</w:t>
            </w:r>
          </w:p>
          <w:p>
            <w:pPr>
              <w:spacing w:after="800"/>
              <w:ind w:left="1200"/>
            </w:pPr>
            <w:r>
              <w:rPr>
                <w:rFonts w:ascii="Arial" w:eastAsia="Microsoft YaHei"/>
                <w:color w:val="B0B8C0"/>
                <w:sz w:val="24"/>
                <w:szCs w:val="24"/>
              </w:rPr>
              <w:t xml:space="preserve">embeded-web · 鲁班猫 2N 板卡（无 HDMI 部署版）</w:t>
            </w:r>
          </w:p>
          <w:p>
            <w:pPr>
              <w:pBdr>
                <w:left w:val="single" w:color="529286" w:sz="8" w:space="12"/>
              </w:pBdr>
              <w:spacing w:after="80"/>
              <w:ind w:left="1400"/>
            </w:pPr>
            <w:r>
              <w:rPr>
                <w:rFonts w:ascii="Arial" w:eastAsia="Microsoft YaHei"/>
                <w:color w:val="90989F"/>
                <w:sz w:val="24"/>
                <w:szCs w:val="24"/>
              </w:rPr>
              <w:t xml:space="preserve">适用版本：2026 年 9 月交付版</w:t>
            </w:r>
          </w:p>
          <w:p>
            <w:pPr>
              <w:pBdr>
                <w:left w:val="single" w:color="529286" w:sz="8" w:space="12"/>
              </w:pBdr>
              <w:spacing w:after="80"/>
              <w:ind w:left="1400"/>
            </w:pPr>
            <w:r>
              <w:rPr>
                <w:rFonts w:ascii="Arial" w:eastAsia="Microsoft YaHei"/>
                <w:color w:val="90989F"/>
                <w:sz w:val="24"/>
                <w:szCs w:val="24"/>
              </w:rPr>
              <w:t xml:space="preserve">管理地址：https://192.168.1.111</w:t>
            </w:r>
          </w:p>
          <w:p>
            <w:pPr>
              <w:pBdr>
                <w:left w:val="single" w:color="529286" w:sz="8" w:space="12"/>
              </w:pBdr>
              <w:spacing w:after="80"/>
              <w:ind w:left="1400"/>
            </w:pPr>
            <w:r>
              <w:rPr>
                <w:rFonts w:ascii="Arial" w:eastAsia="Microsoft YaHei"/>
                <w:color w:val="90989F"/>
                <w:sz w:val="24"/>
                <w:szCs w:val="24"/>
              </w:rPr>
              <w:t xml:space="preserve">编制日期：2026-09-23</w:t>
            </w:r>
          </w:p>
          <w:p>
            <w:pPr>
              <w:spacing w:before="4745"/>
            </w:pPr>
          </w:p>
          <w:p>
            <w:pPr>
              <w:pBdr>
                <w:top w:val="single" w:color="529286" w:sz="2" w:space="8"/>
              </w:pBdr>
              <w:spacing w:before="200"/>
              <w:ind w:left="1200" w:right="800"/>
            </w:pPr>
            <w:r>
              <w:rPr>
                <w:rFonts w:ascii="Arial"/>
                <w:color w:val="687078"/>
                <w:sz w:val="16"/>
                <w:szCs w:val="16"/>
              </w:rPr>
              <w:t xml:space="preserve">embeded-web</w:t>
            </w:r>
            <w:r>
              <w:t xml:space="preserve">                                        </w:t>
            </w:r>
            <w:r>
              <w:rPr>
                <w:rFonts w:ascii="Arial"/>
                <w:color w:val="687078"/>
                <w:sz w:val="16"/>
                <w:szCs w:val="16"/>
              </w:rPr>
              <w:t xml:space="preserve">V1.0</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系统简介</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开始使用</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打开系统</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登录与首次登录改密</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修改密码与密码策略</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页面导航总览</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网络参数配置</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查看与修改</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服务监控及报警</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顶部状态卡片</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4.2 chrony 请求量趋势图</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4.3 各网口授时服务状态表</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4.4 NTP 访问控制（重要）</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5. 时间服务校验设置</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5.1 授时状态表</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5.2 UT986 接收机工作模式</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5.3 锁定星数</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6. 系统日志（管理员）</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7. 用户管理（管理员）</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8. 局域网授时服务使用</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8.1 使用前提</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8.2 Windows 校时示例</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8.3 授时守卫（自动停答与恢复）</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9. 系统特性一览</w:t>
            </w:r>
            <w:r>
              <w:tab/>
            </w:r>
            <w:r>
              <w:fldChar w:fldCharType="begin"/>
            </w:r>
            <w:r>
              <w:instrText xml:space="preserve"> PAGEREF _Toc100023 \h </w:instrText>
            </w:r>
            <w:r>
              <w:fldChar w:fldCharType="separate"/>
            </w:r>
            <w:r>
              <w:t>11</w:t>
            </w:r>
            <w:r>
              <w:fldChar w:fldCharType="end"/>
            </w:r>
          </w:hyperlink>
        </w:p>
        <w:p>
          <w:pPr>
            <w:pStyle w:val="9"/>
            <w:tabs>
              <w:tab w:val="right" w:leader="dot" w:pos="9026"/>
            </w:tabs>
            <w:spacing w:before="120" w:after="60"/>
          </w:pPr>
          <w:hyperlink w:anchor="_Toc100024" w:history="1">
            <w:r>
              <w:rPr>
                <w:rStyle w:val="Hyperlink"/>
              </w:rPr>
              <w:t>10. 常见问题与处理</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11. 附录</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11.1 默认参数表</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11.2 关键服务清单（维护参考）</w:t>
            </w:r>
            <w:r>
              <w:tab/>
            </w:r>
            <w:r>
              <w:fldChar w:fldCharType="begin"/>
            </w:r>
            <w:r>
              <w:instrText xml:space="preserve"> PAGEREF _Toc100027 \h </w:instrText>
            </w:r>
            <w:r>
              <w:fldChar w:fldCharType="separate"/>
            </w:r>
            <w:r>
              <w:t>13</w:t>
            </w:r>
            <w:r>
              <w:fldChar w:fldCharType="end"/>
            </w:r>
          </w:hyperlink>
        </w:p>
        <w:p>
          <w:r>
            <w:fldChar w:fldCharType="end"/>
          </w:r>
        </w:p>
      </w:sdtContent>
    </w:sdt>
    <w:p>
      <w:pPr>
        <w:spacing w:before="200"/>
      </w:pPr>
      <w:r>
        <w:rPr>
          <w:i/>
          <w:iCs/>
          <w:color w:val="888888"/>
          <w:sz w:val="18"/>
          <w:szCs w:val="18"/>
        </w:rPr>
        <w:t xml:space="preserve">注：本目录由域代码生成。如编辑后页码变动，请右键点击目录选择更新域以刷新页码。</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80" w:lineRule="atLeast"/>
      </w:pPr>
      <w:bookmarkStart w:id="100000" w:name="_Toc100000"/>
      <w:r>
        <w:rPr>
          <w:rFonts w:ascii="Calibri" w:eastAsia="SimHei"/>
          <w:b/>
          <w:bCs/>
          <w:color w:val="0F2B46"/>
          <w:sz w:val="32"/>
          <w:szCs w:val="32"/>
        </w:rPr>
        <w:t xml:space="preserve">1. 系统简介</w:t>
      </w:r>
      <w:bookmarkEnd w:id="100000"/>
    </w:p>
    <w:p>
      <w:pPr>
        <w:spacing w:after="60" w:line="312"/>
        <w:ind w:firstLine="480"/>
        <w:jc w:val="both"/>
      </w:pPr>
      <w:r>
        <w:rPr>
          <w:rFonts w:ascii="Calibri" w:eastAsia="SimSun"/>
          <w:color w:val="000000"/>
          <w:sz w:val="24"/>
          <w:szCs w:val="24"/>
        </w:rPr>
        <w:t xml:space="preserve">本系统（embeded-web）是运行在鲁班猫 2N（RK3568）板卡上的 HTTPS 多用户管理面板，同时向局域网提供高精度 NTP 授时服务。板卡通过 UT986 卫星授时接收机的 1PPS 秒脉冲与 TOD 时间报文驱动 chrony，将系统时钟稳定锁定在卫星时间基准上（微秒级），因此本机是一个可信赖的局域网 Stratum-1 时钟源。</w:t>
      </w:r>
    </w:p>
    <w:p>
      <w:pPr>
        <w:spacing w:after="60" w:line="312"/>
        <w:ind w:firstLine="480"/>
        <w:jc w:val="both"/>
      </w:pPr>
      <w:r>
        <w:rPr>
          <w:rFonts w:ascii="Calibri" w:eastAsia="SimSun"/>
          <w:color w:val="000000"/>
          <w:sz w:val="24"/>
          <w:szCs w:val="24"/>
        </w:rPr>
        <w:t xml:space="preserve">整个系统在无 HDMI 显示器、无外网的隔离网络中即可长期运行；断电重启后各项服务自动恢复，无需人工干预。系统当前版本为 2026 年 9 月交付版，已经过完整的功能验证与断电重启复测。</w:t>
      </w:r>
    </w:p>
    <w:p>
      <w:pPr>
        <w:keepNext/>
        <w:spacing w:after="80" w:before="120"/>
      </w:pPr>
      <w:r>
        <w:rPr>
          <w:rFonts w:ascii="Calibri" w:eastAsia="SimHei"/>
          <w:b/>
          <w:bCs/>
          <w:color w:val="333333"/>
          <w:sz w:val="21"/>
          <w:szCs w:val="21"/>
        </w:rPr>
        <w:t xml:space="preserve">表 1-1 关键参数速查</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tblGrid>
      <w:tr>
        <w:trPr>
          <w:cantSplit/>
          <w:tblHeader/>
        </w:trPr>
        <w:tc>
          <w:tcPr>
            <w:tcW w:type="pct" w:w="30%"/>
            <w:shd w:fill="529286" w:val="clear"/>
            <w:tcMar>
              <w:top w:type="dxa" w:w="60"/>
              <w:left w:type="dxa" w:w="120"/>
              <w:bottom w:type="dxa" w:w="60"/>
              <w:right w:type="dxa" w:w="120"/>
            </w:tcMar>
          </w:tcPr>
          <w:p>
            <w:r>
              <w:rPr>
                <w:rFonts w:ascii="Calibri" w:eastAsia="SimHei"/>
                <w:b/>
                <w:bCs/>
                <w:color w:val="FFFFFF"/>
                <w:sz w:val="21"/>
                <w:szCs w:val="21"/>
              </w:rPr>
              <w:t xml:space="preserve">项目</w:t>
            </w:r>
          </w:p>
        </w:tc>
        <w:tc>
          <w:tcPr>
            <w:tcW w:type="pct" w:w="70%"/>
            <w:shd w:fill="529286" w:val="clear"/>
            <w:tcMar>
              <w:top w:type="dxa" w:w="60"/>
              <w:left w:type="dxa" w:w="120"/>
              <w:bottom w:type="dxa" w:w="60"/>
              <w:right w:type="dxa" w:w="120"/>
            </w:tcMar>
          </w:tcPr>
          <w:p>
            <w:r>
              <w:rPr>
                <w:rFonts w:ascii="Calibri" w:eastAsia="SimHei"/>
                <w:b/>
                <w:bCs/>
                <w:color w:val="FFFFFF"/>
                <w:sz w:val="21"/>
                <w:szCs w:val="21"/>
              </w:rPr>
              <w:t xml:space="preserve">值</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面板地址</w:t>
            </w:r>
          </w:p>
        </w:tc>
        <w:tc>
          <w:tcPr>
            <w:tcW w:type="pct" w:w="70%"/>
            <w:tcMar>
              <w:top w:type="dxa" w:w="60"/>
              <w:left w:type="dxa" w:w="120"/>
              <w:bottom w:type="dxa" w:w="60"/>
              <w:right w:type="dxa" w:w="120"/>
            </w:tcMar>
          </w:tcPr>
          <w:p>
            <w:r>
              <w:rPr>
                <w:rFonts w:ascii="Calibri" w:eastAsia="SimSun"/>
                <w:color w:val="000000"/>
                <w:sz w:val="21"/>
                <w:szCs w:val="21"/>
              </w:rPr>
              <w:t xml:space="preserve">https://192.168.1.111（浏览器访问，默认网卡 eth0）</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NTP 授时端口</w:t>
            </w:r>
          </w:p>
        </w:tc>
        <w:tc>
          <w:tcPr>
            <w:tcW w:type="pct" w:w="70%"/>
            <w:tcMar>
              <w:top w:type="dxa" w:w="60"/>
              <w:left w:type="dxa" w:w="120"/>
              <w:bottom w:type="dxa" w:w="60"/>
              <w:right w:type="dxa" w:w="120"/>
            </w:tcMar>
          </w:tcPr>
          <w:p>
            <w:r>
              <w:rPr>
                <w:rFonts w:ascii="Calibri" w:eastAsia="SimSun"/>
                <w:color w:val="000000"/>
                <w:sz w:val="21"/>
                <w:szCs w:val="21"/>
              </w:rPr>
              <w:t xml:space="preserve">UDP 123（标准 NTP 协议，需管理员放行访问网段）</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登录账号</w:t>
            </w:r>
          </w:p>
        </w:tc>
        <w:tc>
          <w:tcPr>
            <w:tcW w:type="pct" w:w="70%"/>
            <w:tcMar>
              <w:top w:type="dxa" w:w="60"/>
              <w:left w:type="dxa" w:w="120"/>
              <w:bottom w:type="dxa" w:w="60"/>
              <w:right w:type="dxa" w:w="120"/>
            </w:tcMar>
          </w:tcPr>
          <w:p>
            <w:r>
              <w:rPr>
                <w:rFonts w:ascii="Calibri" w:eastAsia="SimSun"/>
                <w:color w:val="000000"/>
                <w:sz w:val="21"/>
                <w:szCs w:val="21"/>
              </w:rPr>
              <w:t xml:space="preserve">root（管理员）</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登录密码</w:t>
            </w:r>
          </w:p>
        </w:tc>
        <w:tc>
          <w:tcPr>
            <w:tcW w:type="pct" w:w="70%"/>
            <w:tcMar>
              <w:top w:type="dxa" w:w="60"/>
              <w:left w:type="dxa" w:w="120"/>
              <w:bottom w:type="dxa" w:w="60"/>
              <w:right w:type="dxa" w:w="120"/>
            </w:tcMar>
          </w:tcPr>
          <w:p>
            <w:r>
              <w:rPr>
                <w:rFonts w:ascii="Calibri" w:eastAsia="SimSun"/>
                <w:color w:val="000000"/>
                <w:sz w:val="21"/>
                <w:szCs w:val="21"/>
              </w:rPr>
              <w:t xml:space="preserve">【现场管理员掌握】首次登录后必须修改</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证书</w:t>
            </w:r>
          </w:p>
        </w:tc>
        <w:tc>
          <w:tcPr>
            <w:tcW w:type="pct" w:w="70%"/>
            <w:tcMar>
              <w:top w:type="dxa" w:w="60"/>
              <w:left w:type="dxa" w:w="120"/>
              <w:bottom w:type="dxa" w:w="60"/>
              <w:right w:type="dxa" w:w="120"/>
            </w:tcMar>
          </w:tcPr>
          <w:p>
            <w:r>
              <w:rPr>
                <w:rFonts w:ascii="Calibri" w:eastAsia="SimSun"/>
                <w:color w:val="000000"/>
                <w:sz w:val="21"/>
                <w:szCs w:val="21"/>
              </w:rPr>
              <w:t xml:space="preserve">自签名证书（CN=lubancat.local，有效期 10 年）</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板卡系统</w:t>
            </w:r>
          </w:p>
        </w:tc>
        <w:tc>
          <w:tcPr>
            <w:tcW w:type="pct" w:w="70%"/>
            <w:tcMar>
              <w:top w:type="dxa" w:w="60"/>
              <w:left w:type="dxa" w:w="120"/>
              <w:bottom w:type="dxa" w:w="60"/>
              <w:right w:type="dxa" w:w="120"/>
            </w:tcMar>
          </w:tcPr>
          <w:p>
            <w:r>
              <w:rPr>
                <w:rFonts w:ascii="Calibri" w:eastAsia="SimSun"/>
                <w:color w:val="000000"/>
                <w:sz w:val="21"/>
                <w:szCs w:val="21"/>
              </w:rPr>
              <w:t xml:space="preserve">Debian Buster，4 网口（eth0–eth3）</w:t>
            </w:r>
          </w:p>
        </w:tc>
      </w:tr>
    </w:tbl>
    <w:p>
      <w:pPr>
        <w:spacing w:after="60" w:line="312"/>
        <w:ind w:firstLine="480"/>
        <w:jc w:val="both"/>
      </w:pPr>
      <w:r>
        <w:rPr>
          <w:rFonts w:ascii="Calibri" w:eastAsia="SimSun"/>
          <w:color w:val="000000"/>
          <w:sz w:val="24"/>
          <w:szCs w:val="24"/>
        </w:rPr>
        <w:t xml:space="preserve">提示：本面板使用自签名证书，浏览器首次访问会出现安全警告，处理方法见第 2.1 节。密码由现场管理员在首次登录时设置并妥善保管，本文档不记录具体密码。</w:t>
      </w:r>
    </w:p>
    <w:p>
      <w:pPr>
        <w:pStyle w:val="Heading1"/>
        <w:spacing w:after="160" w:before="360" w:line="380" w:lineRule="atLeast"/>
      </w:pPr>
      <w:bookmarkStart w:id="100001" w:name="_Toc100001"/>
      <w:r>
        <w:rPr>
          <w:rFonts w:ascii="Calibri" w:eastAsia="SimHei"/>
          <w:b/>
          <w:bCs/>
          <w:color w:val="0F2B46"/>
          <w:sz w:val="32"/>
          <w:szCs w:val="32"/>
        </w:rPr>
        <w:t xml:space="preserve">2. 开始使用</w:t>
      </w:r>
      <w:bookmarkEnd w:id="100001"/>
    </w:p>
    <w:p>
      <w:pPr>
        <w:pStyle w:val="Heading2"/>
        <w:spacing w:after="120" w:before="240" w:line="340" w:lineRule="atLeast"/>
      </w:pPr>
      <w:bookmarkStart w:id="100002" w:name="_Toc100002"/>
      <w:r>
        <w:rPr>
          <w:rFonts w:ascii="Calibri" w:eastAsia="SimHei"/>
          <w:b/>
          <w:bCs/>
          <w:color w:val="0F2B46"/>
          <w:sz w:val="28"/>
          <w:szCs w:val="28"/>
        </w:rPr>
        <w:t xml:space="preserve">2.1 打开系统</w:t>
      </w:r>
      <w:bookmarkEnd w:id="100002"/>
    </w:p>
    <w:p>
      <w:pPr>
        <w:spacing w:after="60" w:line="312"/>
        <w:ind w:firstLine="480"/>
        <w:jc w:val="both"/>
      </w:pPr>
      <w:r>
        <w:rPr>
          <w:rFonts w:ascii="Calibri" w:eastAsia="SimSun"/>
          <w:color w:val="000000"/>
          <w:sz w:val="24"/>
          <w:szCs w:val="24"/>
        </w:rPr>
        <w:t xml:space="preserve">在与板卡同一局域网的电脑上，打开浏览器（推荐 Chrome/Edge），在地址栏输入面板地址 https://192.168.1.111 并回车。使用 http://192.168.1.111 访问也会被自动跳转到 HTTPS。登录页如图 2-1 所示。</w:t>
      </w:r>
    </w:p>
    <w:p>
      <w:pPr>
        <w:keepNext/>
        <w:spacing w:after="40" w:before="120"/>
        <w:jc w:val="center"/>
      </w:pPr>
      <w:r>
        <w:drawing>
          <wp:inline distT="0" distB="0" distL="0" distR="0">
            <wp:extent cx="55054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05450" cy="4133850"/>
                    </a:xfrm>
                    <a:prstGeom prst="rect">
                      <a:avLst/>
                    </a:prstGeom>
                  </pic:spPr>
                </pic:pic>
              </a:graphicData>
            </a:graphic>
          </wp:inline>
        </w:drawing>
      </w:r>
    </w:p>
    <w:p>
      <w:pPr>
        <w:spacing w:after="140"/>
        <w:jc w:val="center"/>
      </w:pPr>
      <w:r>
        <w:rPr>
          <w:rFonts w:ascii="Calibri" w:eastAsia="SimHei"/>
          <w:color w:val="555555"/>
          <w:sz w:val="18"/>
          <w:szCs w:val="18"/>
        </w:rPr>
        <w:t xml:space="preserve">图 2-1 登录页</w:t>
      </w:r>
    </w:p>
    <w:p>
      <w:pPr>
        <w:spacing w:after="60" w:line="312"/>
        <w:ind w:firstLine="480"/>
        <w:jc w:val="both"/>
      </w:pPr>
      <w:r>
        <w:rPr>
          <w:rFonts w:ascii="Calibri" w:eastAsia="SimSun"/>
          <w:color w:val="000000"/>
          <w:sz w:val="24"/>
          <w:szCs w:val="24"/>
        </w:rPr>
        <w:t xml:space="preserve">由于系统使用自签名证书，浏览器会提示您的连接不是私密连接或存在安全风险。这属于正常现象：处理方法为在警告页面点击高级（或了解更多），再选择继续前往 192.168.1.111（不安全）。若使用 curl 等命令行工具访问，请附带 -k 参数忽略证书校验。证书仅用于加密，不影响功能使用。</w:t>
      </w:r>
    </w:p>
    <w:p>
      <w:pPr>
        <w:pStyle w:val="Heading2"/>
        <w:spacing w:after="120" w:before="240" w:line="340" w:lineRule="atLeast"/>
      </w:pPr>
      <w:bookmarkStart w:id="100003" w:name="_Toc100003"/>
      <w:r>
        <w:rPr>
          <w:rFonts w:ascii="Calibri" w:eastAsia="SimHei"/>
          <w:b/>
          <w:bCs/>
          <w:color w:val="0F2B46"/>
          <w:sz w:val="28"/>
          <w:szCs w:val="28"/>
        </w:rPr>
        <w:t xml:space="preserve">2.2 登录与首次登录改密</w:t>
      </w:r>
      <w:bookmarkEnd w:id="100003"/>
    </w:p>
    <w:p>
      <w:pPr>
        <w:spacing w:after="60" w:line="312"/>
        <w:ind w:firstLine="480"/>
        <w:jc w:val="both"/>
      </w:pPr>
      <w:r>
        <w:rPr>
          <w:rFonts w:ascii="Calibri" w:eastAsia="SimSun"/>
          <w:color w:val="000000"/>
          <w:sz w:val="24"/>
          <w:szCs w:val="24"/>
        </w:rPr>
        <w:t xml:space="preserve">在登录页输入用户名与密码后点击 Sign In。成功登录后进入控制面板首页（默认页签为网络参数配置）。</w:t>
      </w:r>
    </w:p>
    <w:p>
      <w:pPr>
        <w:spacing w:after="60" w:line="312"/>
        <w:ind w:firstLine="480"/>
        <w:jc w:val="both"/>
      </w:pPr>
      <w:r>
        <w:rPr>
          <w:rFonts w:ascii="Calibri" w:eastAsia="SimSun"/>
          <w:color w:val="000000"/>
          <w:sz w:val="24"/>
          <w:szCs w:val="24"/>
        </w:rPr>
        <w:t xml:space="preserve">首次登录时，系统会强制要求修改初始密码：登录成功后页面自动跳转到修改密码页（/change.html），此时必须完成密码修改才能继续使用，页面如图 2-2 所示。请按第 2.3 节的密码策略设置新密码。修改成功后系统自动跳回控制面板。</w:t>
      </w:r>
    </w:p>
    <w:p>
      <w:pPr>
        <w:keepNext/>
        <w:spacing w:after="40" w:before="120"/>
        <w:jc w:val="center"/>
      </w:pPr>
      <w:r>
        <w:drawing>
          <wp:inline distT="0" distB="0" distL="0" distR="0">
            <wp:extent cx="55054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4133850"/>
                    </a:xfrm>
                    <a:prstGeom prst="rect">
                      <a:avLst/>
                    </a:prstGeom>
                  </pic:spPr>
                </pic:pic>
              </a:graphicData>
            </a:graphic>
          </wp:inline>
        </w:drawing>
      </w:r>
    </w:p>
    <w:p>
      <w:pPr>
        <w:spacing w:after="140"/>
        <w:jc w:val="center"/>
      </w:pPr>
      <w:r>
        <w:rPr>
          <w:rFonts w:ascii="Calibri" w:eastAsia="SimHei"/>
          <w:color w:val="555555"/>
          <w:sz w:val="18"/>
          <w:szCs w:val="18"/>
        </w:rPr>
        <w:t xml:space="preserve">图 2-2 首登强制改密页（修改密码页面板）</w:t>
      </w:r>
    </w:p>
    <w:p>
      <w:pPr>
        <w:spacing w:after="60" w:line="312"/>
        <w:ind w:firstLine="480"/>
        <w:jc w:val="both"/>
      </w:pPr>
      <w:r>
        <w:rPr>
          <w:rFonts w:ascii="Calibri" w:eastAsia="SimSun"/>
          <w:color w:val="000000"/>
          <w:sz w:val="24"/>
          <w:szCs w:val="24"/>
        </w:rPr>
        <w:t xml:space="preserve">如果连续输错密码，页面会提示凭据无效。管理员密码连续 90 天未修改会被判定过期，过期后再次登录同样会被强制要求改密，属于设计行为。</w:t>
      </w:r>
    </w:p>
    <w:p>
      <w:pPr>
        <w:pStyle w:val="Heading2"/>
        <w:spacing w:after="120" w:before="240" w:line="340" w:lineRule="atLeast"/>
      </w:pPr>
      <w:bookmarkStart w:id="100004" w:name="_Toc100004"/>
      <w:r>
        <w:rPr>
          <w:rFonts w:ascii="Calibri" w:eastAsia="SimHei"/>
          <w:b/>
          <w:bCs/>
          <w:color w:val="0F2B46"/>
          <w:sz w:val="28"/>
          <w:szCs w:val="28"/>
        </w:rPr>
        <w:t xml:space="preserve">2.3 修改密码与密码策略</w:t>
      </w:r>
      <w:bookmarkEnd w:id="100004"/>
    </w:p>
    <w:p>
      <w:pPr>
        <w:spacing w:after="60" w:line="312"/>
        <w:ind w:firstLine="480"/>
        <w:jc w:val="both"/>
      </w:pPr>
      <w:r>
        <w:rPr>
          <w:rFonts w:ascii="Calibri" w:eastAsia="SimSun"/>
          <w:color w:val="000000"/>
          <w:sz w:val="24"/>
          <w:szCs w:val="24"/>
        </w:rPr>
        <w:t xml:space="preserve">面板顶部导航右侧有修改密码入口（也可以直接访问 /change.html 页面）。修改密码需要填写三项：当前密码、新密码、确认新密码，点击确认修改后立即生效，随后需用新密码重新登录。</w:t>
      </w:r>
    </w:p>
    <w:p>
      <w:pPr>
        <w:spacing w:after="60" w:line="312"/>
        <w:ind w:firstLine="480"/>
        <w:jc w:val="both"/>
      </w:pPr>
      <w:r>
        <w:rPr>
          <w:rFonts w:ascii="Calibri" w:eastAsia="SimSun"/>
          <w:color w:val="000000"/>
          <w:sz w:val="24"/>
          <w:szCs w:val="24"/>
        </w:rPr>
        <w:t xml:space="preserve">密码策略：长度 10–64 个字符，必须同时包含大写字母、小写字母、数字和特殊符号，且只能使用 ASCII 可见字符（不允许中文与空格）。密码有效期为 90 天，到期后再次登录时会被强制要求修改；临近到期时，每个页签顶部会出现黄色的密码将于 N 天后到期横幅，提醒您及时修改。</w:t>
      </w:r>
    </w:p>
    <w:p>
      <w:pPr>
        <w:spacing w:after="60" w:line="312"/>
        <w:ind w:firstLine="480"/>
        <w:jc w:val="both"/>
      </w:pPr>
      <w:r>
        <w:rPr>
          <w:rFonts w:ascii="Calibri" w:eastAsia="SimSun"/>
          <w:color w:val="000000"/>
          <w:sz w:val="24"/>
          <w:szCs w:val="24"/>
        </w:rPr>
        <w:t xml:space="preserve">特别提醒：如果板卡发生过时钟跳变（例如授时源丢失后恢复，系统时间被大步纠正），可能出现密码明明没有到期却被要求修改的情况。这是到期判定依赖板载时钟所致，按页面提示完成一次改密即可，不是故障。</w:t>
      </w:r>
    </w:p>
    <w:p>
      <w:pPr>
        <w:pStyle w:val="Heading2"/>
        <w:spacing w:after="120" w:before="240" w:line="340" w:lineRule="atLeast"/>
      </w:pPr>
      <w:bookmarkStart w:id="100005" w:name="_Toc100005"/>
      <w:r>
        <w:rPr>
          <w:rFonts w:ascii="Calibri" w:eastAsia="SimHei"/>
          <w:b/>
          <w:bCs/>
          <w:color w:val="0F2B46"/>
          <w:sz w:val="28"/>
          <w:szCs w:val="28"/>
        </w:rPr>
        <w:t xml:space="preserve">2.4 页面导航总览</w:t>
      </w:r>
      <w:bookmarkEnd w:id="100005"/>
    </w:p>
    <w:p>
      <w:pPr>
        <w:keepNext/>
        <w:spacing w:after="80" w:before="120"/>
      </w:pPr>
      <w:r>
        <w:rPr>
          <w:rFonts w:ascii="Calibri" w:eastAsia="SimHei"/>
          <w:b/>
          <w:bCs/>
          <w:color w:val="333333"/>
          <w:sz w:val="21"/>
          <w:szCs w:val="21"/>
        </w:rPr>
        <w:t xml:space="preserve">表 2-1 顶部导航说明</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W w:type="pct" w:w="22%"/>
            <w:shd w:fill="529286" w:val="clear"/>
            <w:tcMar>
              <w:top w:type="dxa" w:w="60"/>
              <w:left w:type="dxa" w:w="120"/>
              <w:bottom w:type="dxa" w:w="60"/>
              <w:right w:type="dxa" w:w="120"/>
            </w:tcMar>
          </w:tcPr>
          <w:p>
            <w:r>
              <w:rPr>
                <w:rFonts w:ascii="Calibri" w:eastAsia="SimHei"/>
                <w:b/>
                <w:bCs/>
                <w:color w:val="FFFFFF"/>
                <w:sz w:val="21"/>
                <w:szCs w:val="21"/>
              </w:rPr>
              <w:t xml:space="preserve">导航项</w:t>
            </w:r>
          </w:p>
        </w:tc>
        <w:tc>
          <w:tcPr>
            <w:tcW w:type="pct" w:w="56%"/>
            <w:shd w:fill="529286" w:val="clear"/>
            <w:tcMar>
              <w:top w:type="dxa" w:w="60"/>
              <w:left w:type="dxa" w:w="120"/>
              <w:bottom w:type="dxa" w:w="60"/>
              <w:right w:type="dxa" w:w="120"/>
            </w:tcMar>
          </w:tcPr>
          <w:p>
            <w:r>
              <w:rPr>
                <w:rFonts w:ascii="Calibri" w:eastAsia="SimHei"/>
                <w:b/>
                <w:bCs/>
                <w:color w:val="FFFFFF"/>
                <w:sz w:val="21"/>
                <w:szCs w:val="21"/>
              </w:rPr>
              <w:t xml:space="preserve">用途</w:t>
            </w:r>
          </w:p>
        </w:tc>
        <w:tc>
          <w:tcPr>
            <w:tcW w:type="pct" w:w="22%"/>
            <w:shd w:fill="529286" w:val="clear"/>
            <w:tcMar>
              <w:top w:type="dxa" w:w="60"/>
              <w:left w:type="dxa" w:w="120"/>
              <w:bottom w:type="dxa" w:w="60"/>
              <w:right w:type="dxa" w:w="120"/>
            </w:tcMar>
          </w:tcPr>
          <w:p>
            <w:r>
              <w:rPr>
                <w:rFonts w:ascii="Calibri" w:eastAsia="SimHei"/>
                <w:b/>
                <w:bCs/>
                <w:color w:val="FFFFFF"/>
                <w:sz w:val="21"/>
                <w:szCs w:val="21"/>
              </w:rPr>
              <w:t xml:space="preserve">可见性</w:t>
            </w:r>
          </w:p>
        </w:tc>
      </w:tr>
      <w:tr>
        <w:trPr>
          <w:cantSplit/>
        </w:trPr>
        <w:tc>
          <w:tcPr>
            <w:tcW w:type="pct" w:w="22%"/>
            <w:tcMar>
              <w:top w:type="dxa" w:w="60"/>
              <w:left w:type="dxa" w:w="120"/>
              <w:bottom w:type="dxa" w:w="60"/>
              <w:right w:type="dxa" w:w="120"/>
            </w:tcMar>
          </w:tcPr>
          <w:p>
            <w:r>
              <w:rPr>
                <w:rFonts w:ascii="Calibri" w:eastAsia="SimSun"/>
                <w:color w:val="000000"/>
                <w:sz w:val="21"/>
                <w:szCs w:val="21"/>
              </w:rPr>
              <w:t xml:space="preserve">网络参数配置</w:t>
            </w:r>
          </w:p>
        </w:tc>
        <w:tc>
          <w:tcPr>
            <w:tcW w:type="pct" w:w="56%"/>
            <w:tcMar>
              <w:top w:type="dxa" w:w="60"/>
              <w:left w:type="dxa" w:w="120"/>
              <w:bottom w:type="dxa" w:w="60"/>
              <w:right w:type="dxa" w:w="120"/>
            </w:tcMar>
          </w:tcPr>
          <w:p>
            <w:r>
              <w:rPr>
                <w:rFonts w:ascii="Calibri" w:eastAsia="SimSun"/>
                <w:color w:val="000000"/>
                <w:sz w:val="21"/>
                <w:szCs w:val="21"/>
              </w:rPr>
              <w:t xml:space="preserve">查看与修改 eth0–eth3 各网口的 IP 参数</w:t>
            </w:r>
          </w:p>
        </w:tc>
        <w:tc>
          <w:tcPr>
            <w:tcW w:type="pct" w:w="22%"/>
            <w:tcMar>
              <w:top w:type="dxa" w:w="60"/>
              <w:left w:type="dxa" w:w="120"/>
              <w:bottom w:type="dxa" w:w="60"/>
              <w:right w:type="dxa" w:w="120"/>
            </w:tcMar>
          </w:tcPr>
          <w:p>
            <w:r>
              <w:rPr>
                <w:rFonts w:ascii="Calibri" w:eastAsia="SimSun"/>
                <w:color w:val="000000"/>
                <w:sz w:val="21"/>
                <w:szCs w:val="21"/>
              </w:rPr>
              <w:t xml:space="preserve">所有用户</w:t>
            </w:r>
          </w:p>
        </w:tc>
      </w:tr>
      <w:tr>
        <w:trPr>
          <w:cantSplit/>
        </w:trPr>
        <w:tc>
          <w:tcPr>
            <w:tcW w:type="pct" w:w="22%"/>
            <w:tcMar>
              <w:top w:type="dxa" w:w="60"/>
              <w:left w:type="dxa" w:w="120"/>
              <w:bottom w:type="dxa" w:w="60"/>
              <w:right w:type="dxa" w:w="120"/>
            </w:tcMar>
          </w:tcPr>
          <w:p>
            <w:r>
              <w:rPr>
                <w:rFonts w:ascii="Calibri" w:eastAsia="SimSun"/>
                <w:color w:val="000000"/>
                <w:sz w:val="21"/>
                <w:szCs w:val="21"/>
              </w:rPr>
              <w:t xml:space="preserve">服务监控及报警</w:t>
            </w:r>
          </w:p>
        </w:tc>
        <w:tc>
          <w:tcPr>
            <w:tcW w:type="pct" w:w="56%"/>
            <w:tcMar>
              <w:top w:type="dxa" w:w="60"/>
              <w:left w:type="dxa" w:w="120"/>
              <w:bottom w:type="dxa" w:w="60"/>
              <w:right w:type="dxa" w:w="120"/>
            </w:tcMar>
          </w:tcPr>
          <w:p>
            <w:r>
              <w:rPr>
                <w:rFonts w:ascii="Calibri" w:eastAsia="SimSun"/>
                <w:color w:val="000000"/>
                <w:sz w:val="21"/>
                <w:szCs w:val="21"/>
              </w:rPr>
              <w:t xml:space="preserve">NTP 请求量监控、各网口授时状态、客户端列表、NTP 访问控制</w:t>
            </w:r>
          </w:p>
        </w:tc>
        <w:tc>
          <w:tcPr>
            <w:tcW w:type="pct" w:w="22%"/>
            <w:tcMar>
              <w:top w:type="dxa" w:w="60"/>
              <w:left w:type="dxa" w:w="120"/>
              <w:bottom w:type="dxa" w:w="60"/>
              <w:right w:type="dxa" w:w="120"/>
            </w:tcMar>
          </w:tcPr>
          <w:p>
            <w:r>
              <w:rPr>
                <w:rFonts w:ascii="Calibri" w:eastAsia="SimSun"/>
                <w:color w:val="000000"/>
                <w:sz w:val="21"/>
                <w:szCs w:val="21"/>
              </w:rPr>
              <w:t xml:space="preserve">所有用户</w:t>
            </w:r>
          </w:p>
        </w:tc>
      </w:tr>
      <w:tr>
        <w:trPr>
          <w:cantSplit/>
        </w:trPr>
        <w:tc>
          <w:tcPr>
            <w:tcW w:type="pct" w:w="22%"/>
            <w:tcMar>
              <w:top w:type="dxa" w:w="60"/>
              <w:left w:type="dxa" w:w="120"/>
              <w:bottom w:type="dxa" w:w="60"/>
              <w:right w:type="dxa" w:w="120"/>
            </w:tcMar>
          </w:tcPr>
          <w:p>
            <w:r>
              <w:rPr>
                <w:rFonts w:ascii="Calibri" w:eastAsia="SimSun"/>
                <w:color w:val="000000"/>
                <w:sz w:val="21"/>
                <w:szCs w:val="21"/>
              </w:rPr>
              <w:t xml:space="preserve">时间服务校验设置</w:t>
            </w:r>
          </w:p>
        </w:tc>
        <w:tc>
          <w:tcPr>
            <w:tcW w:type="pct" w:w="56%"/>
            <w:tcMar>
              <w:top w:type="dxa" w:w="60"/>
              <w:left w:type="dxa" w:w="120"/>
              <w:bottom w:type="dxa" w:w="60"/>
              <w:right w:type="dxa" w:w="120"/>
            </w:tcMar>
          </w:tcPr>
          <w:p>
            <w:r>
              <w:rPr>
                <w:rFonts w:ascii="Calibri" w:eastAsia="SimSun"/>
                <w:color w:val="000000"/>
                <w:sz w:val="21"/>
                <w:szCs w:val="21"/>
              </w:rPr>
              <w:t xml:space="preserve">授时链路状态查看、UT986 接收机模式切换、锁定星数</w:t>
            </w:r>
          </w:p>
        </w:tc>
        <w:tc>
          <w:tcPr>
            <w:tcW w:type="pct" w:w="22%"/>
            <w:tcMar>
              <w:top w:type="dxa" w:w="60"/>
              <w:left w:type="dxa" w:w="120"/>
              <w:bottom w:type="dxa" w:w="60"/>
              <w:right w:type="dxa" w:w="120"/>
            </w:tcMar>
          </w:tcPr>
          <w:p>
            <w:r>
              <w:rPr>
                <w:rFonts w:ascii="Calibri" w:eastAsia="SimSun"/>
                <w:color w:val="000000"/>
                <w:sz w:val="21"/>
                <w:szCs w:val="21"/>
              </w:rPr>
              <w:t xml:space="preserve">所有用户</w:t>
            </w:r>
          </w:p>
        </w:tc>
      </w:tr>
      <w:tr>
        <w:trPr>
          <w:cantSplit/>
        </w:trPr>
        <w:tc>
          <w:tcPr>
            <w:tcW w:type="pct" w:w="22%"/>
            <w:tcMar>
              <w:top w:type="dxa" w:w="60"/>
              <w:left w:type="dxa" w:w="120"/>
              <w:bottom w:type="dxa" w:w="60"/>
              <w:right w:type="dxa" w:w="120"/>
            </w:tcMar>
          </w:tcPr>
          <w:p>
            <w:r>
              <w:rPr>
                <w:rFonts w:ascii="Calibri" w:eastAsia="SimSun"/>
                <w:color w:val="000000"/>
                <w:sz w:val="21"/>
                <w:szCs w:val="21"/>
              </w:rPr>
              <w:t xml:space="preserve">用户管理</w:t>
            </w:r>
          </w:p>
        </w:tc>
        <w:tc>
          <w:tcPr>
            <w:tcW w:type="pct" w:w="56%"/>
            <w:tcMar>
              <w:top w:type="dxa" w:w="60"/>
              <w:left w:type="dxa" w:w="120"/>
              <w:bottom w:type="dxa" w:w="60"/>
              <w:right w:type="dxa" w:w="120"/>
            </w:tcMar>
          </w:tcPr>
          <w:p>
            <w:r>
              <w:rPr>
                <w:rFonts w:ascii="Calibri" w:eastAsia="SimSun"/>
                <w:color w:val="000000"/>
                <w:sz w:val="21"/>
                <w:szCs w:val="21"/>
              </w:rPr>
              <w:t xml:space="preserve">创建/删除/启停用户、重置密码</w:t>
            </w:r>
          </w:p>
        </w:tc>
        <w:tc>
          <w:tcPr>
            <w:tcW w:type="pct" w:w="22%"/>
            <w:tcMar>
              <w:top w:type="dxa" w:w="60"/>
              <w:left w:type="dxa" w:w="120"/>
              <w:bottom w:type="dxa" w:w="60"/>
              <w:right w:type="dxa" w:w="120"/>
            </w:tcMar>
          </w:tcPr>
          <w:p>
            <w:r>
              <w:rPr>
                <w:rFonts w:ascii="Calibri" w:eastAsia="SimSun"/>
                <w:color w:val="000000"/>
                <w:sz w:val="21"/>
                <w:szCs w:val="21"/>
              </w:rPr>
              <w:t xml:space="preserve">仅管理员（root）</w:t>
            </w:r>
          </w:p>
        </w:tc>
      </w:tr>
      <w:tr>
        <w:trPr>
          <w:cantSplit/>
        </w:trPr>
        <w:tc>
          <w:tcPr>
            <w:tcW w:type="pct" w:w="22%"/>
            <w:tcMar>
              <w:top w:type="dxa" w:w="60"/>
              <w:left w:type="dxa" w:w="120"/>
              <w:bottom w:type="dxa" w:w="60"/>
              <w:right w:type="dxa" w:w="120"/>
            </w:tcMar>
          </w:tcPr>
          <w:p>
            <w:r>
              <w:rPr>
                <w:rFonts w:ascii="Calibri" w:eastAsia="SimSun"/>
                <w:color w:val="000000"/>
                <w:sz w:val="21"/>
                <w:szCs w:val="21"/>
              </w:rPr>
              <w:t xml:space="preserve">系统日志</w:t>
            </w:r>
          </w:p>
        </w:tc>
        <w:tc>
          <w:tcPr>
            <w:tcW w:type="pct" w:w="56%"/>
            <w:tcMar>
              <w:top w:type="dxa" w:w="60"/>
              <w:left w:type="dxa" w:w="120"/>
              <w:bottom w:type="dxa" w:w="60"/>
              <w:right w:type="dxa" w:w="120"/>
            </w:tcMar>
          </w:tcPr>
          <w:p>
            <w:r>
              <w:rPr>
                <w:rFonts w:ascii="Calibri" w:eastAsia="SimSun"/>
                <w:color w:val="000000"/>
                <w:sz w:val="21"/>
                <w:szCs w:val="21"/>
              </w:rPr>
              <w:t xml:space="preserve">查看板卡系统日志</w:t>
            </w:r>
          </w:p>
        </w:tc>
        <w:tc>
          <w:tcPr>
            <w:tcW w:type="pct" w:w="22%"/>
            <w:tcMar>
              <w:top w:type="dxa" w:w="60"/>
              <w:left w:type="dxa" w:w="120"/>
              <w:bottom w:type="dxa" w:w="60"/>
              <w:right w:type="dxa" w:w="120"/>
            </w:tcMar>
          </w:tcPr>
          <w:p>
            <w:r>
              <w:rPr>
                <w:rFonts w:ascii="Calibri" w:eastAsia="SimSun"/>
                <w:color w:val="000000"/>
                <w:sz w:val="21"/>
                <w:szCs w:val="21"/>
              </w:rPr>
              <w:t xml:space="preserve">仅管理员（root）</w:t>
            </w:r>
          </w:p>
        </w:tc>
      </w:tr>
      <w:tr>
        <w:trPr>
          <w:cantSplit/>
        </w:trPr>
        <w:tc>
          <w:tcPr>
            <w:tcW w:type="pct" w:w="22%"/>
            <w:tcMar>
              <w:top w:type="dxa" w:w="60"/>
              <w:left w:type="dxa" w:w="120"/>
              <w:bottom w:type="dxa" w:w="60"/>
              <w:right w:type="dxa" w:w="120"/>
            </w:tcMar>
          </w:tcPr>
          <w:p>
            <w:r>
              <w:rPr>
                <w:rFonts w:ascii="Calibri" w:eastAsia="SimSun"/>
                <w:color w:val="000000"/>
                <w:sz w:val="21"/>
                <w:szCs w:val="21"/>
              </w:rPr>
              <w:t xml:space="preserve">修改密码</w:t>
            </w:r>
          </w:p>
        </w:tc>
        <w:tc>
          <w:tcPr>
            <w:tcW w:type="pct" w:w="56%"/>
            <w:tcMar>
              <w:top w:type="dxa" w:w="60"/>
              <w:left w:type="dxa" w:w="120"/>
              <w:bottom w:type="dxa" w:w="60"/>
              <w:right w:type="dxa" w:w="120"/>
            </w:tcMar>
          </w:tcPr>
          <w:p>
            <w:r>
              <w:rPr>
                <w:rFonts w:ascii="Calibri" w:eastAsia="SimSun"/>
                <w:color w:val="000000"/>
                <w:sz w:val="21"/>
                <w:szCs w:val="21"/>
              </w:rPr>
              <w:t xml:space="preserve">跳转到改密页面</w:t>
            </w:r>
          </w:p>
        </w:tc>
        <w:tc>
          <w:tcPr>
            <w:tcW w:type="pct" w:w="22%"/>
            <w:tcMar>
              <w:top w:type="dxa" w:w="60"/>
              <w:left w:type="dxa" w:w="120"/>
              <w:bottom w:type="dxa" w:w="60"/>
              <w:right w:type="dxa" w:w="120"/>
            </w:tcMar>
          </w:tcPr>
          <w:p>
            <w:r>
              <w:rPr>
                <w:rFonts w:ascii="Calibri" w:eastAsia="SimSun"/>
                <w:color w:val="000000"/>
                <w:sz w:val="21"/>
                <w:szCs w:val="21"/>
              </w:rPr>
              <w:t xml:space="preserve">所有用户</w:t>
            </w:r>
          </w:p>
        </w:tc>
      </w:tr>
    </w:tbl>
    <w:p>
      <w:pPr>
        <w:pStyle w:val="Heading1"/>
        <w:spacing w:after="160" w:before="360" w:line="380" w:lineRule="atLeast"/>
      </w:pPr>
      <w:bookmarkStart w:id="100006" w:name="_Toc100006"/>
      <w:r>
        <w:rPr>
          <w:rFonts w:ascii="Calibri" w:eastAsia="SimHei"/>
          <w:b/>
          <w:bCs/>
          <w:color w:val="0F2B46"/>
          <w:sz w:val="32"/>
          <w:szCs w:val="32"/>
        </w:rPr>
        <w:t xml:space="preserve">3. 网络参数配置</w:t>
      </w:r>
      <w:bookmarkEnd w:id="100006"/>
    </w:p>
    <w:p>
      <w:pPr>
        <w:pStyle w:val="Heading2"/>
        <w:spacing w:after="120" w:before="240" w:line="340" w:lineRule="atLeast"/>
      </w:pPr>
      <w:bookmarkStart w:id="100007" w:name="_Toc100007"/>
      <w:r>
        <w:rPr>
          <w:rFonts w:ascii="Calibri" w:eastAsia="SimHei"/>
          <w:b/>
          <w:bCs/>
          <w:color w:val="0F2B46"/>
          <w:sz w:val="28"/>
          <w:szCs w:val="28"/>
        </w:rPr>
        <w:t xml:space="preserve">3.1 查看与修改</w:t>
      </w:r>
      <w:bookmarkEnd w:id="100007"/>
    </w:p>
    <w:p>
      <w:pPr>
        <w:spacing w:after="60" w:line="312"/>
        <w:ind w:firstLine="480"/>
        <w:jc w:val="both"/>
      </w:pPr>
      <w:r>
        <w:rPr>
          <w:rFonts w:ascii="Calibri" w:eastAsia="SimSun"/>
          <w:color w:val="000000"/>
          <w:sz w:val="24"/>
          <w:szCs w:val="24"/>
        </w:rPr>
        <w:t xml:space="preserve">进入网络参数配置页签后，页面上方的板卡页签栏会列出 eth0 至 eth3 各个网口，点击页签切换要查看的网口，再点击刷新按钮读取该网口当前生效的配置。页面如图 3-1 所示。</w:t>
      </w:r>
    </w:p>
    <w:p>
      <w:pPr>
        <w:keepNext/>
        <w:spacing w:after="40" w:before="120"/>
        <w:jc w:val="center"/>
      </w:pPr>
      <w:r>
        <w:drawing>
          <wp:inline distT="0" distB="0" distL="0" distR="0">
            <wp:extent cx="550545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05450" cy="5895975"/>
                    </a:xfrm>
                    <a:prstGeom prst="rect">
                      <a:avLst/>
                    </a:prstGeom>
                  </pic:spPr>
                </pic:pic>
              </a:graphicData>
            </a:graphic>
          </wp:inline>
        </w:drawing>
      </w:r>
    </w:p>
    <w:p>
      <w:pPr>
        <w:spacing w:after="140"/>
        <w:jc w:val="center"/>
      </w:pPr>
      <w:r>
        <w:rPr>
          <w:rFonts w:ascii="Calibri" w:eastAsia="SimHei"/>
          <w:color w:val="555555"/>
          <w:sz w:val="18"/>
          <w:szCs w:val="18"/>
        </w:rPr>
        <w:t xml:space="preserve">图 3-1 网络参数配置页（eth0）</w:t>
      </w:r>
    </w:p>
    <w:p>
      <w:pPr>
        <w:spacing w:after="60" w:line="312"/>
        <w:ind w:firstLine="480"/>
        <w:jc w:val="both"/>
      </w:pPr>
      <w:r>
        <w:rPr>
          <w:rFonts w:ascii="Calibri" w:eastAsia="SimSun"/>
          <w:color w:val="000000"/>
          <w:sz w:val="24"/>
          <w:szCs w:val="24"/>
        </w:rPr>
        <w:t xml:space="preserve">修改流程：在输入框中填入新的 IP 参数，点击应用后系统通过 NetworkManager 下发配置，页面会显示应用结果。字段规则如下：</w:t>
      </w:r>
    </w:p>
    <w:p>
      <w:pPr>
        <w:pStyle w:val="ListParagraph"/>
        <w:numPr>
          <w:ilvl w:val="0"/>
          <w:numId w:val="2"/>
        </w:numPr>
        <w:spacing w:after="40" w:line="312"/>
        <w:jc w:val="both"/>
      </w:pPr>
      <w:r>
        <w:rPr>
          <w:rFonts w:ascii="Calibri" w:eastAsia="SimSun"/>
          <w:color w:val="000000"/>
          <w:sz w:val="24"/>
          <w:szCs w:val="24"/>
        </w:rPr>
        <w:t xml:space="preserve">IPv4 地址与掩码：静态配置；子网掩码必须为连续 1 位的合法掩码（如 255.255.255.0），否则会被拒绝。</w:t>
      </w:r>
    </w:p>
    <w:p>
      <w:pPr>
        <w:pStyle w:val="ListParagraph"/>
        <w:numPr>
          <w:ilvl w:val="0"/>
          <w:numId w:val="2"/>
        </w:numPr>
        <w:spacing w:after="40" w:line="312"/>
        <w:jc w:val="both"/>
      </w:pPr>
      <w:r>
        <w:rPr>
          <w:rFonts w:ascii="Calibri" w:eastAsia="SimSun"/>
          <w:color w:val="000000"/>
          <w:sz w:val="24"/>
          <w:szCs w:val="24"/>
        </w:rPr>
        <w:t xml:space="preserve">默认网关：整个板卡只允许一个生效网关。为某个新网口配置网关时，系统会自动清空其他网口已配置的网关，请确认这正是您想要的。</w:t>
      </w:r>
    </w:p>
    <w:p>
      <w:pPr>
        <w:pStyle w:val="ListParagraph"/>
        <w:numPr>
          <w:ilvl w:val="0"/>
          <w:numId w:val="2"/>
        </w:numPr>
        <w:spacing w:after="40" w:line="312"/>
        <w:jc w:val="both"/>
      </w:pPr>
      <w:r>
        <w:rPr>
          <w:rFonts w:ascii="Calibri" w:eastAsia="SimSun"/>
          <w:color w:val="000000"/>
          <w:sz w:val="24"/>
          <w:szCs w:val="24"/>
        </w:rPr>
        <w:t xml:space="preserve">DNS：可填 1–2 个，逗号分隔，允许留空。</w:t>
      </w:r>
    </w:p>
    <w:p>
      <w:pPr>
        <w:pStyle w:val="ListParagraph"/>
        <w:numPr>
          <w:ilvl w:val="0"/>
          <w:numId w:val="2"/>
        </w:numPr>
        <w:spacing w:after="40" w:line="312"/>
        <w:jc w:val="both"/>
      </w:pPr>
      <w:r>
        <w:rPr>
          <w:rFonts w:ascii="Calibri" w:eastAsia="SimSun"/>
          <w:color w:val="000000"/>
          <w:sz w:val="24"/>
          <w:szCs w:val="24"/>
        </w:rPr>
        <w:t xml:space="preserve">IPv6：手动填写地址与前缀；留空则该网口 IPv6 方式为忽略（NetworkManager 1.14 不支持 disabled，界面会自动按忽略处理）。</w:t>
      </w:r>
    </w:p>
    <w:p>
      <w:pPr>
        <w:spacing w:after="60" w:line="312"/>
        <w:ind w:firstLine="480"/>
        <w:jc w:val="both"/>
      </w:pPr>
      <w:r>
        <w:rPr>
          <w:rFonts w:ascii="Calibri" w:eastAsia="SimSun"/>
          <w:color w:val="000000"/>
          <w:sz w:val="24"/>
          <w:szCs w:val="24"/>
        </w:rPr>
        <w:t xml:space="preserve">重要安全机制：对默认管理口 eth0 的改动带有 3 分钟回滚保护。应用新的 eth0 配置后，如果没有在 3 分钟内重新成功登录面板确认，系统会自动恢复修改前的网络配置。因此改错 eth0 地址不会导致设备失联，但也请不要把回滚机制当作尝试性配置的工具——每次修改前请确认目标地址正确。</w:t>
      </w:r>
    </w:p>
    <w:p>
      <w:pPr>
        <w:pStyle w:val="Heading1"/>
        <w:spacing w:after="160" w:before="360" w:line="380" w:lineRule="atLeast"/>
      </w:pPr>
      <w:bookmarkStart w:id="100008" w:name="_Toc100008"/>
      <w:r>
        <w:rPr>
          <w:rFonts w:ascii="Calibri" w:eastAsia="SimHei"/>
          <w:b/>
          <w:bCs/>
          <w:color w:val="0F2B46"/>
          <w:sz w:val="32"/>
          <w:szCs w:val="32"/>
        </w:rPr>
        <w:t xml:space="preserve">4. 服务监控及报警</w:t>
      </w:r>
      <w:bookmarkEnd w:id="100008"/>
    </w:p>
    <w:p>
      <w:pPr>
        <w:pStyle w:val="Heading2"/>
        <w:spacing w:after="120" w:before="240" w:line="340" w:lineRule="atLeast"/>
      </w:pPr>
      <w:bookmarkStart w:id="100009" w:name="_Toc100009"/>
      <w:r>
        <w:rPr>
          <w:rFonts w:ascii="Calibri" w:eastAsia="SimHei"/>
          <w:b/>
          <w:bCs/>
          <w:color w:val="0F2B46"/>
          <w:sz w:val="28"/>
          <w:szCs w:val="28"/>
        </w:rPr>
        <w:t xml:space="preserve">4.1 顶部状态卡片</w:t>
      </w:r>
      <w:bookmarkEnd w:id="100009"/>
    </w:p>
    <w:p>
      <w:pPr>
        <w:spacing w:after="60" w:line="312"/>
        <w:ind w:firstLine="480"/>
        <w:jc w:val="both"/>
      </w:pPr>
      <w:r>
        <w:rPr>
          <w:rFonts w:ascii="Calibri" w:eastAsia="SimSun"/>
          <w:color w:val="000000"/>
          <w:sz w:val="24"/>
          <w:szCs w:val="24"/>
        </w:rPr>
        <w:t xml:space="preserve">页签顶部有四张卡片：当前速率（每分钟 NTP 请求数）、窗口内请求、峰值（条/秒）与累计（自采集服务启动以来的总请求数）。它们反映局域网设备对本机授时服务的使用强度。</w:t>
      </w:r>
    </w:p>
    <w:p>
      <w:pPr>
        <w:pStyle w:val="Heading2"/>
        <w:spacing w:after="120" w:before="240" w:line="340" w:lineRule="atLeast"/>
      </w:pPr>
      <w:bookmarkStart w:id="100010" w:name="_Toc100010"/>
      <w:r>
        <w:rPr>
          <w:rFonts w:ascii="Calibri" w:eastAsia="SimHei"/>
          <w:b/>
          <w:bCs/>
          <w:color w:val="0F2B46"/>
          <w:sz w:val="28"/>
          <w:szCs w:val="28"/>
        </w:rPr>
        <w:t xml:space="preserve">4.2 chrony 请求量趋势图</w:t>
      </w:r>
      <w:bookmarkEnd w:id="100010"/>
    </w:p>
    <w:p>
      <w:pPr>
        <w:spacing w:after="60" w:line="312"/>
        <w:ind w:firstLine="480"/>
        <w:jc w:val="both"/>
      </w:pPr>
      <w:r>
        <w:rPr>
          <w:rFonts w:ascii="Calibri" w:eastAsia="SimSun"/>
          <w:color w:val="000000"/>
          <w:sz w:val="24"/>
          <w:szCs w:val="24"/>
        </w:rPr>
        <w:t xml:space="preserve">趋势图展示近期每秒收到的 NTP 请求量，支持近 1 分钟与近 1 小时两种窗口切换。鼠标悬停在曲线上可以查看该时刻的每秒请求数与累计值。曲线为实时更新，通常在每秒 0–2 条的量级波动（单个客户端约 1.4 秒请求一次）。实际界面如图 4-2 所示。</w:t>
      </w:r>
    </w:p>
    <w:p>
      <w:pPr>
        <w:keepNext/>
        <w:spacing w:after="40" w:before="120"/>
        <w:jc w:val="center"/>
      </w:pPr>
      <w:r>
        <w:drawing>
          <wp:inline distT="0" distB="0" distL="0" distR="0">
            <wp:extent cx="55054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05450" cy="3600450"/>
                    </a:xfrm>
                    <a:prstGeom prst="rect">
                      <a:avLst/>
                    </a:prstGeom>
                  </pic:spPr>
                </pic:pic>
              </a:graphicData>
            </a:graphic>
          </wp:inline>
        </w:drawing>
      </w:r>
    </w:p>
    <w:p>
      <w:pPr>
        <w:spacing w:after="140"/>
        <w:jc w:val="center"/>
      </w:pPr>
      <w:r>
        <w:rPr>
          <w:rFonts w:ascii="Calibri" w:eastAsia="SimHei"/>
          <w:color w:val="555555"/>
          <w:sz w:val="18"/>
          <w:szCs w:val="18"/>
        </w:rPr>
        <w:t xml:space="preserve">图 4-1 chrony 请求量卡片与趋势图（近 1 分钟窗口）</w:t>
      </w:r>
    </w:p>
    <w:p>
      <w:pPr>
        <w:pStyle w:val="Heading2"/>
        <w:spacing w:after="120" w:before="240" w:line="340" w:lineRule="atLeast"/>
      </w:pPr>
      <w:bookmarkStart w:id="100011" w:name="_Toc100011"/>
      <w:r>
        <w:rPr>
          <w:rFonts w:ascii="Calibri" w:eastAsia="SimHei"/>
          <w:b/>
          <w:bCs/>
          <w:color w:val="0F2B46"/>
          <w:sz w:val="28"/>
          <w:szCs w:val="28"/>
        </w:rPr>
        <w:t xml:space="preserve">4.3 各网口授时服务状态表</w:t>
      </w:r>
      <w:bookmarkEnd w:id="100011"/>
    </w:p>
    <w:p>
      <w:pPr>
        <w:keepNext/>
        <w:spacing w:after="80" w:before="120"/>
      </w:pPr>
      <w:r>
        <w:rPr>
          <w:rFonts w:ascii="Calibri" w:eastAsia="SimHei"/>
          <w:b/>
          <w:bCs/>
          <w:color w:val="333333"/>
          <w:sz w:val="21"/>
          <w:szCs w:val="21"/>
        </w:rPr>
        <w:t xml:space="preserve">表 4-1 状态表列含义</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tblGrid>
      <w:tr>
        <w:trPr>
          <w:cantSplit/>
          <w:tblHeader/>
        </w:trPr>
        <w:tc>
          <w:tcPr>
            <w:tcW w:type="pct" w:w="18%"/>
            <w:shd w:fill="529286" w:val="clear"/>
            <w:tcMar>
              <w:top w:type="dxa" w:w="60"/>
              <w:left w:type="dxa" w:w="120"/>
              <w:bottom w:type="dxa" w:w="60"/>
              <w:right w:type="dxa" w:w="120"/>
            </w:tcMar>
          </w:tcPr>
          <w:p>
            <w:r>
              <w:rPr>
                <w:rFonts w:ascii="Calibri" w:eastAsia="SimHei"/>
                <w:b/>
                <w:bCs/>
                <w:color w:val="FFFFFF"/>
                <w:sz w:val="21"/>
                <w:szCs w:val="21"/>
              </w:rPr>
              <w:t xml:space="preserve">列</w:t>
            </w:r>
          </w:p>
        </w:tc>
        <w:tc>
          <w:tcPr>
            <w:tcW w:type="pct" w:w="82%"/>
            <w:shd w:fill="529286" w:val="clear"/>
            <w:tcMar>
              <w:top w:type="dxa" w:w="60"/>
              <w:left w:type="dxa" w:w="120"/>
              <w:bottom w:type="dxa" w:w="60"/>
              <w:right w:type="dxa" w:w="120"/>
            </w:tcMar>
          </w:tcPr>
          <w:p>
            <w:r>
              <w:rPr>
                <w:rFonts w:ascii="Calibri" w:eastAsia="SimHei"/>
                <w:b/>
                <w:bCs/>
                <w:color w:val="FFFFFF"/>
                <w:sz w:val="21"/>
                <w:szCs w:val="21"/>
              </w:rPr>
              <w:t xml:space="preserve">含义</w:t>
            </w:r>
          </w:p>
        </w:tc>
      </w:tr>
      <w:tr>
        <w:trPr>
          <w:cantSplit/>
        </w:trPr>
        <w:tc>
          <w:tcPr>
            <w:tcW w:type="pct" w:w="18%"/>
            <w:tcMar>
              <w:top w:type="dxa" w:w="60"/>
              <w:left w:type="dxa" w:w="120"/>
              <w:bottom w:type="dxa" w:w="60"/>
              <w:right w:type="dxa" w:w="120"/>
            </w:tcMar>
          </w:tcPr>
          <w:p>
            <w:r>
              <w:rPr>
                <w:rFonts w:ascii="Calibri" w:eastAsia="SimSun"/>
                <w:color w:val="000000"/>
                <w:sz w:val="21"/>
                <w:szCs w:val="21"/>
              </w:rPr>
              <w:t xml:space="preserve">请求</w:t>
            </w:r>
          </w:p>
        </w:tc>
        <w:tc>
          <w:tcPr>
            <w:tcW w:type="pct" w:w="82%"/>
            <w:tcMar>
              <w:top w:type="dxa" w:w="60"/>
              <w:left w:type="dxa" w:w="120"/>
              <w:bottom w:type="dxa" w:w="60"/>
              <w:right w:type="dxa" w:w="120"/>
            </w:tcMar>
          </w:tcPr>
          <w:p>
            <w:r>
              <w:rPr>
                <w:rFonts w:ascii="Calibri" w:eastAsia="SimSun"/>
                <w:color w:val="000000"/>
                <w:sz w:val="21"/>
                <w:szCs w:val="21"/>
              </w:rPr>
              <w:t xml:space="preserve">统计窗口内该网口收到的 NTP 请求报文数</w:t>
            </w:r>
          </w:p>
        </w:tc>
      </w:tr>
      <w:tr>
        <w:trPr>
          <w:cantSplit/>
        </w:trPr>
        <w:tc>
          <w:tcPr>
            <w:tcW w:type="pct" w:w="18%"/>
            <w:tcMar>
              <w:top w:type="dxa" w:w="60"/>
              <w:left w:type="dxa" w:w="120"/>
              <w:bottom w:type="dxa" w:w="60"/>
              <w:right w:type="dxa" w:w="120"/>
            </w:tcMar>
          </w:tcPr>
          <w:p>
            <w:r>
              <w:rPr>
                <w:rFonts w:ascii="Calibri" w:eastAsia="SimSun"/>
                <w:color w:val="000000"/>
                <w:sz w:val="21"/>
                <w:szCs w:val="21"/>
              </w:rPr>
              <w:t xml:space="preserve">有效 NTP</w:t>
            </w:r>
          </w:p>
        </w:tc>
        <w:tc>
          <w:tcPr>
            <w:tcW w:type="pct" w:w="82%"/>
            <w:tcMar>
              <w:top w:type="dxa" w:w="60"/>
              <w:left w:type="dxa" w:w="120"/>
              <w:bottom w:type="dxa" w:w="60"/>
              <w:right w:type="dxa" w:w="120"/>
            </w:tcMar>
          </w:tcPr>
          <w:p>
            <w:r>
              <w:rPr>
                <w:rFonts w:ascii="Calibri" w:eastAsia="SimSun"/>
                <w:color w:val="000000"/>
                <w:sz w:val="21"/>
                <w:szCs w:val="21"/>
              </w:rPr>
              <w:t xml:space="preserve">其中载荷符合标准 NTP 客户端请求格式的数量</w:t>
            </w:r>
          </w:p>
        </w:tc>
      </w:tr>
      <w:tr>
        <w:trPr>
          <w:cantSplit/>
        </w:trPr>
        <w:tc>
          <w:tcPr>
            <w:tcW w:type="pct" w:w="18%"/>
            <w:tcMar>
              <w:top w:type="dxa" w:w="60"/>
              <w:left w:type="dxa" w:w="120"/>
              <w:bottom w:type="dxa" w:w="60"/>
              <w:right w:type="dxa" w:w="120"/>
            </w:tcMar>
          </w:tcPr>
          <w:p>
            <w:r>
              <w:rPr>
                <w:rFonts w:ascii="Calibri" w:eastAsia="SimSun"/>
                <w:color w:val="000000"/>
                <w:sz w:val="21"/>
                <w:szCs w:val="21"/>
              </w:rPr>
              <w:t xml:space="preserve">应答</w:t>
            </w:r>
          </w:p>
        </w:tc>
        <w:tc>
          <w:tcPr>
            <w:tcW w:type="pct" w:w="82%"/>
            <w:tcMar>
              <w:top w:type="dxa" w:w="60"/>
              <w:left w:type="dxa" w:w="120"/>
              <w:bottom w:type="dxa" w:w="60"/>
              <w:right w:type="dxa" w:w="120"/>
            </w:tcMar>
          </w:tcPr>
          <w:p>
            <w:r>
              <w:rPr>
                <w:rFonts w:ascii="Calibri" w:eastAsia="SimSun"/>
                <w:color w:val="000000"/>
                <w:sz w:val="21"/>
                <w:szCs w:val="21"/>
              </w:rPr>
              <w:t xml:space="preserve">本机从该网口发出的 NTP 应答数量（取自 iptables OUTPUT 计数）</w:t>
            </w:r>
          </w:p>
        </w:tc>
      </w:tr>
      <w:tr>
        <w:trPr>
          <w:cantSplit/>
        </w:trPr>
        <w:tc>
          <w:tcPr>
            <w:tcW w:type="pct" w:w="18%"/>
            <w:tcMar>
              <w:top w:type="dxa" w:w="60"/>
              <w:left w:type="dxa" w:w="120"/>
              <w:bottom w:type="dxa" w:w="60"/>
              <w:right w:type="dxa" w:w="120"/>
            </w:tcMar>
          </w:tcPr>
          <w:p>
            <w:r>
              <w:rPr>
                <w:rFonts w:ascii="Calibri" w:eastAsia="SimSun"/>
                <w:color w:val="000000"/>
                <w:sz w:val="21"/>
                <w:szCs w:val="21"/>
              </w:rPr>
              <w:t xml:space="preserve">应答率</w:t>
            </w:r>
          </w:p>
        </w:tc>
        <w:tc>
          <w:tcPr>
            <w:tcW w:type="pct" w:w="82%"/>
            <w:tcMar>
              <w:top w:type="dxa" w:w="60"/>
              <w:left w:type="dxa" w:w="120"/>
              <w:bottom w:type="dxa" w:w="60"/>
              <w:right w:type="dxa" w:w="120"/>
            </w:tcMar>
          </w:tcPr>
          <w:p>
            <w:r>
              <w:rPr>
                <w:rFonts w:ascii="Calibri" w:eastAsia="SimSun"/>
                <w:color w:val="000000"/>
                <w:sz w:val="21"/>
                <w:szCs w:val="21"/>
              </w:rPr>
              <w:t xml:space="preserve">应答/请求。偶发显示约 100% 属正常统计边界效应（应答计数滞后请求最多 1 秒，分钟边界一对请求/应答可能被切进相邻窗口）</w:t>
            </w:r>
          </w:p>
        </w:tc>
      </w:tr>
      <w:tr>
        <w:trPr>
          <w:cantSplit/>
        </w:trPr>
        <w:tc>
          <w:tcPr>
            <w:tcW w:type="pct" w:w="18%"/>
            <w:tcMar>
              <w:top w:type="dxa" w:w="60"/>
              <w:left w:type="dxa" w:w="120"/>
              <w:bottom w:type="dxa" w:w="60"/>
              <w:right w:type="dxa" w:w="120"/>
            </w:tcMar>
          </w:tcPr>
          <w:p>
            <w:r>
              <w:rPr>
                <w:rFonts w:ascii="Calibri" w:eastAsia="SimSun"/>
                <w:color w:val="000000"/>
                <w:sz w:val="21"/>
                <w:szCs w:val="21"/>
              </w:rPr>
              <w:t xml:space="preserve">客户端数</w:t>
            </w:r>
          </w:p>
        </w:tc>
        <w:tc>
          <w:tcPr>
            <w:tcW w:type="pct" w:w="82%"/>
            <w:tcMar>
              <w:top w:type="dxa" w:w="60"/>
              <w:left w:type="dxa" w:w="120"/>
              <w:bottom w:type="dxa" w:w="60"/>
              <w:right w:type="dxa" w:w="120"/>
            </w:tcMar>
          </w:tcPr>
          <w:p>
            <w:r>
              <w:rPr>
                <w:rFonts w:ascii="Calibri" w:eastAsia="SimSun"/>
                <w:color w:val="000000"/>
                <w:sz w:val="21"/>
                <w:szCs w:val="21"/>
              </w:rPr>
              <w:t xml:space="preserve">窗口内发起过请求的去重客户端 IP 数</w:t>
            </w:r>
          </w:p>
        </w:tc>
      </w:tr>
    </w:tbl>
    <w:p>
      <w:pPr>
        <w:spacing w:after="60" w:line="312"/>
        <w:ind w:firstLine="480"/>
        <w:jc w:val="both"/>
      </w:pPr>
      <w:r>
        <w:rPr>
          <w:rFonts w:ascii="Calibri" w:eastAsia="SimSun"/>
          <w:color w:val="000000"/>
          <w:sz w:val="24"/>
          <w:szCs w:val="24"/>
        </w:rPr>
        <w:t xml:space="preserve">表格下方是客户端列表，按网口列出每个客户端 IP 与其请求计数，可用于核对哪些设备在使用本授时服务。实际界面如图 4-2 与图 4-3 所示。</w:t>
      </w:r>
    </w:p>
    <w:p>
      <w:pPr>
        <w:keepNext/>
        <w:spacing w:after="40" w:before="120"/>
        <w:jc w:val="center"/>
      </w:pPr>
      <w:r>
        <w:drawing>
          <wp:inline distT="0" distB="0" distL="0" distR="0">
            <wp:extent cx="55054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5450" cy="2124075"/>
                    </a:xfrm>
                    <a:prstGeom prst="rect">
                      <a:avLst/>
                    </a:prstGeom>
                  </pic:spPr>
                </pic:pic>
              </a:graphicData>
            </a:graphic>
          </wp:inline>
        </w:drawing>
      </w:r>
    </w:p>
    <w:p>
      <w:pPr>
        <w:spacing w:after="140"/>
        <w:jc w:val="center"/>
      </w:pPr>
      <w:r>
        <w:rPr>
          <w:rFonts w:ascii="Calibri" w:eastAsia="SimHei"/>
          <w:color w:val="555555"/>
          <w:sz w:val="18"/>
          <w:szCs w:val="18"/>
        </w:rPr>
        <w:t xml:space="preserve">图 4-2 各网口授时服务状态表</w:t>
      </w:r>
    </w:p>
    <w:p>
      <w:pPr>
        <w:keepNext/>
        <w:spacing w:after="40" w:before="120"/>
        <w:jc w:val="center"/>
      </w:pPr>
      <w:r>
        <w:drawing>
          <wp:inline distT="0" distB="0" distL="0" distR="0">
            <wp:extent cx="55054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5450" cy="2124075"/>
                    </a:xfrm>
                    <a:prstGeom prst="rect">
                      <a:avLst/>
                    </a:prstGeom>
                  </pic:spPr>
                </pic:pic>
              </a:graphicData>
            </a:graphic>
          </wp:inline>
        </w:drawing>
      </w:r>
    </w:p>
    <w:p>
      <w:pPr>
        <w:spacing w:after="140"/>
        <w:jc w:val="center"/>
      </w:pPr>
      <w:r>
        <w:rPr>
          <w:rFonts w:ascii="Calibri" w:eastAsia="SimHei"/>
          <w:color w:val="555555"/>
          <w:sz w:val="18"/>
          <w:szCs w:val="18"/>
        </w:rPr>
        <w:t xml:space="preserve">图 4-3 客户端列表</w:t>
      </w:r>
    </w:p>
    <w:p>
      <w:pPr>
        <w:pStyle w:val="Heading2"/>
        <w:spacing w:after="120" w:before="240" w:line="340" w:lineRule="atLeast"/>
      </w:pPr>
      <w:bookmarkStart w:id="100012" w:name="_Toc100012"/>
      <w:r>
        <w:rPr>
          <w:rFonts w:ascii="Calibri" w:eastAsia="SimHei"/>
          <w:b/>
          <w:bCs/>
          <w:color w:val="0F2B46"/>
          <w:sz w:val="28"/>
          <w:szCs w:val="28"/>
        </w:rPr>
        <w:t xml:space="preserve">4.4 NTP 访问控制（重要）</w:t>
      </w:r>
      <w:bookmarkEnd w:id="100012"/>
    </w:p>
    <w:p>
      <w:pPr>
        <w:spacing w:after="60" w:line="312"/>
        <w:ind w:firstLine="480"/>
        <w:jc w:val="both"/>
      </w:pPr>
      <w:r>
        <w:rPr>
          <w:rFonts w:ascii="Calibri" w:eastAsia="SimSun"/>
          <w:color w:val="000000"/>
          <w:sz w:val="24"/>
          <w:szCs w:val="24"/>
        </w:rPr>
        <w:t xml:space="preserve">出于安全设计，本机默认只对预先放行的网段提供 NTP 应答。新设备或新网段需要校时之前，管理员必须先在服务监控及报警页签的 NTP 访问控制区域添加放行规则（面板见图 4-4）。</w:t>
      </w:r>
    </w:p>
    <w:p>
      <w:pPr>
        <w:keepNext/>
        <w:spacing w:after="40" w:before="120"/>
        <w:jc w:val="center"/>
      </w:pPr>
      <w:r>
        <w:drawing>
          <wp:inline distT="0" distB="0" distL="0" distR="0">
            <wp:extent cx="55054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05450" cy="4162425"/>
                    </a:xfrm>
                    <a:prstGeom prst="rect">
                      <a:avLst/>
                    </a:prstGeom>
                  </pic:spPr>
                </pic:pic>
              </a:graphicData>
            </a:graphic>
          </wp:inline>
        </w:drawing>
      </w:r>
    </w:p>
    <w:p>
      <w:pPr>
        <w:spacing w:after="140"/>
        <w:jc w:val="center"/>
      </w:pPr>
      <w:r>
        <w:rPr>
          <w:rFonts w:ascii="Calibri" w:eastAsia="SimHei"/>
          <w:color w:val="555555"/>
          <w:sz w:val="18"/>
          <w:szCs w:val="18"/>
        </w:rPr>
        <w:t xml:space="preserve">图 4-4 NTP 访问控制（黑白名单）面板</w:t>
      </w:r>
    </w:p>
    <w:p>
      <w:pPr>
        <w:spacing w:after="60" w:line="312"/>
        <w:ind w:firstLine="480"/>
        <w:jc w:val="both"/>
      </w:pPr>
      <w:r>
        <w:rPr>
          <w:rFonts w:ascii="Calibri" w:eastAsia="SimSun"/>
          <w:color w:val="000000"/>
          <w:sz w:val="24"/>
          <w:szCs w:val="24"/>
        </w:rPr>
        <w:t xml:space="preserve">操作步骤：在访问控制列表中查看当前规则（每条为一行，格式为 allow 或 deny 加网段，例如 allow 192.168.1.0/24）；添加规则时选择动作 allow（放行）或 deny（拒绝），填入形如 192.168.1.0/24 的网段，提交后规则立即生效并持久保存（重启后仍有效）。删除规则同样立即生效。请注意 allow 与 deny 同时存在时后添加的规则优先；误放行过大网段（如 0.0.0.0/0）会向整个网络开放授时服务，请谨慎操作。</w:t>
      </w:r>
    </w:p>
    <w:p>
      <w:pPr>
        <w:pStyle w:val="Heading1"/>
        <w:spacing w:after="160" w:before="360" w:line="380" w:lineRule="atLeast"/>
      </w:pPr>
      <w:bookmarkStart w:id="100013" w:name="_Toc100013"/>
      <w:r>
        <w:rPr>
          <w:rFonts w:ascii="Calibri" w:eastAsia="SimHei"/>
          <w:b/>
          <w:bCs/>
          <w:color w:val="0F2B46"/>
          <w:sz w:val="32"/>
          <w:szCs w:val="32"/>
        </w:rPr>
        <w:t xml:space="preserve">5. 时间服务校验设置</w:t>
      </w:r>
      <w:bookmarkEnd w:id="100013"/>
    </w:p>
    <w:p>
      <w:pPr>
        <w:pStyle w:val="Heading2"/>
        <w:spacing w:after="120" w:before="240" w:line="340" w:lineRule="atLeast"/>
      </w:pPr>
      <w:bookmarkStart w:id="100014" w:name="_Toc100014"/>
      <w:r>
        <w:rPr>
          <w:rFonts w:ascii="Calibri" w:eastAsia="SimHei"/>
          <w:b/>
          <w:bCs/>
          <w:color w:val="0F2B46"/>
          <w:sz w:val="28"/>
          <w:szCs w:val="28"/>
        </w:rPr>
        <w:t xml:space="preserve">5.1 授时状态表</w:t>
      </w:r>
      <w:bookmarkEnd w:id="100014"/>
    </w:p>
    <w:p>
      <w:pPr>
        <w:spacing w:after="60" w:line="312"/>
        <w:ind w:firstLine="480"/>
        <w:jc w:val="both"/>
      </w:pPr>
      <w:r>
        <w:rPr>
          <w:rFonts w:ascii="Calibri" w:eastAsia="SimSun"/>
          <w:color w:val="000000"/>
          <w:sz w:val="24"/>
          <w:szCs w:val="24"/>
        </w:rPr>
        <w:t xml:space="preserve">本页签每 3 秒自动刷新一次，展示授时链路（PPS+TOD+chrony）的实时状态，实拍如图 5-1 所示。常用字段的含义如下：</w:t>
      </w:r>
    </w:p>
    <w:p>
      <w:pPr>
        <w:keepNext/>
        <w:spacing w:after="40" w:before="120"/>
        <w:jc w:val="center"/>
      </w:pPr>
      <w:r>
        <w:drawing>
          <wp:inline distT="0" distB="0" distL="0" distR="0">
            <wp:extent cx="5505450" cy="705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05450" cy="7058025"/>
                    </a:xfrm>
                    <a:prstGeom prst="rect">
                      <a:avLst/>
                    </a:prstGeom>
                  </pic:spPr>
                </pic:pic>
              </a:graphicData>
            </a:graphic>
          </wp:inline>
        </w:drawing>
      </w:r>
    </w:p>
    <w:p>
      <w:pPr>
        <w:spacing w:after="140"/>
        <w:jc w:val="center"/>
      </w:pPr>
      <w:r>
        <w:rPr>
          <w:rFonts w:ascii="Calibri" w:eastAsia="SimHei"/>
          <w:color w:val="555555"/>
          <w:sz w:val="18"/>
          <w:szCs w:val="18"/>
        </w:rPr>
        <w:t xml:space="preserve">图 5-1 授时状态表</w:t>
      </w:r>
    </w:p>
    <w:p>
      <w:pPr>
        <w:keepNext/>
        <w:spacing w:after="80" w:before="120"/>
      </w:pPr>
      <w:r>
        <w:rPr>
          <w:rFonts w:ascii="Calibri" w:eastAsia="SimHei"/>
          <w:b/>
          <w:bCs/>
          <w:color w:val="333333"/>
          <w:sz w:val="21"/>
          <w:szCs w:val="21"/>
        </w:rPr>
        <w:t xml:space="preserve">表 5-1 状态项速查</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tblGrid>
      <w:tr>
        <w:trPr>
          <w:cantSplit/>
          <w:tblHeader/>
        </w:trPr>
        <w:tc>
          <w:tcPr>
            <w:tcW w:type="pct" w:w="30%"/>
            <w:shd w:fill="529286" w:val="clear"/>
            <w:tcMar>
              <w:top w:type="dxa" w:w="60"/>
              <w:left w:type="dxa" w:w="120"/>
              <w:bottom w:type="dxa" w:w="60"/>
              <w:right w:type="dxa" w:w="120"/>
            </w:tcMar>
          </w:tcPr>
          <w:p>
            <w:r>
              <w:rPr>
                <w:rFonts w:ascii="Calibri" w:eastAsia="SimHei"/>
                <w:b/>
                <w:bCs/>
                <w:color w:val="FFFFFF"/>
                <w:sz w:val="21"/>
                <w:szCs w:val="21"/>
              </w:rPr>
              <w:t xml:space="preserve">状态项</w:t>
            </w:r>
          </w:p>
        </w:tc>
        <w:tc>
          <w:tcPr>
            <w:tcW w:type="pct" w:w="70%"/>
            <w:shd w:fill="529286" w:val="clear"/>
            <w:tcMar>
              <w:top w:type="dxa" w:w="60"/>
              <w:left w:type="dxa" w:w="120"/>
              <w:bottom w:type="dxa" w:w="60"/>
              <w:right w:type="dxa" w:w="120"/>
            </w:tcMar>
          </w:tcPr>
          <w:p>
            <w:r>
              <w:rPr>
                <w:rFonts w:ascii="Calibri" w:eastAsia="SimHei"/>
                <w:b/>
                <w:bCs/>
                <w:color w:val="FFFFFF"/>
                <w:sz w:val="21"/>
                <w:szCs w:val="21"/>
              </w:rPr>
              <w:t xml:space="preserve">含义与正常状态</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授时源</w:t>
            </w:r>
          </w:p>
        </w:tc>
        <w:tc>
          <w:tcPr>
            <w:tcW w:type="pct" w:w="70%"/>
            <w:tcMar>
              <w:top w:type="dxa" w:w="60"/>
              <w:left w:type="dxa" w:w="120"/>
              <w:bottom w:type="dxa" w:w="60"/>
              <w:right w:type="dxa" w:w="120"/>
            </w:tcMar>
          </w:tcPr>
          <w:p>
            <w:r>
              <w:rPr>
                <w:rFonts w:ascii="Calibri" w:eastAsia="SimSun"/>
                <w:color w:val="000000"/>
                <w:sz w:val="21"/>
                <w:szCs w:val="21"/>
              </w:rPr>
              <w:t xml:space="preserve">显示当前选中源，正常为 #* PPS（星号表示已被选为当前源）</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系统时间偏差</w:t>
            </w:r>
          </w:p>
        </w:tc>
        <w:tc>
          <w:tcPr>
            <w:tcW w:type="pct" w:w="70%"/>
            <w:tcMar>
              <w:top w:type="dxa" w:w="60"/>
              <w:left w:type="dxa" w:w="120"/>
              <w:bottom w:type="dxa" w:w="60"/>
              <w:right w:type="dxa" w:w="120"/>
            </w:tcMar>
          </w:tcPr>
          <w:p>
            <w:r>
              <w:rPr>
                <w:rFonts w:ascii="Calibri" w:eastAsia="SimSun"/>
                <w:color w:val="000000"/>
                <w:sz w:val="21"/>
                <w:szCs w:val="21"/>
              </w:rPr>
              <w:t xml:space="preserve">System time，本机时间与参考时间之差；锁定后为微秒级</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频偏 (Frequency)</w:t>
            </w:r>
          </w:p>
        </w:tc>
        <w:tc>
          <w:tcPr>
            <w:tcW w:type="pct" w:w="70%"/>
            <w:tcMar>
              <w:top w:type="dxa" w:w="60"/>
              <w:left w:type="dxa" w:w="120"/>
              <w:bottom w:type="dxa" w:w="60"/>
              <w:right w:type="dxa" w:w="120"/>
            </w:tcMar>
          </w:tcPr>
          <w:p>
            <w:r>
              <w:rPr>
                <w:rFonts w:ascii="Calibri" w:eastAsia="SimSun"/>
                <w:color w:val="000000"/>
                <w:sz w:val="21"/>
                <w:szCs w:val="21"/>
              </w:rPr>
              <w:t xml:space="preserve">本地晶振频率修正量；正常在正负几十 ppm 内</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闰秒 (Leap)</w:t>
            </w:r>
          </w:p>
        </w:tc>
        <w:tc>
          <w:tcPr>
            <w:tcW w:type="pct" w:w="70%"/>
            <w:tcMar>
              <w:top w:type="dxa" w:w="60"/>
              <w:left w:type="dxa" w:w="120"/>
              <w:bottom w:type="dxa" w:w="60"/>
              <w:right w:type="dxa" w:w="120"/>
            </w:tcMar>
          </w:tcPr>
          <w:p>
            <w:r>
              <w:rPr>
                <w:rFonts w:ascii="Calibri" w:eastAsia="SimSun"/>
                <w:color w:val="000000"/>
                <w:sz w:val="21"/>
                <w:szCs w:val="21"/>
              </w:rPr>
              <w:t xml:space="preserve">正常显示 Normal</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层级 (Stratum)</w:t>
            </w:r>
          </w:p>
        </w:tc>
        <w:tc>
          <w:tcPr>
            <w:tcW w:type="pct" w:w="70%"/>
            <w:tcMar>
              <w:top w:type="dxa" w:w="60"/>
              <w:left w:type="dxa" w:w="120"/>
              <w:bottom w:type="dxa" w:w="60"/>
              <w:right w:type="dxa" w:w="120"/>
            </w:tcMar>
          </w:tcPr>
          <w:p>
            <w:r>
              <w:rPr>
                <w:rFonts w:ascii="Calibri" w:eastAsia="SimSun"/>
                <w:color w:val="000000"/>
                <w:sz w:val="21"/>
                <w:szCs w:val="21"/>
              </w:rPr>
              <w:t xml:space="preserve">本机作为时钟源的层级；锁定后为 Stratum 1</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PPS 样本状态</w:t>
            </w:r>
          </w:p>
        </w:tc>
        <w:tc>
          <w:tcPr>
            <w:tcW w:type="pct" w:w="70%"/>
            <w:tcMar>
              <w:top w:type="dxa" w:w="60"/>
              <w:left w:type="dxa" w:w="120"/>
              <w:bottom w:type="dxa" w:w="60"/>
              <w:right w:type="dxa" w:w="120"/>
            </w:tcMar>
          </w:tcPr>
          <w:p>
            <w:r>
              <w:rPr>
                <w:rFonts w:ascii="Calibri" w:eastAsia="SimSun"/>
                <w:color w:val="000000"/>
                <w:sz w:val="21"/>
                <w:szCs w:val="21"/>
              </w:rPr>
              <w:t xml:space="preserve">good=1 表示每秒收到合格授时样本；offset_us 为当前偏移</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接收机定位</w:t>
            </w:r>
          </w:p>
        </w:tc>
        <w:tc>
          <w:tcPr>
            <w:tcW w:type="pct" w:w="70%"/>
            <w:tcMar>
              <w:top w:type="dxa" w:w="60"/>
              <w:left w:type="dxa" w:w="120"/>
              <w:bottom w:type="dxa" w:w="60"/>
              <w:right w:type="dxa" w:w="120"/>
            </w:tcMar>
          </w:tcPr>
          <w:p>
            <w:r>
              <w:rPr>
                <w:rFonts w:ascii="Calibri" w:eastAsia="SimSun"/>
                <w:color w:val="000000"/>
                <w:sz w:val="21"/>
                <w:szCs w:val="21"/>
              </w:rPr>
              <w:t xml:space="preserve">UT986 的定位状态（GGA 报文），如定位有效 (码 7)</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锁定星数</w:t>
            </w:r>
          </w:p>
        </w:tc>
        <w:tc>
          <w:tcPr>
            <w:tcW w:type="pct" w:w="70%"/>
            <w:tcMar>
              <w:top w:type="dxa" w:w="60"/>
              <w:left w:type="dxa" w:w="120"/>
              <w:bottom w:type="dxa" w:w="60"/>
              <w:right w:type="dxa" w:w="120"/>
            </w:tcMar>
          </w:tcPr>
          <w:p>
            <w:r>
              <w:rPr>
                <w:rFonts w:ascii="Calibri" w:eastAsia="SimSun"/>
                <w:color w:val="000000"/>
                <w:sz w:val="21"/>
                <w:szCs w:val="21"/>
              </w:rPr>
              <w:t xml:space="preserve">见 5.3 节</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状态文件新鲜度</w:t>
            </w:r>
          </w:p>
        </w:tc>
        <w:tc>
          <w:tcPr>
            <w:tcW w:type="pct" w:w="70%"/>
            <w:tcMar>
              <w:top w:type="dxa" w:w="60"/>
              <w:left w:type="dxa" w:w="120"/>
              <w:bottom w:type="dxa" w:w="60"/>
              <w:right w:type="dxa" w:w="120"/>
            </w:tcMar>
          </w:tcPr>
          <w:p>
            <w:r>
              <w:rPr>
                <w:rFonts w:ascii="Calibri" w:eastAsia="SimSun"/>
                <w:color w:val="000000"/>
                <w:sz w:val="21"/>
                <w:szCs w:val="21"/>
              </w:rPr>
              <w:t xml:space="preserve">新鲜 表示授时守护进程工作正常；过期说明守护进程异常，联系维护</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看门狗</w:t>
            </w:r>
          </w:p>
        </w:tc>
        <w:tc>
          <w:tcPr>
            <w:tcW w:type="pct" w:w="70%"/>
            <w:tcMar>
              <w:top w:type="dxa" w:w="60"/>
              <w:left w:type="dxa" w:w="120"/>
              <w:bottom w:type="dxa" w:w="60"/>
              <w:right w:type="dxa" w:w="120"/>
            </w:tcMar>
          </w:tcPr>
          <w:p>
            <w:r>
              <w:rPr>
                <w:rFonts w:ascii="Calibri" w:eastAsia="SimSun"/>
                <w:color w:val="000000"/>
                <w:sz w:val="21"/>
                <w:szCs w:val="21"/>
              </w:rPr>
              <w:t xml:space="preserve">同步链看门狗状态，OK 为正常；NTP serving off 表示参考丢失期间已暂停对外授时</w:t>
            </w:r>
          </w:p>
        </w:tc>
      </w:tr>
    </w:tbl>
    <w:p>
      <w:pPr>
        <w:pStyle w:val="Heading2"/>
        <w:spacing w:after="120" w:before="240" w:line="340" w:lineRule="atLeast"/>
      </w:pPr>
      <w:bookmarkStart w:id="100015" w:name="_Toc100015"/>
      <w:r>
        <w:rPr>
          <w:rFonts w:ascii="Calibri" w:eastAsia="SimHei"/>
          <w:b/>
          <w:bCs/>
          <w:color w:val="0F2B46"/>
          <w:sz w:val="28"/>
          <w:szCs w:val="28"/>
        </w:rPr>
        <w:t xml:space="preserve">5.2 UT986 接收机工作模式</w:t>
      </w:r>
      <w:bookmarkEnd w:id="100015"/>
    </w:p>
    <w:p>
      <w:pPr>
        <w:spacing w:after="60" w:line="312"/>
        <w:ind w:firstLine="480"/>
        <w:jc w:val="both"/>
      </w:pPr>
      <w:r>
        <w:rPr>
          <w:rFonts w:ascii="Calibri" w:eastAsia="SimSun"/>
          <w:color w:val="000000"/>
          <w:sz w:val="24"/>
          <w:szCs w:val="24"/>
        </w:rPr>
        <w:t xml:space="preserve">本页签下方是接收机工作模式设置区，提供五个选项：GNSS 全系统（GPS+北斗+Galileo+GLONASS，出厂默认）、GPS、北斗 BDS、Galileo、GLONASS。选择后点击应用模式，配置通过串口写入接收机并掉电保存。</w:t>
      </w:r>
    </w:p>
    <w:p>
      <w:pPr>
        <w:spacing w:after="60" w:line="312"/>
        <w:ind w:firstLine="480"/>
        <w:jc w:val="both"/>
      </w:pPr>
      <w:r>
        <w:rPr>
          <w:rFonts w:ascii="Calibri" w:eastAsia="SimSun"/>
          <w:color w:val="000000"/>
          <w:sz w:val="24"/>
          <w:szCs w:val="24"/>
        </w:rPr>
        <w:t xml:space="preserve">切换模式的注意事项：切换后接收机会重新捕获卫星，PPS/TOD 同步可能短暂中断数十秒，期间同步链看门狗会自动处理并恢复；期间对外授时由守卫机制保护（见第 8.3 节）。页面显示的当前模式为最近一次通过本界面设置的模式，由于命令通道为单向，无法在线回读接收机实时模式——判断接收机当前实际工作在哪个系统，可参考锁定星数的分系统计数。</w:t>
      </w:r>
    </w:p>
    <w:p>
      <w:pPr>
        <w:pStyle w:val="Heading2"/>
        <w:spacing w:after="120" w:before="240" w:line="340" w:lineRule="atLeast"/>
      </w:pPr>
      <w:bookmarkStart w:id="100016" w:name="_Toc100016"/>
      <w:r>
        <w:rPr>
          <w:rFonts w:ascii="Calibri" w:eastAsia="SimHei"/>
          <w:b/>
          <w:bCs/>
          <w:color w:val="0F2B46"/>
          <w:sz w:val="28"/>
          <w:szCs w:val="28"/>
        </w:rPr>
        <w:t xml:space="preserve">5.3 锁定星数</w:t>
      </w:r>
      <w:bookmarkEnd w:id="100016"/>
    </w:p>
    <w:p>
      <w:pPr>
        <w:spacing w:after="60" w:line="312"/>
        <w:ind w:firstLine="480"/>
        <w:jc w:val="both"/>
      </w:pPr>
      <w:r>
        <w:rPr>
          <w:rFonts w:ascii="Calibri" w:eastAsia="SimSun"/>
          <w:color w:val="000000"/>
          <w:sz w:val="24"/>
          <w:szCs w:val="24"/>
        </w:rPr>
        <w:t xml:space="preserve">锁定星数显示接收机当前使用的卫星总数及各系统的细分，例如 33 ★（GPS 8 / 北斗 15 / Galileo 6 / GLONASS 2 / QZSS 2 / SBAS 0），实拍如图 5-2 所示。数据随接收机每秒更新，数字有小幅浮动属正常跟踪现象。某系统显示 — 表示该系统的卫星数据当前未播报（例如接收机处于单系统模式）；若希望恢复全部系统，将接收机模式切回 GNSS 全系统即可。</w:t>
      </w:r>
    </w:p>
    <w:p>
      <w:pPr>
        <w:keepNext/>
        <w:spacing w:after="40" w:before="120"/>
        <w:jc w:val="center"/>
      </w:pPr>
      <w:r>
        <w:drawing>
          <wp:inline distT="0" distB="0" distL="0" distR="0">
            <wp:extent cx="55054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05450" cy="3105150"/>
                    </a:xfrm>
                    <a:prstGeom prst="rect">
                      <a:avLst/>
                    </a:prstGeom>
                  </pic:spPr>
                </pic:pic>
              </a:graphicData>
            </a:graphic>
          </wp:inline>
        </w:drawing>
      </w:r>
    </w:p>
    <w:p>
      <w:pPr>
        <w:spacing w:after="140"/>
        <w:jc w:val="center"/>
      </w:pPr>
      <w:r>
        <w:rPr>
          <w:rFonts w:ascii="Calibri" w:eastAsia="SimHei"/>
          <w:color w:val="555555"/>
          <w:sz w:val="18"/>
          <w:szCs w:val="18"/>
        </w:rPr>
        <w:t xml:space="preserve">图 5-2 接收机工作模式与锁定星数</w:t>
      </w:r>
    </w:p>
    <w:p>
      <w:pPr>
        <w:pStyle w:val="Heading1"/>
        <w:spacing w:after="160" w:before="360" w:line="380" w:lineRule="atLeast"/>
      </w:pPr>
      <w:bookmarkStart w:id="100017" w:name="_Toc100017"/>
      <w:r>
        <w:rPr>
          <w:rFonts w:ascii="Calibri" w:eastAsia="SimHei"/>
          <w:b/>
          <w:bCs/>
          <w:color w:val="0F2B46"/>
          <w:sz w:val="32"/>
          <w:szCs w:val="32"/>
        </w:rPr>
        <w:t xml:space="preserve">6. 系统日志（管理员）</w:t>
      </w:r>
      <w:bookmarkEnd w:id="100017"/>
    </w:p>
    <w:p>
      <w:pPr>
        <w:spacing w:after="60" w:line="312"/>
        <w:ind w:firstLine="480"/>
        <w:jc w:val="both"/>
      </w:pPr>
      <w:r>
        <w:rPr>
          <w:rFonts w:ascii="Calibri" w:eastAsia="SimSun"/>
          <w:color w:val="000000"/>
          <w:sz w:val="24"/>
          <w:szCs w:val="24"/>
        </w:rPr>
        <w:t xml:space="preserve">系统日志页签供管理员查看板卡上的关键日志。页面提供日志源下拉框，选择某个日志源（如授时守护进程当日日志）后即可查看其最近内容，用于授时链路的日常巡检与故障初判，界面如图 6-1 所示。普通用户不显示该页签。</w:t>
      </w:r>
    </w:p>
    <w:p>
      <w:pPr>
        <w:keepNext/>
        <w:spacing w:after="40" w:before="120"/>
        <w:jc w:val="center"/>
      </w:pPr>
      <w:r>
        <w:drawing>
          <wp:inline distT="0" distB="0" distL="0" distR="0">
            <wp:extent cx="550545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05450" cy="5600700"/>
                    </a:xfrm>
                    <a:prstGeom prst="rect">
                      <a:avLst/>
                    </a:prstGeom>
                  </pic:spPr>
                </pic:pic>
              </a:graphicData>
            </a:graphic>
          </wp:inline>
        </w:drawing>
      </w:r>
    </w:p>
    <w:p>
      <w:pPr>
        <w:spacing w:after="140"/>
        <w:jc w:val="center"/>
      </w:pPr>
      <w:r>
        <w:rPr>
          <w:rFonts w:ascii="Calibri" w:eastAsia="SimHei"/>
          <w:color w:val="555555"/>
          <w:sz w:val="18"/>
          <w:szCs w:val="18"/>
        </w:rPr>
        <w:t xml:space="preserve">图 6-1 系统日志查看</w:t>
      </w:r>
    </w:p>
    <w:p>
      <w:pPr>
        <w:pStyle w:val="Heading1"/>
        <w:spacing w:after="160" w:before="360" w:line="380" w:lineRule="atLeast"/>
      </w:pPr>
      <w:bookmarkStart w:id="100018" w:name="_Toc100018"/>
      <w:r>
        <w:rPr>
          <w:rFonts w:ascii="Calibri" w:eastAsia="SimHei"/>
          <w:b/>
          <w:bCs/>
          <w:color w:val="0F2B46"/>
          <w:sz w:val="32"/>
          <w:szCs w:val="32"/>
        </w:rPr>
        <w:t xml:space="preserve">7. 用户管理（管理员）</w:t>
      </w:r>
      <w:bookmarkEnd w:id="100018"/>
    </w:p>
    <w:p>
      <w:pPr>
        <w:spacing w:after="60" w:line="312"/>
        <w:ind w:firstLine="480"/>
        <w:jc w:val="both"/>
      </w:pPr>
      <w:r>
        <w:rPr>
          <w:rFonts w:ascii="Calibri" w:eastAsia="SimSun"/>
          <w:color w:val="000000"/>
          <w:sz w:val="24"/>
          <w:szCs w:val="24"/>
        </w:rPr>
        <w:t xml:space="preserve">用户管理页签仅管理员（root 角色）可见。功能包括：查看用户列表（编号、用户名、角色、启用状态、创建时间）、创建新用户、启用/停用用户、删除用户、以及为指定用户重置密码，界面如图 7-1 所示。创建用户时密码必须满足第 2.3 节的密码策略，否则创建会被拒绝并提示原因。</w:t>
      </w:r>
    </w:p>
    <w:p>
      <w:pPr>
        <w:keepNext/>
        <w:spacing w:after="40" w:before="120"/>
        <w:jc w:val="center"/>
      </w:pPr>
      <w:r>
        <w:drawing>
          <wp:inline distT="0" distB="0" distL="0" distR="0">
            <wp:extent cx="55054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05450" cy="1000125"/>
                    </a:xfrm>
                    <a:prstGeom prst="rect">
                      <a:avLst/>
                    </a:prstGeom>
                  </pic:spPr>
                </pic:pic>
              </a:graphicData>
            </a:graphic>
          </wp:inline>
        </w:drawing>
      </w:r>
    </w:p>
    <w:p>
      <w:pPr>
        <w:spacing w:after="140"/>
        <w:jc w:val="center"/>
      </w:pPr>
      <w:r>
        <w:rPr>
          <w:rFonts w:ascii="Calibri" w:eastAsia="SimHei"/>
          <w:color w:val="555555"/>
          <w:sz w:val="18"/>
          <w:szCs w:val="18"/>
        </w:rPr>
        <w:t xml:space="preserve">图 7-1 用户管理页</w:t>
      </w:r>
    </w:p>
    <w:p>
      <w:pPr>
        <w:spacing w:after="60" w:line="312"/>
        <w:ind w:firstLine="480"/>
        <w:jc w:val="both"/>
      </w:pPr>
      <w:r>
        <w:rPr>
          <w:rFonts w:ascii="Calibri" w:eastAsia="SimSun"/>
          <w:color w:val="000000"/>
          <w:sz w:val="24"/>
          <w:szCs w:val="24"/>
        </w:rPr>
        <w:t xml:space="preserve">建议：为日常操作创建独立账号，root 账号仅用于管理与应急；被停用的账号无法登录，删除操作不可恢复，请谨慎执行。</w:t>
      </w:r>
    </w:p>
    <w:p>
      <w:pPr>
        <w:pStyle w:val="Heading1"/>
        <w:spacing w:after="160" w:before="360" w:line="380" w:lineRule="atLeast"/>
      </w:pPr>
      <w:bookmarkStart w:id="100019" w:name="_Toc100019"/>
      <w:r>
        <w:rPr>
          <w:rFonts w:ascii="Calibri" w:eastAsia="SimHei"/>
          <w:b/>
          <w:bCs/>
          <w:color w:val="0F2B46"/>
          <w:sz w:val="32"/>
          <w:szCs w:val="32"/>
        </w:rPr>
        <w:t xml:space="preserve">8. 局域网授时服务使用</w:t>
      </w:r>
      <w:bookmarkEnd w:id="100019"/>
    </w:p>
    <w:p>
      <w:pPr>
        <w:pStyle w:val="Heading2"/>
        <w:spacing w:after="120" w:before="240" w:line="340" w:lineRule="atLeast"/>
      </w:pPr>
      <w:bookmarkStart w:id="100020" w:name="_Toc100020"/>
      <w:r>
        <w:rPr>
          <w:rFonts w:ascii="Calibri" w:eastAsia="SimHei"/>
          <w:b/>
          <w:bCs/>
          <w:color w:val="0F2B46"/>
          <w:sz w:val="28"/>
          <w:szCs w:val="28"/>
        </w:rPr>
        <w:t xml:space="preserve">8.1 使用前提</w:t>
      </w:r>
      <w:bookmarkEnd w:id="100020"/>
    </w:p>
    <w:p>
      <w:pPr>
        <w:spacing w:after="60" w:line="312"/>
        <w:ind w:firstLine="480"/>
        <w:jc w:val="both"/>
      </w:pPr>
      <w:r>
        <w:rPr>
          <w:rFonts w:ascii="Calibri" w:eastAsia="SimSun"/>
          <w:color w:val="000000"/>
          <w:sz w:val="24"/>
          <w:szCs w:val="24"/>
        </w:rPr>
        <w:t xml:space="preserve">板卡向局域网提供标准 NTP 服务（UDP 123 端口）。使用前请确认两点：一是管理员已在服务监控及报警页签的访问控制中将您的设备所在网段加入 allow 规则；二是板卡时间当前可信（时间服务校验设置页签中授时源为 #* PPS、锁定星数大于 0、看门狗状态 ntp_serving 为 on）。</w:t>
      </w:r>
    </w:p>
    <w:p>
      <w:pPr>
        <w:pStyle w:val="Heading2"/>
        <w:spacing w:after="120" w:before="240" w:line="340" w:lineRule="atLeast"/>
      </w:pPr>
      <w:bookmarkStart w:id="100021" w:name="_Toc100021"/>
      <w:r>
        <w:rPr>
          <w:rFonts w:ascii="Calibri" w:eastAsia="SimHei"/>
          <w:b/>
          <w:bCs/>
          <w:color w:val="0F2B46"/>
          <w:sz w:val="28"/>
          <w:szCs w:val="28"/>
        </w:rPr>
        <w:t xml:space="preserve">8.2 Windows 校时示例</w:t>
      </w:r>
      <w:bookmarkEnd w:id="100021"/>
    </w:p>
    <w:p>
      <w:pPr>
        <w:spacing w:after="60" w:line="312"/>
        <w:ind w:firstLine="480"/>
        <w:jc w:val="both"/>
      </w:pPr>
      <w:r>
        <w:rPr>
          <w:rFonts w:ascii="Calibri" w:eastAsia="SimSun"/>
          <w:color w:val="000000"/>
          <w:sz w:val="24"/>
          <w:szCs w:val="24"/>
        </w:rPr>
        <w:t xml:space="preserve">在 Windows 命令行中可用如下命令测试连通性与偏差（先允许放行网段）：w32tm /stripchart /computer:192.168.1.111 /dataonly /samples:3。正常情况下会每秒输出一行与板卡时间的偏差，稳定在毫秒级以内；配合系统时间同步设置即可长期校时。使用第三方校时工具（如时间守护神）时，将服务器地址填为 192.168.1.111、端口 123 即可。</w:t>
      </w:r>
    </w:p>
    <w:p>
      <w:pPr>
        <w:pStyle w:val="Heading2"/>
        <w:spacing w:after="120" w:before="240" w:line="340" w:lineRule="atLeast"/>
      </w:pPr>
      <w:bookmarkStart w:id="100022" w:name="_Toc100022"/>
      <w:r>
        <w:rPr>
          <w:rFonts w:ascii="Calibri" w:eastAsia="SimHei"/>
          <w:b/>
          <w:bCs/>
          <w:color w:val="0F2B46"/>
          <w:sz w:val="28"/>
          <w:szCs w:val="28"/>
        </w:rPr>
        <w:t xml:space="preserve">8.3 授时守卫（自动停答与恢复）</w:t>
      </w:r>
      <w:bookmarkEnd w:id="100022"/>
    </w:p>
    <w:p>
      <w:pPr>
        <w:spacing w:after="60" w:line="312"/>
        <w:ind w:firstLine="480"/>
        <w:jc w:val="both"/>
      </w:pPr>
      <w:r>
        <w:rPr>
          <w:rFonts w:ascii="Calibri" w:eastAsia="SimSun"/>
          <w:color w:val="000000"/>
          <w:sz w:val="24"/>
          <w:szCs w:val="24"/>
        </w:rPr>
        <w:t xml:space="preserve">为防止错误时间外泄，系统内置 NTP 授时守卫：当授时参考丢失（接收机断电、未锁星或同步链异常）时，看门狗会自动暂停板卡的 NTP 应答，此时客户端表现为请求超时；待参考恢复后自动重新放行。因此客户端偶发一段时间无法校时、随后自行恢复，属于守卫的保护行为，不是故障。若长时间未恢复，请检查接收机供电与天线，或将整板断电后重启（见第 10 章 FAQ 末两条）。</w:t>
      </w:r>
    </w:p>
    <w:p>
      <w:pPr>
        <w:pStyle w:val="Heading1"/>
        <w:spacing w:after="160" w:before="360" w:line="380" w:lineRule="atLeast"/>
      </w:pPr>
      <w:bookmarkStart w:id="100023" w:name="_Toc100023"/>
      <w:r>
        <w:rPr>
          <w:rFonts w:ascii="Calibri" w:eastAsia="SimHei"/>
          <w:b/>
          <w:bCs/>
          <w:color w:val="0F2B46"/>
          <w:sz w:val="32"/>
          <w:szCs w:val="32"/>
        </w:rPr>
        <w:t xml:space="preserve">9. 系统特性一览</w:t>
      </w:r>
      <w:bookmarkEnd w:id="100023"/>
    </w:p>
    <w:p>
      <w:pPr>
        <w:spacing w:after="60" w:line="312"/>
        <w:ind w:firstLine="480"/>
        <w:jc w:val="both"/>
      </w:pPr>
      <w:r>
        <w:rPr>
          <w:rFonts w:ascii="Calibri" w:eastAsia="SimSun"/>
          <w:color w:val="000000"/>
          <w:sz w:val="24"/>
          <w:szCs w:val="24"/>
        </w:rPr>
        <w:t xml:space="preserve">以下特性为本系统当前版本的交付能力，均已实测验证：</w:t>
      </w:r>
    </w:p>
    <w:p>
      <w:pPr>
        <w:pStyle w:val="ListParagraph"/>
        <w:numPr>
          <w:ilvl w:val="0"/>
          <w:numId w:val="3"/>
        </w:numPr>
        <w:spacing w:after="40" w:line="312"/>
        <w:jc w:val="both"/>
      </w:pPr>
      <w:r>
        <w:rPr>
          <w:rFonts w:ascii="Calibri" w:eastAsia="SimSun"/>
          <w:color w:val="000000"/>
          <w:sz w:val="24"/>
          <w:szCs w:val="24"/>
        </w:rPr>
        <w:t xml:space="preserve">HTTPS 接入：TLS 1.2 起步的强加密套件，自签名证书，HTTP 自动跳转 HTTPS。</w:t>
      </w:r>
    </w:p>
    <w:p>
      <w:pPr>
        <w:pStyle w:val="ListParagraph"/>
        <w:numPr>
          <w:ilvl w:val="0"/>
          <w:numId w:val="3"/>
        </w:numPr>
        <w:spacing w:after="40" w:line="312"/>
        <w:jc w:val="both"/>
      </w:pPr>
      <w:r>
        <w:rPr>
          <w:rFonts w:ascii="Calibri" w:eastAsia="SimSun"/>
          <w:color w:val="000000"/>
          <w:sz w:val="24"/>
          <w:szCs w:val="24"/>
        </w:rPr>
        <w:t xml:space="preserve">多用户体系：用户角色区分、会话与 CSRF 防护、密码策略（10–64 位、四类字符、90 天到期）。</w:t>
      </w:r>
    </w:p>
    <w:p>
      <w:pPr>
        <w:pStyle w:val="ListParagraph"/>
        <w:numPr>
          <w:ilvl w:val="0"/>
          <w:numId w:val="3"/>
        </w:numPr>
        <w:spacing w:after="40" w:line="312"/>
        <w:jc w:val="both"/>
      </w:pPr>
      <w:r>
        <w:rPr>
          <w:rFonts w:ascii="Calibri" w:eastAsia="SimSun"/>
          <w:color w:val="000000"/>
          <w:sz w:val="24"/>
          <w:szCs w:val="24"/>
        </w:rPr>
        <w:t xml:space="preserve">高精度授时：UT986 接收机 1PPS+TOD 双路融合，chrony 锁定后系统时间偏差在微秒级，作为局域网 Stratum-1 时钟源。</w:t>
      </w:r>
    </w:p>
    <w:p>
      <w:pPr>
        <w:pStyle w:val="ListParagraph"/>
        <w:numPr>
          <w:ilvl w:val="0"/>
          <w:numId w:val="3"/>
        </w:numPr>
        <w:spacing w:after="40" w:line="312"/>
        <w:jc w:val="both"/>
      </w:pPr>
      <w:r>
        <w:rPr>
          <w:rFonts w:ascii="Calibri" w:eastAsia="SimSun"/>
          <w:color w:val="000000"/>
          <w:sz w:val="24"/>
          <w:szCs w:val="24"/>
        </w:rPr>
        <w:t xml:space="preserve">授时守卫：参考丢失时自动停止对外授时，杜绝错误时间外泄，恢复后自动放行。</w:t>
      </w:r>
    </w:p>
    <w:p>
      <w:pPr>
        <w:pStyle w:val="ListParagraph"/>
        <w:numPr>
          <w:ilvl w:val="0"/>
          <w:numId w:val="3"/>
        </w:numPr>
        <w:spacing w:after="40" w:line="312"/>
        <w:jc w:val="both"/>
      </w:pPr>
      <w:r>
        <w:rPr>
          <w:rFonts w:ascii="Calibri" w:eastAsia="SimSun"/>
          <w:color w:val="000000"/>
          <w:sz w:val="24"/>
          <w:szCs w:val="24"/>
        </w:rPr>
        <w:t xml:space="preserve">网口配置保护：eth0 改动 3 分钟回滚看门狗，防止误配置导致设备失联。</w:t>
      </w:r>
    </w:p>
    <w:p>
      <w:pPr>
        <w:pStyle w:val="ListParagraph"/>
        <w:numPr>
          <w:ilvl w:val="0"/>
          <w:numId w:val="3"/>
        </w:numPr>
        <w:spacing w:after="40" w:line="312"/>
        <w:jc w:val="both"/>
      </w:pPr>
      <w:r>
        <w:rPr>
          <w:rFonts w:ascii="Calibri" w:eastAsia="SimSun"/>
          <w:color w:val="000000"/>
          <w:sz w:val="24"/>
          <w:szCs w:val="24"/>
        </w:rPr>
        <w:t xml:space="preserve">按系统锁定星数：面板可分别查看 GPS/北斗/Galileo/GLONASS/QZSS/SBAS 各系统在用卫星数。</w:t>
      </w:r>
    </w:p>
    <w:p>
      <w:pPr>
        <w:pStyle w:val="ListParagraph"/>
        <w:numPr>
          <w:ilvl w:val="0"/>
          <w:numId w:val="3"/>
        </w:numPr>
        <w:spacing w:after="40" w:line="312"/>
        <w:jc w:val="both"/>
      </w:pPr>
      <w:r>
        <w:rPr>
          <w:rFonts w:ascii="Calibri" w:eastAsia="SimSun"/>
          <w:color w:val="000000"/>
          <w:sz w:val="24"/>
          <w:szCs w:val="24"/>
        </w:rPr>
        <w:t xml:space="preserve">NTP 访问控制：基于 chrony 的运行时 ACL，增删规则即时生效且掉电保持。</w:t>
      </w:r>
    </w:p>
    <w:p>
      <w:pPr>
        <w:pStyle w:val="ListParagraph"/>
        <w:numPr>
          <w:ilvl w:val="0"/>
          <w:numId w:val="3"/>
        </w:numPr>
        <w:spacing w:after="40" w:line="312"/>
        <w:jc w:val="both"/>
      </w:pPr>
      <w:r>
        <w:rPr>
          <w:rFonts w:ascii="Calibri" w:eastAsia="SimSun"/>
          <w:color w:val="000000"/>
          <w:sz w:val="24"/>
          <w:szCs w:val="24"/>
        </w:rPr>
        <w:t xml:space="preserve">无 HDMI、无外网运行：全程 SSH 管理；断电重启后五项关键服务自动恢复。</w:t>
      </w:r>
    </w:p>
    <w:p>
      <w:pPr>
        <w:pStyle w:val="Heading1"/>
        <w:spacing w:after="160" w:before="360" w:line="380" w:lineRule="atLeast"/>
      </w:pPr>
      <w:bookmarkStart w:id="100024" w:name="_Toc100024"/>
      <w:r>
        <w:rPr>
          <w:rFonts w:ascii="Calibri" w:eastAsia="SimHei"/>
          <w:b/>
          <w:bCs/>
          <w:color w:val="0F2B46"/>
          <w:sz w:val="32"/>
          <w:szCs w:val="32"/>
        </w:rPr>
        <w:t xml:space="preserve">10. 常见问题与处理</w:t>
      </w:r>
      <w:bookmarkEnd w:id="100024"/>
    </w:p>
    <w:p>
      <w:pPr>
        <w:keepNext/>
        <w:spacing w:after="80" w:before="120"/>
      </w:pPr>
      <w:r>
        <w:rPr>
          <w:rFonts w:ascii="Calibri" w:eastAsia="SimHei"/>
          <w:b/>
          <w:bCs/>
          <w:color w:val="333333"/>
          <w:sz w:val="21"/>
          <w:szCs w:val="21"/>
        </w:rPr>
        <w:t xml:space="preserve">表 10-1 常见问题速查</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tblGrid>
      <w:tr>
        <w:trPr>
          <w:cantSplit/>
          <w:tblHeader/>
        </w:trPr>
        <w:tc>
          <w:tcPr>
            <w:tcW w:type="pct" w:w="34%"/>
            <w:shd w:fill="529286" w:val="clear"/>
            <w:tcMar>
              <w:top w:type="dxa" w:w="60"/>
              <w:left w:type="dxa" w:w="120"/>
              <w:bottom w:type="dxa" w:w="60"/>
              <w:right w:type="dxa" w:w="120"/>
            </w:tcMar>
          </w:tcPr>
          <w:p>
            <w:r>
              <w:rPr>
                <w:rFonts w:ascii="Calibri" w:eastAsia="SimHei"/>
                <w:b/>
                <w:bCs/>
                <w:color w:val="FFFFFF"/>
                <w:sz w:val="21"/>
                <w:szCs w:val="21"/>
              </w:rPr>
              <w:t xml:space="preserve">现象</w:t>
            </w:r>
          </w:p>
        </w:tc>
        <w:tc>
          <w:tcPr>
            <w:tcW w:type="pct" w:w="66%"/>
            <w:shd w:fill="529286" w:val="clear"/>
            <w:tcMar>
              <w:top w:type="dxa" w:w="60"/>
              <w:left w:type="dxa" w:w="120"/>
              <w:bottom w:type="dxa" w:w="60"/>
              <w:right w:type="dxa" w:w="120"/>
            </w:tcMar>
          </w:tcPr>
          <w:p>
            <w:r>
              <w:rPr>
                <w:rFonts w:ascii="Calibri" w:eastAsia="SimHei"/>
                <w:b/>
                <w:bCs/>
                <w:color w:val="FFFFFF"/>
                <w:sz w:val="21"/>
                <w:szCs w:val="21"/>
              </w:rPr>
              <w:t xml:space="preserve">原因与处理</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浏览器提示证书风险</w:t>
            </w:r>
          </w:p>
        </w:tc>
        <w:tc>
          <w:tcPr>
            <w:tcW w:type="pct" w:w="66%"/>
            <w:tcMar>
              <w:top w:type="dxa" w:w="60"/>
              <w:left w:type="dxa" w:w="120"/>
              <w:bottom w:type="dxa" w:w="60"/>
              <w:right w:type="dxa" w:w="120"/>
            </w:tcMar>
          </w:tcPr>
          <w:p>
            <w:r>
              <w:rPr>
                <w:rFonts w:ascii="Calibri" w:eastAsia="SimSun"/>
                <w:color w:val="000000"/>
                <w:sz w:val="21"/>
                <w:szCs w:val="21"/>
              </w:rPr>
              <w:t xml:space="preserve">自签证书正常现象。点击高级—继续前往即可；命令行工具加 -k 参数。</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登录提示凭据无效</w:t>
            </w:r>
          </w:p>
        </w:tc>
        <w:tc>
          <w:tcPr>
            <w:tcW w:type="pct" w:w="66%"/>
            <w:tcMar>
              <w:top w:type="dxa" w:w="60"/>
              <w:left w:type="dxa" w:w="120"/>
              <w:bottom w:type="dxa" w:w="60"/>
              <w:right w:type="dxa" w:w="120"/>
            </w:tcMar>
          </w:tcPr>
          <w:p>
            <w:r>
              <w:rPr>
                <w:rFonts w:ascii="Calibri" w:eastAsia="SimSun"/>
                <w:color w:val="000000"/>
                <w:sz w:val="21"/>
                <w:szCs w:val="21"/>
              </w:rPr>
              <w:t xml:space="preserve">密码错误或已过 90 天有效期。按第 2.3 节策略修改后重试；若遗忘密码请管理员重置。</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未到期却被强制改密</w:t>
            </w:r>
          </w:p>
        </w:tc>
        <w:tc>
          <w:tcPr>
            <w:tcW w:type="pct" w:w="66%"/>
            <w:tcMar>
              <w:top w:type="dxa" w:w="60"/>
              <w:left w:type="dxa" w:w="120"/>
              <w:bottom w:type="dxa" w:w="60"/>
              <w:right w:type="dxa" w:w="120"/>
            </w:tcMar>
          </w:tcPr>
          <w:p>
            <w:r>
              <w:rPr>
                <w:rFonts w:ascii="Calibri" w:eastAsia="SimSun"/>
                <w:color w:val="000000"/>
                <w:sz w:val="21"/>
                <w:szCs w:val="21"/>
              </w:rPr>
              <w:t xml:space="preserve">板卡时钟发生过跳变导致到期判定假象。按提示完成一次改密即可，属设计行为。</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校时客户端全部超时</w:t>
            </w:r>
          </w:p>
        </w:tc>
        <w:tc>
          <w:tcPr>
            <w:tcW w:type="pct" w:w="66%"/>
            <w:tcMar>
              <w:top w:type="dxa" w:w="60"/>
              <w:left w:type="dxa" w:w="120"/>
              <w:bottom w:type="dxa" w:w="60"/>
              <w:right w:type="dxa" w:w="120"/>
            </w:tcMar>
          </w:tcPr>
          <w:p>
            <w:r>
              <w:rPr>
                <w:rFonts w:ascii="Calibri" w:eastAsia="SimSun"/>
                <w:color w:val="000000"/>
                <w:sz w:val="21"/>
                <w:szCs w:val="21"/>
              </w:rPr>
              <w:t xml:space="preserve">依次排查：访问控制是否放行本网段；授时状态表看门狗是否为 NTP serving off（守卫已暂停应答，等参考恢复）；两者都不是则联系维护。</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时间服务页签出现解析失败/无数据</w:t>
            </w:r>
          </w:p>
        </w:tc>
        <w:tc>
          <w:tcPr>
            <w:tcW w:type="pct" w:w="66%"/>
            <w:tcMar>
              <w:top w:type="dxa" w:w="60"/>
              <w:left w:type="dxa" w:w="120"/>
              <w:bottom w:type="dxa" w:w="60"/>
              <w:right w:type="dxa" w:w="120"/>
            </w:tcMar>
          </w:tcPr>
          <w:p>
            <w:r>
              <w:rPr>
                <w:rFonts w:ascii="Calibri" w:eastAsia="SimSun"/>
                <w:color w:val="000000"/>
                <w:sz w:val="21"/>
                <w:szCs w:val="21"/>
              </w:rPr>
              <w:t xml:space="preserve">授时守护进程或看门狗异常。记录页面提示并联系维护重启对应服务。</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时钟显示为 2019 年</w:t>
            </w:r>
          </w:p>
        </w:tc>
        <w:tc>
          <w:tcPr>
            <w:tcW w:type="pct" w:w="66%"/>
            <w:tcMar>
              <w:top w:type="dxa" w:w="60"/>
              <w:left w:type="dxa" w:w="120"/>
              <w:bottom w:type="dxa" w:w="60"/>
              <w:right w:type="dxa" w:w="120"/>
            </w:tcMar>
          </w:tcPr>
          <w:p>
            <w:r>
              <w:rPr>
                <w:rFonts w:ascii="Calibri" w:eastAsia="SimSun"/>
                <w:color w:val="000000"/>
                <w:sz w:val="21"/>
                <w:szCs w:val="21"/>
              </w:rPr>
              <w:t xml:space="preserve">板卡无 RTC 电池，刚上电且接收机未锁定时的出厂假时间。此时授时守卫已停答，不会对外提供错误时间；待接收机锁定后自动纠正。</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锁定星数某系统显示 —</w:t>
            </w:r>
          </w:p>
        </w:tc>
        <w:tc>
          <w:tcPr>
            <w:tcW w:type="pct" w:w="66%"/>
            <w:tcMar>
              <w:top w:type="dxa" w:w="60"/>
              <w:left w:type="dxa" w:w="120"/>
              <w:bottom w:type="dxa" w:w="60"/>
              <w:right w:type="dxa" w:w="120"/>
            </w:tcMar>
          </w:tcPr>
          <w:p>
            <w:r>
              <w:rPr>
                <w:rFonts w:ascii="Calibri" w:eastAsia="SimSun"/>
                <w:color w:val="000000"/>
                <w:sz w:val="21"/>
                <w:szCs w:val="21"/>
              </w:rPr>
              <w:t xml:space="preserve">该系统当前无卫星播报，多为接收机处于单系统模式。可在模式设置中切回 GNSS 全系统。</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切换接收机模式后授时短暂中断</w:t>
            </w:r>
          </w:p>
        </w:tc>
        <w:tc>
          <w:tcPr>
            <w:tcW w:type="pct" w:w="66%"/>
            <w:tcMar>
              <w:top w:type="dxa" w:w="60"/>
              <w:left w:type="dxa" w:w="120"/>
              <w:bottom w:type="dxa" w:w="60"/>
              <w:right w:type="dxa" w:w="120"/>
            </w:tcMar>
          </w:tcPr>
          <w:p>
            <w:r>
              <w:rPr>
                <w:rFonts w:ascii="Calibri" w:eastAsia="SimSun"/>
                <w:color w:val="000000"/>
                <w:sz w:val="21"/>
                <w:szCs w:val="21"/>
              </w:rPr>
              <w:t xml:space="preserve">正常现象：接收机重新捕获卫星需数十秒，期间同步链看门狗自动兜底。</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SSH 无法登录板卡（握手即被重置）</w:t>
            </w:r>
          </w:p>
        </w:tc>
        <w:tc>
          <w:tcPr>
            <w:tcW w:type="pct" w:w="66%"/>
            <w:tcMar>
              <w:top w:type="dxa" w:w="60"/>
              <w:left w:type="dxa" w:w="120"/>
              <w:bottom w:type="dxa" w:w="60"/>
              <w:right w:type="dxa" w:w="120"/>
            </w:tcMar>
          </w:tcPr>
          <w:p>
            <w:r>
              <w:rPr>
                <w:rFonts w:ascii="Calibri" w:eastAsia="SimSun"/>
                <w:color w:val="000000"/>
                <w:sz w:val="21"/>
                <w:szCs w:val="21"/>
              </w:rPr>
              <w:t xml:space="preserve">板卡 SSH 主机密钥文件损坏（该板卡已知硬件特性）。需在板卡本地执行 ssh-keygen -A 后重试。</w:t>
            </w:r>
          </w:p>
        </w:tc>
      </w:tr>
      <w:tr>
        <w:trPr>
          <w:cantSplit/>
        </w:trPr>
        <w:tc>
          <w:tcPr>
            <w:tcW w:type="pct" w:w="34%"/>
            <w:tcMar>
              <w:top w:type="dxa" w:w="60"/>
              <w:left w:type="dxa" w:w="120"/>
              <w:bottom w:type="dxa" w:w="60"/>
              <w:right w:type="dxa" w:w="120"/>
            </w:tcMar>
          </w:tcPr>
          <w:p>
            <w:r>
              <w:rPr>
                <w:rFonts w:ascii="Calibri" w:eastAsia="SimSun"/>
                <w:color w:val="000000"/>
                <w:sz w:val="21"/>
                <w:szCs w:val="21"/>
              </w:rPr>
              <w:t xml:space="preserve">上电后授时链路完全无数据（含假时钟）</w:t>
            </w:r>
          </w:p>
        </w:tc>
        <w:tc>
          <w:tcPr>
            <w:tcW w:type="pct" w:w="66%"/>
            <w:tcMar>
              <w:top w:type="dxa" w:w="60"/>
              <w:left w:type="dxa" w:w="120"/>
              <w:bottom w:type="dxa" w:w="60"/>
              <w:right w:type="dxa" w:w="120"/>
            </w:tcMar>
          </w:tcPr>
          <w:p>
            <w:r>
              <w:rPr>
                <w:rFonts w:ascii="Calibri" w:eastAsia="SimSun"/>
                <w:color w:val="000000"/>
                <w:sz w:val="21"/>
                <w:szCs w:val="21"/>
              </w:rPr>
              <w:t xml:space="preserve">板卡低速 IO 域偶发失效（已知硬件特性）。整板断电后重新上电即可恢复。</w:t>
            </w:r>
          </w:p>
        </w:tc>
      </w:tr>
    </w:tbl>
    <w:p>
      <w:pPr>
        <w:pStyle w:val="Heading1"/>
        <w:spacing w:after="160" w:before="360" w:line="380" w:lineRule="atLeast"/>
      </w:pPr>
      <w:bookmarkStart w:id="100025" w:name="_Toc100025"/>
      <w:r>
        <w:rPr>
          <w:rFonts w:ascii="Calibri" w:eastAsia="SimHei"/>
          <w:b/>
          <w:bCs/>
          <w:color w:val="0F2B46"/>
          <w:sz w:val="32"/>
          <w:szCs w:val="32"/>
        </w:rPr>
        <w:t xml:space="preserve">11. 附录</w:t>
      </w:r>
      <w:bookmarkEnd w:id="100025"/>
    </w:p>
    <w:p>
      <w:pPr>
        <w:pStyle w:val="Heading2"/>
        <w:spacing w:after="120" w:before="240" w:line="340" w:lineRule="atLeast"/>
      </w:pPr>
      <w:bookmarkStart w:id="100026" w:name="_Toc100026"/>
      <w:r>
        <w:rPr>
          <w:rFonts w:ascii="Calibri" w:eastAsia="SimHei"/>
          <w:b/>
          <w:bCs/>
          <w:color w:val="0F2B46"/>
          <w:sz w:val="28"/>
          <w:szCs w:val="28"/>
        </w:rPr>
        <w:t xml:space="preserve">11.1 默认参数表</w:t>
      </w:r>
      <w:bookmarkEnd w:id="100026"/>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tblGrid>
      <w:tr>
        <w:trPr>
          <w:cantSplit/>
          <w:tblHeader/>
        </w:trPr>
        <w:tc>
          <w:tcPr>
            <w:tcW w:type="pct" w:w="30%"/>
            <w:shd w:fill="529286" w:val="clear"/>
            <w:tcMar>
              <w:top w:type="dxa" w:w="60"/>
              <w:left w:type="dxa" w:w="120"/>
              <w:bottom w:type="dxa" w:w="60"/>
              <w:right w:type="dxa" w:w="120"/>
            </w:tcMar>
          </w:tcPr>
          <w:p>
            <w:r>
              <w:rPr>
                <w:rFonts w:ascii="Calibri" w:eastAsia="SimHei"/>
                <w:b/>
                <w:bCs/>
                <w:color w:val="FFFFFF"/>
                <w:sz w:val="21"/>
                <w:szCs w:val="21"/>
              </w:rPr>
              <w:t xml:space="preserve">参数</w:t>
            </w:r>
          </w:p>
        </w:tc>
        <w:tc>
          <w:tcPr>
            <w:tcW w:type="pct" w:w="70%"/>
            <w:shd w:fill="529286" w:val="clear"/>
            <w:tcMar>
              <w:top w:type="dxa" w:w="60"/>
              <w:left w:type="dxa" w:w="120"/>
              <w:bottom w:type="dxa" w:w="60"/>
              <w:right w:type="dxa" w:w="120"/>
            </w:tcMar>
          </w:tcPr>
          <w:p>
            <w:r>
              <w:rPr>
                <w:rFonts w:ascii="Calibri" w:eastAsia="SimHei"/>
                <w:b/>
                <w:bCs/>
                <w:color w:val="FFFFFF"/>
                <w:sz w:val="21"/>
                <w:szCs w:val="21"/>
              </w:rPr>
              <w:t xml:space="preserve">值</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管理面板</w:t>
            </w:r>
          </w:p>
        </w:tc>
        <w:tc>
          <w:tcPr>
            <w:tcW w:type="pct" w:w="70%"/>
            <w:tcMar>
              <w:top w:type="dxa" w:w="60"/>
              <w:left w:type="dxa" w:w="120"/>
              <w:bottom w:type="dxa" w:w="60"/>
              <w:right w:type="dxa" w:w="120"/>
            </w:tcMar>
          </w:tcPr>
          <w:p>
            <w:r>
              <w:rPr>
                <w:rFonts w:ascii="Calibri" w:eastAsia="SimSun"/>
                <w:color w:val="000000"/>
                <w:sz w:val="21"/>
                <w:szCs w:val="21"/>
              </w:rPr>
              <w:t xml:space="preserve">https://192.168.1.111（HTTPS 443，HTTP 80 自动跳转）</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NTP 服务</w:t>
            </w:r>
          </w:p>
        </w:tc>
        <w:tc>
          <w:tcPr>
            <w:tcW w:type="pct" w:w="70%"/>
            <w:tcMar>
              <w:top w:type="dxa" w:w="60"/>
              <w:left w:type="dxa" w:w="120"/>
              <w:bottom w:type="dxa" w:w="60"/>
              <w:right w:type="dxa" w:w="120"/>
            </w:tcMar>
          </w:tcPr>
          <w:p>
            <w:r>
              <w:rPr>
                <w:rFonts w:ascii="Calibri" w:eastAsia="SimSun"/>
                <w:color w:val="000000"/>
                <w:sz w:val="21"/>
                <w:szCs w:val="21"/>
              </w:rPr>
              <w:t xml:space="preserve">UDP 123</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管理员账号</w:t>
            </w:r>
          </w:p>
        </w:tc>
        <w:tc>
          <w:tcPr>
            <w:tcW w:type="pct" w:w="70%"/>
            <w:tcMar>
              <w:top w:type="dxa" w:w="60"/>
              <w:left w:type="dxa" w:w="120"/>
              <w:bottom w:type="dxa" w:w="60"/>
              <w:right w:type="dxa" w:w="120"/>
            </w:tcMar>
          </w:tcPr>
          <w:p>
            <w:r>
              <w:rPr>
                <w:rFonts w:ascii="Calibri" w:eastAsia="SimSun"/>
                <w:color w:val="000000"/>
                <w:sz w:val="21"/>
                <w:szCs w:val="21"/>
              </w:rPr>
              <w:t xml:space="preserve">root</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管理员密码</w:t>
            </w:r>
          </w:p>
        </w:tc>
        <w:tc>
          <w:tcPr>
            <w:tcW w:type="pct" w:w="70%"/>
            <w:tcMar>
              <w:top w:type="dxa" w:w="60"/>
              <w:left w:type="dxa" w:w="120"/>
              <w:bottom w:type="dxa" w:w="60"/>
              <w:right w:type="dxa" w:w="120"/>
            </w:tcMar>
          </w:tcPr>
          <w:p>
            <w:r>
              <w:rPr>
                <w:rFonts w:ascii="Calibri" w:eastAsia="SimSun"/>
                <w:color w:val="000000"/>
                <w:sz w:val="21"/>
                <w:szCs w:val="21"/>
              </w:rPr>
              <w:t xml:space="preserve">【现场管理员掌握，请在此登记并妥善保管】</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证书</w:t>
            </w:r>
          </w:p>
        </w:tc>
        <w:tc>
          <w:tcPr>
            <w:tcW w:type="pct" w:w="70%"/>
            <w:tcMar>
              <w:top w:type="dxa" w:w="60"/>
              <w:left w:type="dxa" w:w="120"/>
              <w:bottom w:type="dxa" w:w="60"/>
              <w:right w:type="dxa" w:w="120"/>
            </w:tcMar>
          </w:tcPr>
          <w:p>
            <w:r>
              <w:rPr>
                <w:rFonts w:ascii="Calibri" w:eastAsia="SimSun"/>
                <w:color w:val="000000"/>
                <w:sz w:val="21"/>
                <w:szCs w:val="21"/>
              </w:rPr>
              <w:t xml:space="preserve">自签名，CN=lubancat.local，10 年</w:t>
            </w:r>
          </w:p>
        </w:tc>
      </w:tr>
      <w:tr>
        <w:trPr>
          <w:cantSplit/>
        </w:trPr>
        <w:tc>
          <w:tcPr>
            <w:tcW w:type="pct" w:w="30%"/>
            <w:tcMar>
              <w:top w:type="dxa" w:w="60"/>
              <w:left w:type="dxa" w:w="120"/>
              <w:bottom w:type="dxa" w:w="60"/>
              <w:right w:type="dxa" w:w="120"/>
            </w:tcMar>
          </w:tcPr>
          <w:p>
            <w:r>
              <w:rPr>
                <w:rFonts w:ascii="Calibri" w:eastAsia="SimSun"/>
                <w:color w:val="000000"/>
                <w:sz w:val="21"/>
                <w:szCs w:val="21"/>
              </w:rPr>
              <w:t xml:space="preserve">授权网段</w:t>
            </w:r>
          </w:p>
        </w:tc>
        <w:tc>
          <w:tcPr>
            <w:tcW w:type="pct" w:w="70%"/>
            <w:tcMar>
              <w:top w:type="dxa" w:w="60"/>
              <w:left w:type="dxa" w:w="120"/>
              <w:bottom w:type="dxa" w:w="60"/>
              <w:right w:type="dxa" w:w="120"/>
            </w:tcMar>
          </w:tcPr>
          <w:p>
            <w:r>
              <w:rPr>
                <w:rFonts w:ascii="Calibri" w:eastAsia="SimSun"/>
                <w:color w:val="000000"/>
                <w:sz w:val="21"/>
                <w:szCs w:val="21"/>
              </w:rPr>
              <w:t xml:space="preserve">以面板 NTP 访问控制列表实时显示为准</w:t>
            </w:r>
          </w:p>
        </w:tc>
      </w:tr>
    </w:tbl>
    <w:p>
      <w:pPr>
        <w:pStyle w:val="Heading2"/>
        <w:spacing w:after="120" w:before="240" w:line="340" w:lineRule="atLeast"/>
      </w:pPr>
      <w:bookmarkStart w:id="100027" w:name="_Toc100027"/>
      <w:r>
        <w:rPr>
          <w:rFonts w:ascii="Calibri" w:eastAsia="SimHei"/>
          <w:b/>
          <w:bCs/>
          <w:color w:val="0F2B46"/>
          <w:sz w:val="28"/>
          <w:szCs w:val="28"/>
        </w:rPr>
        <w:t xml:space="preserve">11.2 关键服务清单（维护参考）</w:t>
      </w:r>
      <w:bookmarkEnd w:id="100027"/>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tblGrid>
      <w:tr>
        <w:trPr>
          <w:cantSplit/>
          <w:tblHeader/>
        </w:trPr>
        <w:tc>
          <w:tcPr>
            <w:tcW w:type="pct" w:w="28%"/>
            <w:shd w:fill="529286" w:val="clear"/>
            <w:tcMar>
              <w:top w:type="dxa" w:w="60"/>
              <w:left w:type="dxa" w:w="120"/>
              <w:bottom w:type="dxa" w:w="60"/>
              <w:right w:type="dxa" w:w="120"/>
            </w:tcMar>
          </w:tcPr>
          <w:p>
            <w:r>
              <w:rPr>
                <w:rFonts w:ascii="Calibri" w:eastAsia="SimHei"/>
                <w:b/>
                <w:bCs/>
                <w:color w:val="FFFFFF"/>
                <w:sz w:val="21"/>
                <w:szCs w:val="21"/>
              </w:rPr>
              <w:t xml:space="preserve">服务</w:t>
            </w:r>
          </w:p>
        </w:tc>
        <w:tc>
          <w:tcPr>
            <w:tcW w:type="pct" w:w="72%"/>
            <w:shd w:fill="529286" w:val="clear"/>
            <w:tcMar>
              <w:top w:type="dxa" w:w="60"/>
              <w:left w:type="dxa" w:w="120"/>
              <w:bottom w:type="dxa" w:w="60"/>
              <w:right w:type="dxa" w:w="120"/>
            </w:tcMar>
          </w:tcPr>
          <w:p>
            <w:r>
              <w:rPr>
                <w:rFonts w:ascii="Calibri" w:eastAsia="SimHei"/>
                <w:b/>
                <w:bCs/>
                <w:color w:val="FFFFFF"/>
                <w:sz w:val="21"/>
                <w:szCs w:val="21"/>
              </w:rPr>
              <w:t xml:space="preserve">作用</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lighttpd</w:t>
            </w:r>
          </w:p>
        </w:tc>
        <w:tc>
          <w:tcPr>
            <w:tcW w:type="pct" w:w="72%"/>
            <w:tcMar>
              <w:top w:type="dxa" w:w="60"/>
              <w:left w:type="dxa" w:w="120"/>
              <w:bottom w:type="dxa" w:w="60"/>
              <w:right w:type="dxa" w:w="120"/>
            </w:tcMar>
          </w:tcPr>
          <w:p>
            <w:r>
              <w:rPr>
                <w:rFonts w:ascii="Calibri" w:eastAsia="SimSun"/>
                <w:color w:val="000000"/>
                <w:sz w:val="21"/>
                <w:szCs w:val="21"/>
              </w:rPr>
              <w:t xml:space="preserve">HTTPS 网页服务（443 端口，含 CGI 网关）</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chrony</w:t>
            </w:r>
          </w:p>
        </w:tc>
        <w:tc>
          <w:tcPr>
            <w:tcW w:type="pct" w:w="72%"/>
            <w:tcMar>
              <w:top w:type="dxa" w:w="60"/>
              <w:left w:type="dxa" w:w="120"/>
              <w:bottom w:type="dxa" w:w="60"/>
              <w:right w:type="dxa" w:w="120"/>
            </w:tcMar>
          </w:tcPr>
          <w:p>
            <w:r>
              <w:rPr>
                <w:rFonts w:ascii="Calibri" w:eastAsia="SimSun"/>
                <w:color w:val="000000"/>
                <w:sz w:val="21"/>
                <w:szCs w:val="21"/>
              </w:rPr>
              <w:t xml:space="preserve">本地时钟驯服与 NTP 服务端（UDP 123）</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pps_tod</w:t>
            </w:r>
          </w:p>
        </w:tc>
        <w:tc>
          <w:tcPr>
            <w:tcW w:type="pct" w:w="72%"/>
            <w:tcMar>
              <w:top w:type="dxa" w:w="60"/>
              <w:left w:type="dxa" w:w="120"/>
              <w:bottom w:type="dxa" w:w="60"/>
              <w:right w:type="dxa" w:w="120"/>
            </w:tcMar>
          </w:tcPr>
          <w:p>
            <w:r>
              <w:rPr>
                <w:rFonts w:ascii="Calibri" w:eastAsia="SimSun"/>
                <w:color w:val="000000"/>
                <w:sz w:val="21"/>
                <w:szCs w:val="21"/>
              </w:rPr>
              <w:t xml:space="preserve">授时守护进程：接收 PPS 秒脉冲与 TOD 报文，向 chrony 供时</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pps_tod_watchdog</w:t>
            </w:r>
          </w:p>
        </w:tc>
        <w:tc>
          <w:tcPr>
            <w:tcW w:type="pct" w:w="72%"/>
            <w:tcMar>
              <w:top w:type="dxa" w:w="60"/>
              <w:left w:type="dxa" w:w="120"/>
              <w:bottom w:type="dxa" w:w="60"/>
              <w:right w:type="dxa" w:w="120"/>
            </w:tcMar>
          </w:tcPr>
          <w:p>
            <w:r>
              <w:rPr>
                <w:rFonts w:ascii="Calibri" w:eastAsia="SimSun"/>
                <w:color w:val="000000"/>
                <w:sz w:val="21"/>
                <w:szCs w:val="21"/>
              </w:rPr>
              <w:t xml:space="preserve">同步链看门狗：断流自愈 + 参考丢失时暂停对外授时（守卫）</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ntp_nic_monitor</w:t>
            </w:r>
          </w:p>
        </w:tc>
        <w:tc>
          <w:tcPr>
            <w:tcW w:type="pct" w:w="72%"/>
            <w:tcMar>
              <w:top w:type="dxa" w:w="60"/>
              <w:left w:type="dxa" w:w="120"/>
              <w:bottom w:type="dxa" w:w="60"/>
              <w:right w:type="dxa" w:w="120"/>
            </w:tcMar>
          </w:tcPr>
          <w:p>
            <w:r>
              <w:rPr>
                <w:rFonts w:ascii="Calibri" w:eastAsia="SimSun"/>
                <w:color w:val="000000"/>
                <w:sz w:val="21"/>
                <w:szCs w:val="21"/>
              </w:rPr>
              <w:t xml:space="preserve">各网口 NTP 请求/应答统计与客户端明细采集</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ntp-stats.timer</w:t>
            </w:r>
          </w:p>
        </w:tc>
        <w:tc>
          <w:tcPr>
            <w:tcW w:type="pct" w:w="72%"/>
            <w:tcMar>
              <w:top w:type="dxa" w:w="60"/>
              <w:left w:type="dxa" w:w="120"/>
              <w:bottom w:type="dxa" w:w="60"/>
              <w:right w:type="dxa" w:w="120"/>
            </w:tcMar>
          </w:tcPr>
          <w:p>
            <w:r>
              <w:rPr>
                <w:rFonts w:ascii="Calibri" w:eastAsia="SimSun"/>
                <w:color w:val="000000"/>
                <w:sz w:val="21"/>
                <w:szCs w:val="21"/>
              </w:rPr>
              <w:t xml:space="preserve">每分钟采样授时统计（供监控页签曲线）</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rollback-recover</w:t>
            </w:r>
          </w:p>
        </w:tc>
        <w:tc>
          <w:tcPr>
            <w:tcW w:type="pct" w:w="72%"/>
            <w:tcMar>
              <w:top w:type="dxa" w:w="60"/>
              <w:left w:type="dxa" w:w="120"/>
              <w:bottom w:type="dxa" w:w="60"/>
              <w:right w:type="dxa" w:w="120"/>
            </w:tcMar>
          </w:tcPr>
          <w:p>
            <w:r>
              <w:rPr>
                <w:rFonts w:ascii="Calibri" w:eastAsia="SimSun"/>
                <w:color w:val="000000"/>
                <w:sz w:val="21"/>
                <w:szCs w:val="21"/>
              </w:rPr>
              <w:t xml:space="preserve">开机时恢复 eth0 网络配置（防改错失联）</w:t>
            </w:r>
          </w:p>
        </w:tc>
      </w:tr>
      <w:tr>
        <w:trPr>
          <w:cantSplit/>
        </w:trPr>
        <w:tc>
          <w:tcPr>
            <w:tcW w:type="pct" w:w="28%"/>
            <w:tcMar>
              <w:top w:type="dxa" w:w="60"/>
              <w:left w:type="dxa" w:w="120"/>
              <w:bottom w:type="dxa" w:w="60"/>
              <w:right w:type="dxa" w:w="120"/>
            </w:tcMar>
          </w:tcPr>
          <w:p>
            <w:r>
              <w:rPr>
                <w:rFonts w:ascii="Calibri" w:eastAsia="SimSun"/>
                <w:color w:val="000000"/>
                <w:sz w:val="21"/>
                <w:szCs w:val="21"/>
              </w:rPr>
              <w:t xml:space="preserve">sanitize-drift</w:t>
            </w:r>
          </w:p>
        </w:tc>
        <w:tc>
          <w:tcPr>
            <w:tcW w:type="pct" w:w="72%"/>
            <w:tcMar>
              <w:top w:type="dxa" w:w="60"/>
              <w:left w:type="dxa" w:w="120"/>
              <w:bottom w:type="dxa" w:w="60"/>
              <w:right w:type="dxa" w:w="120"/>
            </w:tcMar>
          </w:tcPr>
          <w:p>
            <w:r>
              <w:rPr>
                <w:rFonts w:ascii="Calibri" w:eastAsia="SimSun"/>
                <w:color w:val="000000"/>
                <w:sz w:val="21"/>
                <w:szCs w:val="21"/>
              </w:rPr>
              <w:t xml:space="preserve">开机时钟频偏消毒（防异常残留）</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0D8" w:sz="2" w:space="4"/>
      </w:pBdr>
      <w:jc w:val="center"/>
    </w:pPr>
    <w:r>
      <w:rPr>
        <w:rFonts w:ascii="Calibri" w:eastAsia="SimSun"/>
        <w:color w:val="888888"/>
        <w:sz w:val="16"/>
        <w:szCs w:val="16"/>
      </w:rPr>
      <w:t xml:space="preserve">授时管理系统用户使用说明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Calibri" w:eastAsia="SimHei"/>
      <w:b/>
      <w:bCs/>
      <w:color w:val="0F2B46"/>
      <w:sz w:val="32"/>
      <w:szCs w:val="32"/>
    </w:rPr>
  </w:style>
  <w:style w:type="paragraph" w:styleId="Heading2">
    <w:name w:val="Heading 2"/>
    <w:basedOn w:val="Normal"/>
    <w:next w:val="Normal"/>
    <w:qFormat/>
    <w:pPr>
      <w:spacing w:after="120" w:before="240" w:line="340"/>
      <w:outlineLvl w:val="1"/>
    </w:pPr>
    <w:rPr>
      <w:rFonts w:ascii="Calibri" w:eastAsia="SimHei"/>
      <w:b/>
      <w:bCs/>
      <w:color w:val="0F2B46"/>
      <w:sz w:val="28"/>
      <w:szCs w:val="28"/>
    </w:rPr>
  </w:style>
  <w:style w:type="paragraph" w:styleId="Heading3">
    <w:name w:val="Heading 3"/>
    <w:basedOn w:val="Normal"/>
    <w:next w:val="Normal"/>
    <w:qFormat/>
    <w:pPr>
      <w:spacing w:after="100" w:before="200" w:line="312"/>
      <w:outlineLvl w:val="2"/>
    </w:pPr>
    <w:rPr>
      <w:rFonts w:ascii="Calibri" w:eastAsia="SimHei"/>
      <w:b/>
      <w:bCs/>
      <w:color w:val="0F2B4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fc7a21d72235b1adc83d5612dd60112c6161c52.png"/><Relationship Id="rId11" Type="http://schemas.openxmlformats.org/officeDocument/2006/relationships/image" Target="media/634e583790510d2f7834c9e986591da11437d11d.png"/><Relationship Id="rId12" Type="http://schemas.openxmlformats.org/officeDocument/2006/relationships/image" Target="media/579c5a84239648552c83b23c92253dda5747ce4f.png"/><Relationship Id="rId13" Type="http://schemas.openxmlformats.org/officeDocument/2006/relationships/image" Target="media/d8093d7832ff39d06cfb4f428e12f1531968d7ac.png"/><Relationship Id="rId14" Type="http://schemas.openxmlformats.org/officeDocument/2006/relationships/image" Target="media/07e1f6b4ad477d433b635db3d5d104bcc182058e.png"/><Relationship Id="rId15" Type="http://schemas.openxmlformats.org/officeDocument/2006/relationships/image" Target="media/8722fa900f21f1292bdd41d0b80e820c22b4099b.png"/><Relationship Id="rId16" Type="http://schemas.openxmlformats.org/officeDocument/2006/relationships/image" Target="media/f8c9c7df19017cafc4a71070413d111dc66fca6e.png"/><Relationship Id="rId17" Type="http://schemas.openxmlformats.org/officeDocument/2006/relationships/image" Target="media/5f4d0e6f03d6669485db541a11b2539e78510410.png"/><Relationship Id="rId18" Type="http://schemas.openxmlformats.org/officeDocument/2006/relationships/image" Target="media/44b1fb7966c60ee9842fee54bdef8f5f7ad21c9f.png"/><Relationship Id="rId19" Type="http://schemas.openxmlformats.org/officeDocument/2006/relationships/image" Target="media/7164030ddcb082eac440c14bb000c2ca75609aa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2026-09-23T13:13:32.248Z</dcterms:created>
  <dcterms:modified xsi:type="dcterms:W3CDTF">2026-09-23T13:13:32.248Z</dcterms:modified>
</cp:coreProperties>
</file>

<file path=docProps/custom.xml><?xml version="1.0" encoding="utf-8"?>
<Properties xmlns="http://schemas.openxmlformats.org/officeDocument/2006/custom-properties" xmlns:vt="http://schemas.openxmlformats.org/officeDocument/2006/docPropsVTypes"/>
</file>