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Figure captions</w:t>
      </w:r>
    </w:p>
    <w:p>
      <w:pPr>
        <w:pStyle w:val="Heading1"/>
      </w:pPr>
      <w:r>
        <w:t>Figure 1</w:t>
      </w:r>
    </w:p>
    <w:p>
      <w:pPr>
        <w:keepLines/>
        <w:keepNext/>
      </w:pPr>
      <w:r>
        <w:rPr>
          <w:b w:val="0"/>
          <w:i w:val="0"/>
        </w:rPr>
        <w:t>Retrieval workflow and measurement provenance. Candidate documents, selected fragments, actual context C, answers and extracted claims are different content objects. Dashed links indicate reuse or record association rather than causal effects. Every query–condition position requires its eligible evaluation fields despite canonical content reuse. Fidelity concerns answer-to-claim meaning; support concerns actual context-to-claim entailment; coverage concerns required aspects.</w:t>
      </w:r>
    </w:p>
    <w:p>
      <w:r>
        <w:rPr>
          <w:b w:val="0"/>
          <w:i w:val="0"/>
        </w:rPr>
        <w:t>Source: Author’s figure based on the frozen study records.</w:t>
      </w:r>
    </w:p>
    <w:p>
      <w:pPr>
        <w:pStyle w:val="Heading1"/>
      </w:pPr>
      <w:r>
        <w:t>Figure 2</w:t>
      </w:r>
    </w:p>
    <w:p>
      <w:pPr>
        <w:keepLines/>
        <w:keepNext/>
      </w:pPr>
      <w:r>
        <w:rPr>
          <w:b w:val="0"/>
          <w:i w:val="0"/>
        </w:rPr>
        <w:t>Withdrawal of an apparent selection advantage. Panel a shows all 175 frozen query-level Selection-minus-Hybrid a3 differences before and after repair, including 54 identical-context and 121 differing-context queries. Panel b displays stored means of these same observations. Panel c identifies 38/700 corrected positions, 37 Selection and one Hybrid. Historical raw p=.0006 belongs to the withdrawn result; corrected post hoc p=.6471 does not establish equivalence. All 175 observations are retained; coincident coordinates overlap without jitter. Lines connect means from two record versions, not independent experiments. In panel c, the asterisk marks the missing-to-one fallback, which applies only to supported aspects with absent completion.</w:t>
      </w:r>
    </w:p>
    <w:p>
      <w:r>
        <w:rPr>
          <w:b w:val="0"/>
          <w:i w:val="0"/>
        </w:rPr>
        <w:t>Source: Author’s figure based on the frozen study records.</w:t>
      </w:r>
    </w:p>
    <w:p>
      <w:pPr>
        <w:pStyle w:val="Heading1"/>
      </w:pPr>
      <w:r>
        <w:t>Figure 3</w:t>
      </w:r>
    </w:p>
    <w:p>
      <w:pPr>
        <w:keepLines/>
        <w:keepNext/>
      </w:pPr>
      <w:r>
        <w:rPr>
          <w:b w:val="0"/>
          <w:i w:val="0"/>
        </w:rPr>
        <w:t>A reconstructable position-assignment error. For brightpro:biology:11, Hybrid and Selection shared context, answer and quality-payload identifiers. The only supported aspect had normalized weight .2 and recorded completion .5. Missing completion at Selection invoked fallback 1, giving .2 instead of .1. Restoring the archived .5 returned .1 and changed the paired difference from +.1 to zero. Hash prefixes identify archived objects; this single example is not independent semantic adjudication or a representative effect estimate.</w:t>
      </w:r>
    </w:p>
    <w:p>
      <w:r>
        <w:rPr>
          <w:b w:val="0"/>
          <w:i w:val="0"/>
        </w:rPr>
        <w:t>Source: Author’s figure based on the frozen study records.</w:t>
      </w:r>
    </w:p>
    <w:p>
      <w:pPr>
        <w:pStyle w:val="Heading1"/>
      </w:pPr>
      <w:r>
        <w:t>Figure 4</w:t>
      </w:r>
    </w:p>
    <w:p>
      <w:pPr>
        <w:keepLines/>
        <w:keepNext/>
      </w:pPr>
      <w:r>
        <w:rPr>
          <w:b w:val="0"/>
          <w:i w:val="0"/>
        </w:rPr>
        <w:t>Development reference composition and migration limits. The 196 original aspect records comprise 77 not_mentioned omissions, 33 other entries in the old unsupported category and 86 other original labels. Thus omissions are 77/110 of old unsupported aspect records, not 77 verified unsupported assertions. Counts 33 and 86 are deterministic complements. Separately, 119 nonempty annotation records yielded 91 fixed excerpts. Zero matched natural-F reference records means fidelity accuracy remains unverified.</w:t>
      </w:r>
    </w:p>
    <w:p>
      <w:r>
        <w:rPr>
          <w:b w:val="0"/>
          <w:i w:val="0"/>
        </w:rPr>
        <w:t>Source: Author’s figure based on the frozen study records.</w:t>
      </w:r>
    </w:p>
    <w:p>
      <w:pPr>
        <w:pStyle w:val="Heading1"/>
      </w:pPr>
      <w:r>
        <w:t>Figure 5</w:t>
      </w:r>
    </w:p>
    <w:p>
      <w:pPr>
        <w:keepLines/>
        <w:keepNext/>
      </w:pPr>
      <w:r>
        <w:rPr>
          <w:b w:val="0"/>
          <w:i w:val="0"/>
        </w:rPr>
        <w:t>Reference-stratified outcomes and abstention. The RAGTruth evaluation contains 32 source groups, six response-level reference positives and 26 negatives. Split yielded TP6/FP19/TN7/FN0/unknown0; Joint yielded TP6/FP8/TN11/FN0/unknown7, all unknowns reference-negative. Correct determinate decisions are 13/32 and 17/32. Conditional positive F1=.387097 and .600000 refers to coverage 32/32 and 25/32. The exact McNemar p=.21875 compares correct endpoint decisions over all 32 groups, not conditional F1; it supports neither superiority nor equivalence. Positive means reference hallucination/support error, not a supported claim.</w:t>
      </w:r>
    </w:p>
    <w:p>
      <w:r>
        <w:rPr>
          <w:b w:val="0"/>
          <w:i w:val="0"/>
        </w:rPr>
        <w:t>Source: Author’s figure based on the frozen study records.</w:t>
      </w:r>
    </w:p>
    <w:p>
      <w:pPr>
        <w:pStyle w:val="Heading1"/>
      </w:pPr>
      <w:r>
        <w:t>Supplementary Figure S1</w:t>
      </w:r>
    </w:p>
    <w:p>
      <w:pPr>
        <w:keepLines/>
        <w:keepNext/>
      </w:pPr>
      <w:r>
        <w:rPr>
          <w:b w:val="0"/>
          <w:i w:val="0"/>
        </w:rPr>
        <w:t>Process evidence at distinct endpoints. Three comparisons of the same 175 queries produced 19/34/22 reversals alongside positive nDCG@10–a3 difference associations. Frozen matched-target prediction reduced MAE by .001600406, existing p=.4442; corrected selection yielded Δ=−.004213065, existing p=.6471. In panel a, the corresponding nDCG@10–a3 difference associations are r=.506152, .380464 and .575916, with association p≈.00010 for each; these p values do not test reversal counts. Panel b uses 175 queries and 700 positions, with M0 MAE=.261343 and M1 MAE=.259742. Panel c shows Selection minus Hybrid. The panels use different units and do not constitute independent replications. Non-significance does not demonstrate equivalence.</w:t>
      </w:r>
    </w:p>
    <w:p>
      <w:r>
        <w:rPr>
          <w:b w:val="0"/>
          <w:i w:val="0"/>
        </w:rPr>
        <w:t>Source: Author’s figure based on the frozen study records.</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color w:val="000000"/>
      <w:sz w:val="24"/>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imes New Roman" w:hAnsi="Times New Roman" w:eastAsia="Times New Roman" w:cs="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imes New Roman" w:hAnsi="Times New Roman" w:eastAsia="Times New Roman" w:cs="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imes New Roman" w:hAnsi="Times New Roman" w:eastAsia="Times New Roman" w:cs="Times New Roman"/>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pPr>
    <w:rPr>
      <w:rFonts w:ascii="Times New Roman" w:hAnsi="Times New Roman" w:eastAsia="Times New Roman" w:cs="Times New Roman"/>
      <w:b/>
      <w:bCs/>
      <w:color w:val="000000"/>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provenance and warranted claims in reasoning intensive retrieval</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