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Tables</w:t>
      </w:r>
    </w:p>
    <w:p>
      <w:pPr>
        <w:pStyle w:val="Heading1"/>
      </w:pPr>
      <w:r>
        <w:t>Table I Study Samples, Evaluation Objects, and Analysis Status</w:t>
      </w:r>
    </w:p>
    <w:tbl>
      <w:tblPr>
        <w:tblW w:type="auto" w:w="0"/>
        <w:jc w:val="center"/>
        <w:tblLayout w:type="fixed"/>
        <w:tblLook w:firstColumn="1" w:firstRow="1" w:lastColumn="0" w:lastRow="0" w:noHBand="0" w:noVBand="1" w:val="04A0"/>
      </w:tblPr>
      <w:tblGrid>
        <w:gridCol w:w="3492"/>
        <w:gridCol w:w="3492"/>
        <w:gridCol w:w="3492"/>
        <w:gridCol w:w="3492"/>
      </w:tblGrid>
      <w:tr>
        <w:trPr>
          <w:cantSplit/>
          <w:tblHeader/>
        </w:trPr>
        <w:tc>
          <w:tcPr>
            <w:tcW w:type="dxa" w:w="3024"/>
            <w:vAlign w:val="center"/>
            <w:tcBorders>
              <w:top w:val="single" w:sz="4" w:color="D9D9D9"/>
              <w:bottom w:val="single" w:sz="4" w:color="D9D9D9"/>
              <w:left w:val="single" w:sz="4" w:color="D9D9D9"/>
              <w:right w:val="single" w:sz="4" w:color="D9D9D9"/>
            </w:tcBorders>
            <w:shd w:fill="E4E9EE"/>
            <w:tcMar>
              <w:top w:w="30" w:type="dxa"/>
              <w:bottom w:w="30" w:type="dxa"/>
              <w:left w:w="85" w:type="dxa"/>
              <w:right w:w="85" w:type="dxa"/>
            </w:tcMar>
          </w:tcPr>
          <w:p>
            <w:pPr>
              <w:spacing w:before="0" w:after="0" w:line="240" w:lineRule="auto"/>
            </w:pPr>
            <w:r>
              <w:rPr>
                <w:b/>
                <w:sz w:val="21"/>
              </w:rPr>
              <w:t>Evidence component</w:t>
            </w:r>
          </w:p>
        </w:tc>
        <w:tc>
          <w:tcPr>
            <w:tcW w:type="dxa" w:w="3384"/>
            <w:vAlign w:val="center"/>
            <w:tcBorders>
              <w:top w:val="single" w:sz="4" w:color="D9D9D9"/>
              <w:bottom w:val="single" w:sz="4" w:color="D9D9D9"/>
              <w:left w:val="single" w:sz="4" w:color="D9D9D9"/>
              <w:right w:val="single" w:sz="4" w:color="D9D9D9"/>
            </w:tcBorders>
            <w:shd w:fill="E4E9EE"/>
            <w:tcMar>
              <w:top w:w="30" w:type="dxa"/>
              <w:bottom w:w="30" w:type="dxa"/>
              <w:left w:w="85" w:type="dxa"/>
              <w:right w:w="85" w:type="dxa"/>
            </w:tcMar>
          </w:tcPr>
          <w:p>
            <w:pPr>
              <w:spacing w:before="0" w:after="0" w:line="240" w:lineRule="auto"/>
            </w:pPr>
            <w:r>
              <w:rPr>
                <w:b/>
                <w:sz w:val="21"/>
              </w:rPr>
              <w:t>Sample size and unit</w:t>
            </w:r>
          </w:p>
        </w:tc>
        <w:tc>
          <w:tcPr>
            <w:tcW w:type="dxa" w:w="3384"/>
            <w:vAlign w:val="center"/>
            <w:tcBorders>
              <w:top w:val="single" w:sz="4" w:color="D9D9D9"/>
              <w:bottom w:val="single" w:sz="4" w:color="D9D9D9"/>
              <w:left w:val="single" w:sz="4" w:color="D9D9D9"/>
              <w:right w:val="single" w:sz="4" w:color="D9D9D9"/>
            </w:tcBorders>
            <w:shd w:fill="E4E9EE"/>
            <w:tcMar>
              <w:top w:w="30" w:type="dxa"/>
              <w:bottom w:w="30" w:type="dxa"/>
              <w:left w:w="85" w:type="dxa"/>
              <w:right w:w="85" w:type="dxa"/>
            </w:tcMar>
          </w:tcPr>
          <w:p>
            <w:pPr>
              <w:spacing w:before="0" w:after="0" w:line="240" w:lineRule="auto"/>
            </w:pPr>
            <w:r>
              <w:rPr>
                <w:b/>
                <w:sz w:val="21"/>
              </w:rPr>
              <w:t>Evaluation object/reference</w:t>
            </w:r>
          </w:p>
        </w:tc>
        <w:tc>
          <w:tcPr>
            <w:tcW w:type="dxa" w:w="4176"/>
            <w:vAlign w:val="center"/>
            <w:tcBorders>
              <w:top w:val="single" w:sz="4" w:color="D9D9D9"/>
              <w:bottom w:val="single" w:sz="4" w:color="D9D9D9"/>
              <w:left w:val="single" w:sz="4" w:color="D9D9D9"/>
              <w:right w:val="single" w:sz="4" w:color="D9D9D9"/>
            </w:tcBorders>
            <w:shd w:fill="E4E9EE"/>
            <w:tcMar>
              <w:top w:w="30" w:type="dxa"/>
              <w:bottom w:w="30" w:type="dxa"/>
              <w:left w:w="85" w:type="dxa"/>
              <w:right w:w="85" w:type="dxa"/>
            </w:tcMar>
          </w:tcPr>
          <w:p>
            <w:pPr>
              <w:spacing w:before="0" w:after="0" w:line="240" w:lineRule="auto"/>
            </w:pPr>
            <w:r>
              <w:rPr>
                <w:b/>
                <w:sz w:val="21"/>
              </w:rPr>
              <w:t>Analysis status</w:t>
            </w:r>
          </w:p>
        </w:tc>
      </w:tr>
      <w:tr>
        <w:trPr>
          <w:cantSplit/>
        </w:trPr>
        <w:tc>
          <w:tcPr>
            <w:tcW w:type="dxa" w:w="302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Bright-Pro source and split</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739 queries; 70 development, 175 historical analysis, 494 retained</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7 domains; 526,319 documents, 2,763 aspects, 5,272 aspect–evidence links</w:t>
            </w:r>
          </w:p>
        </w:tc>
        <w:tc>
          <w:tcPr>
            <w:tcW w:type="dxa" w:w="4176"/>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Dataset counts; retained query texts not accessed for this paper</w:t>
            </w:r>
          </w:p>
        </w:tc>
      </w:tr>
      <w:tr>
        <w:trPr>
          <w:cantSplit/>
        </w:trPr>
        <w:tc>
          <w:tcPr>
            <w:tcW w:type="dxa" w:w="302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Main retrieval comparisons</w:t>
            </w:r>
          </w:p>
        </w:tc>
        <w:tc>
          <w:tcPr>
            <w:tcW w:type="dxa" w:w="338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175 queries × 4 conditions = 700 measurement positions</w:t>
            </w:r>
          </w:p>
        </w:tc>
        <w:tc>
          <w:tcPr>
            <w:tcW w:type="dxa" w:w="338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Retrieval measures and automatic support/utility proxies; positions nested within queries</w:t>
            </w:r>
          </w:p>
        </w:tc>
        <w:tc>
          <w:tcPr>
            <w:tcW w:type="dxa" w:w="4176"/>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Historical confirmation cohort; corrected and subsequent analyses reported with post hoc identity</w:t>
            </w:r>
          </w:p>
        </w:tc>
      </w:tr>
      <w:tr>
        <w:trPr>
          <w:cantSplit/>
        </w:trPr>
        <w:tc>
          <w:tcPr>
            <w:tcW w:type="dxa" w:w="302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Internal evaluator calibration</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84 primary answers/positions; 312 aspect rows</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Three-category support reference; original human discussion occurred</w:t>
            </w:r>
          </w:p>
        </w:tc>
        <w:tc>
          <w:tcPr>
            <w:tcW w:type="dxa" w:w="4176"/>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Development/calibration; macro-F1 implementation audit, not independent validation</w:t>
            </w:r>
          </w:p>
        </w:tc>
      </w:tr>
      <w:tr>
        <w:trPr>
          <w:cantSplit/>
        </w:trPr>
        <w:tc>
          <w:tcPr>
            <w:tcW w:type="dxa" w:w="302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Original development reference remapping</w:t>
            </w:r>
          </w:p>
        </w:tc>
        <w:tc>
          <w:tcPr>
            <w:tcW w:type="dxa" w:w="338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14 query groups; 28 positions; 196 A/B aspect annotations</w:t>
            </w:r>
          </w:p>
        </w:tc>
        <w:tc>
          <w:tcPr>
            <w:tcW w:type="dxa" w:w="338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77 omissions; 119 nonempty annotation records; 91 distinct fixed excerpts</w:t>
            </w:r>
          </w:p>
        </w:tc>
        <w:tc>
          <w:tcPr>
            <w:tcW w:type="dxa" w:w="4176"/>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Development, retrospective remapping; no natural-claim fidelity gold</w:t>
            </w:r>
          </w:p>
        </w:tc>
      </w:tr>
      <w:tr>
        <w:trPr>
          <w:cantSplit/>
        </w:trPr>
        <w:tc>
          <w:tcPr>
            <w:tcW w:type="dxa" w:w="302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RAGTruth development</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24 responses</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Public answer-level hallucination/span reference</w:t>
            </w:r>
          </w:p>
        </w:tc>
        <w:tc>
          <w:tcPr>
            <w:tcW w:type="dxa" w:w="4176"/>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Development only; not an independent replication</w:t>
            </w:r>
          </w:p>
        </w:tc>
      </w:tr>
      <w:tr>
        <w:trPr>
          <w:cantSplit/>
        </w:trPr>
        <w:tc>
          <w:tcPr>
            <w:tcW w:type="dxa" w:w="302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RAGTruth first independent batch</w:t>
            </w:r>
          </w:p>
        </w:tc>
        <w:tc>
          <w:tcPr>
            <w:tcW w:type="dxa" w:w="338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32 source groups, one response each; 6 positive, 26 negative references</w:t>
            </w:r>
          </w:p>
        </w:tc>
        <w:tc>
          <w:tcPr>
            <w:tcW w:type="dxa" w:w="338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Frozen response-level support-error proxy against published span reference</w:t>
            </w:r>
          </w:p>
        </w:tc>
        <w:tc>
          <w:tcPr>
            <w:tcW w:type="dxa" w:w="4176"/>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First frozen evaluation independent; present discussion and 19-case audit post hoc</w:t>
            </w:r>
          </w:p>
        </w:tc>
      </w:tr>
      <w:tr>
        <w:trPr>
          <w:cantSplit/>
        </w:trPr>
        <w:tc>
          <w:tcPr>
            <w:tcW w:type="dxa" w:w="302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Controlled input operations</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28 constructed operation cases; 20 evaluable, 8 unknown</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Known span/offset operations, not natural semantic truth</w:t>
            </w:r>
          </w:p>
        </w:tc>
        <w:tc>
          <w:tcPr>
            <w:tcW w:type="dxa" w:w="4176"/>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Engineering/control evidence; 9 same-budget repair actions are not 9 new generated answers</w:t>
            </w:r>
          </w:p>
        </w:tc>
      </w:tr>
    </w:tbl>
    <w:p>
      <w:r>
        <w:rPr>
          <w:sz w:val="21"/>
        </w:rPr>
        <w:t>Notes. These components are separate samples and cannot be added into one effective N. The 494 Bright-Pro queries and 118 RAGTruth source groups retained from previous work remain unused. The 196 annotation records are not 196 distinct claims or queries. Different human batches and scales are reported separately in the manuscript appendix.</w:t>
      </w:r>
    </w:p>
    <w:p>
      <w:r>
        <w:br w:type="page"/>
      </w:r>
    </w:p>
    <w:p>
      <w:pPr>
        <w:pStyle w:val="Heading1"/>
      </w:pPr>
      <w:r>
        <w:t>Table II Measurement Corrections and Their Consequences for Reported Claims</w:t>
      </w:r>
    </w:p>
    <w:tbl>
      <w:tblPr>
        <w:tblW w:type="auto" w:w="0"/>
        <w:jc w:val="center"/>
        <w:tblLayout w:type="fixed"/>
        <w:tblLook w:firstColumn="1" w:firstRow="1" w:lastColumn="0" w:lastRow="0" w:noHBand="0" w:noVBand="1" w:val="04A0"/>
      </w:tblPr>
      <w:tblGrid>
        <w:gridCol w:w="3492"/>
        <w:gridCol w:w="3492"/>
        <w:gridCol w:w="3492"/>
        <w:gridCol w:w="3492"/>
      </w:tblGrid>
      <w:tr>
        <w:trPr>
          <w:cantSplit/>
          <w:tblHeader/>
        </w:trPr>
        <w:tc>
          <w:tcPr>
            <w:tcW w:type="dxa" w:w="3024"/>
            <w:vAlign w:val="center"/>
            <w:tcBorders>
              <w:top w:val="single" w:sz="4" w:color="D9D9D9"/>
              <w:bottom w:val="single" w:sz="4" w:color="D9D9D9"/>
              <w:left w:val="single" w:sz="4" w:color="D9D9D9"/>
              <w:right w:val="single" w:sz="4" w:color="D9D9D9"/>
            </w:tcBorders>
            <w:shd w:fill="E4E9EE"/>
            <w:tcMar>
              <w:top w:w="30" w:type="dxa"/>
              <w:bottom w:w="30" w:type="dxa"/>
              <w:left w:w="85" w:type="dxa"/>
              <w:right w:w="85" w:type="dxa"/>
            </w:tcMar>
          </w:tcPr>
          <w:p>
            <w:pPr>
              <w:spacing w:before="0" w:after="0" w:line="240" w:lineRule="auto"/>
            </w:pPr>
            <w:r>
              <w:rPr>
                <w:b/>
                <w:sz w:val="21"/>
              </w:rPr>
              <w:t>Audit object and sample</w:t>
            </w:r>
          </w:p>
        </w:tc>
        <w:tc>
          <w:tcPr>
            <w:tcW w:type="dxa" w:w="3384"/>
            <w:vAlign w:val="center"/>
            <w:tcBorders>
              <w:top w:val="single" w:sz="4" w:color="D9D9D9"/>
              <w:bottom w:val="single" w:sz="4" w:color="D9D9D9"/>
              <w:left w:val="single" w:sz="4" w:color="D9D9D9"/>
              <w:right w:val="single" w:sz="4" w:color="D9D9D9"/>
            </w:tcBorders>
            <w:shd w:fill="E4E9EE"/>
            <w:tcMar>
              <w:top w:w="30" w:type="dxa"/>
              <w:bottom w:w="30" w:type="dxa"/>
              <w:left w:w="85" w:type="dxa"/>
              <w:right w:w="85" w:type="dxa"/>
            </w:tcMar>
          </w:tcPr>
          <w:p>
            <w:pPr>
              <w:spacing w:before="0" w:after="0" w:line="240" w:lineRule="auto"/>
            </w:pPr>
            <w:r>
              <w:rPr>
                <w:b/>
                <w:sz w:val="21"/>
              </w:rPr>
              <w:t>Historical reading</w:t>
            </w:r>
          </w:p>
        </w:tc>
        <w:tc>
          <w:tcPr>
            <w:tcW w:type="dxa" w:w="3384"/>
            <w:vAlign w:val="center"/>
            <w:tcBorders>
              <w:top w:val="single" w:sz="4" w:color="D9D9D9"/>
              <w:bottom w:val="single" w:sz="4" w:color="D9D9D9"/>
              <w:left w:val="single" w:sz="4" w:color="D9D9D9"/>
              <w:right w:val="single" w:sz="4" w:color="D9D9D9"/>
            </w:tcBorders>
            <w:shd w:fill="E4E9EE"/>
            <w:tcMar>
              <w:top w:w="30" w:type="dxa"/>
              <w:bottom w:w="30" w:type="dxa"/>
              <w:left w:w="85" w:type="dxa"/>
              <w:right w:w="85" w:type="dxa"/>
            </w:tcMar>
          </w:tcPr>
          <w:p>
            <w:pPr>
              <w:spacing w:before="0" w:after="0" w:line="240" w:lineRule="auto"/>
            </w:pPr>
            <w:r>
              <w:rPr>
                <w:b/>
                <w:sz w:val="21"/>
              </w:rPr>
              <w:t>Valid corrected reading</w:t>
            </w:r>
          </w:p>
        </w:tc>
        <w:tc>
          <w:tcPr>
            <w:tcW w:type="dxa" w:w="4176"/>
            <w:vAlign w:val="center"/>
            <w:tcBorders>
              <w:top w:val="single" w:sz="4" w:color="D9D9D9"/>
              <w:bottom w:val="single" w:sz="4" w:color="D9D9D9"/>
              <w:left w:val="single" w:sz="4" w:color="D9D9D9"/>
              <w:right w:val="single" w:sz="4" w:color="D9D9D9"/>
            </w:tcBorders>
            <w:shd w:fill="E4E9EE"/>
            <w:tcMar>
              <w:top w:w="30" w:type="dxa"/>
              <w:bottom w:w="30" w:type="dxa"/>
              <w:left w:w="85" w:type="dxa"/>
              <w:right w:w="85" w:type="dxa"/>
            </w:tcMar>
          </w:tcPr>
          <w:p>
            <w:pPr>
              <w:spacing w:before="0" w:after="0" w:line="240" w:lineRule="auto"/>
            </w:pPr>
            <w:r>
              <w:rPr>
                <w:b/>
                <w:sz w:val="21"/>
              </w:rPr>
              <w:t>Consequence and analysis identity</w:t>
            </w:r>
          </w:p>
        </w:tc>
      </w:tr>
      <w:tr>
        <w:trPr>
          <w:cantSplit/>
        </w:trPr>
        <w:tc>
          <w:tcPr>
            <w:tcW w:type="dxa" w:w="302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Input selection versus Hybrid baseline; same 175 queries, a3 proxy</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Mean difference +0.045277231; raw p=.0006, then passed Holm step threshold .025</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Mean difference -0.004213065; stored p=.6471</w:t>
            </w:r>
          </w:p>
        </w:tc>
        <w:tc>
          <w:tcPr>
            <w:tcW w:type="dxa" w:w="4176"/>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Positive-benefit claim withdrawn; deterministic record repair and existing post hoc comparison</w:t>
            </w:r>
          </w:p>
        </w:tc>
      </w:tr>
      <w:tr>
        <w:trPr>
          <w:cantSplit/>
        </w:trPr>
        <w:tc>
          <w:tcPr>
            <w:tcW w:type="dxa" w:w="302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Same actual-input subset; 54 of those 175 queries</w:t>
            </w:r>
          </w:p>
        </w:tc>
        <w:tc>
          <w:tcPr>
            <w:tcW w:type="dxa" w:w="338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Mean difference +0.163518400</w:t>
            </w:r>
          </w:p>
        </w:tc>
        <w:tc>
          <w:tcPr>
            <w:tcW w:type="dxa" w:w="338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Mean difference -0.001496446</w:t>
            </w:r>
          </w:p>
        </w:tc>
        <w:tc>
          <w:tcPr>
            <w:tcW w:type="dxa" w:w="4176"/>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Diagnostic subset, not an independent replication; same input does not guarantee stochastic output identity</w:t>
            </w:r>
          </w:p>
        </w:tc>
      </w:tr>
      <w:tr>
        <w:trPr>
          <w:cantSplit/>
        </w:trPr>
        <w:tc>
          <w:tcPr>
            <w:tcW w:type="dxa" w:w="302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Affected measurement positions; denominator 700</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Canonical content owner failed to supply some position-specific extras; missing completion fell back to 1</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38/700 proxy positions corrected</w:t>
            </w:r>
          </w:p>
        </w:tc>
        <w:tc>
          <w:tcPr>
            <w:tcW w:type="dxa" w:w="4176"/>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Technical attribution correction, not 38 changed queries or a new generation experiment</w:t>
            </w:r>
          </w:p>
        </w:tc>
      </w:tr>
      <w:tr>
        <w:trPr>
          <w:cantSplit/>
        </w:trPr>
        <w:tc>
          <w:tcPr>
            <w:tcW w:type="dxa" w:w="302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Internal support calibration; 312 aspects across 84 primary positions</w:t>
            </w:r>
          </w:p>
        </w:tc>
        <w:tc>
          <w:tcPr>
            <w:tcW w:type="dxa" w:w="338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Three-class macro-F1 0.8725; defined zero class excluded as missing</w:t>
            </w:r>
          </w:p>
        </w:tc>
        <w:tc>
          <w:tcPr>
            <w:tcW w:type="dxa" w:w="3384"/>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Macro-F1 0.581658 (display .5817); all three defined classes included</w:t>
            </w:r>
          </w:p>
        </w:tc>
        <w:tc>
          <w:tcPr>
            <w:tcW w:type="dxa" w:w="4176"/>
            <w:vAlign w:val="center"/>
            <w:tcBorders>
              <w:top w:val="single" w:sz="4" w:color="D9D9D9"/>
              <w:bottom w:val="single" w:sz="4" w:color="D9D9D9"/>
              <w:left w:val="single" w:sz="4" w:color="D9D9D9"/>
              <w:right w:val="single" w:sz="4" w:color="D9D9D9"/>
            </w:tcBorders>
            <w:shd w:fill="F5F6F8"/>
            <w:tcMar>
              <w:top w:w="30" w:type="dxa"/>
              <w:bottom w:w="30" w:type="dxa"/>
              <w:left w:w="85" w:type="dxa"/>
              <w:right w:w="85" w:type="dxa"/>
            </w:tcMar>
          </w:tcPr>
          <w:p>
            <w:pPr>
              <w:spacing w:before="0" w:after="0" w:line="240" w:lineRule="auto"/>
            </w:pPr>
            <w:r>
              <w:rPr>
                <w:b w:val="0"/>
                <w:sz w:val="21"/>
              </w:rPr>
              <w:t>Reliability reading revised; separate batch and defect, not the cause of selection bias</w:t>
            </w:r>
          </w:p>
        </w:tc>
      </w:tr>
      <w:tr>
        <w:trPr>
          <w:cantSplit/>
        </w:trPr>
        <w:tc>
          <w:tcPr>
            <w:tcW w:type="dxa" w:w="302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Uncertain class in the same 312 aspects</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Residual route_E/f1=null</w:t>
            </w:r>
          </w:p>
        </w:tc>
        <w:tc>
          <w:tcPr>
            <w:tcW w:type="dxa" w:w="3384"/>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TP=0, FP=3, FN=1; defined class F1=0 in per_class</w:t>
            </w:r>
          </w:p>
        </w:tc>
        <w:tc>
          <w:tcPr>
            <w:tcW w:type="dxa" w:w="4176"/>
            <w:vAlign w:val="center"/>
            <w:tcBorders>
              <w:top w:val="single" w:sz="4" w:color="D9D9D9"/>
              <w:bottom w:val="single" w:sz="4" w:color="D9D9D9"/>
              <w:left w:val="single" w:sz="4" w:color="D9D9D9"/>
              <w:right w:val="single" w:sz="4" w:color="D9D9D9"/>
            </w:tcBorders>
            <w:shd w:fill="FFFFFF"/>
            <w:tcMar>
              <w:top w:w="30" w:type="dxa"/>
              <w:bottom w:w="30" w:type="dxa"/>
              <w:left w:w="85" w:type="dxa"/>
              <w:right w:w="85" w:type="dxa"/>
            </w:tcMar>
          </w:tcPr>
          <w:p>
            <w:pPr>
              <w:spacing w:before="0" w:after="0" w:line="240" w:lineRule="auto"/>
            </w:pPr>
            <w:r>
              <w:rPr>
                <w:b w:val="0"/>
                <w:sz w:val="21"/>
              </w:rPr>
              <w:t>Residual field disclosed; original artifact unchanged; null is not mathematical undefinedness</w:t>
            </w:r>
          </w:p>
        </w:tc>
      </w:tr>
    </w:tbl>
    <w:p>
      <w:r>
        <w:rPr>
          <w:sz w:val="21"/>
        </w:rPr>
        <w:t>Notes. Positive selection differences favor selection under the historical automatic proxy. The original .0006 is an unadjusted p value, not a Holm-adjusted p value. A later stored historical-effect test has p=.0002; it is a different analysis record and does not replace the original raw p. Corrected p=.6471 is an existing post hoc result. Historical and corrected readings document withdrawal of the earlier interpretation.</w:t>
      </w:r>
    </w:p>
    <w:sectPr w:rsidR="00FC693F" w:rsidRPr="0006063C" w:rsidSect="00034616">
      <w:pgSz w:w="15840" w:h="12240"/>
      <w:pgMar w:top="1224" w:right="936" w:bottom="122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120" w:line="276" w:lineRule="auto"/>
      <w:contextualSpacing/>
    </w:pPr>
    <w:rPr>
      <w:rFonts w:ascii="Times New Roman" w:hAnsi="Times New Roman" w:eastAsia="Times New Roman" w:cs="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76" w:lineRule="auto" w:after="120"/>
    </w:pPr>
    <w:rPr>
      <w:rFonts w:ascii="Times New Roman" w:hAnsi="Times New Roman"/>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Measurement provenance and warranted claims in reasoning intensive retrieval</dc:title>
  <dc:subject>Retrieval evaluation measurement audit</dc:subject>
  <dc:creator/>
  <cp:keywords/>
  <dc:description/>
  <cp:lastModifiedBy/>
  <cp:revision>1</cp:revision>
  <dcterms:created xsi:type="dcterms:W3CDTF">2013-12-23T23:15:00Z</dcterms:created>
  <dcterms:modified xsi:type="dcterms:W3CDTF">2013-12-23T23:15:00Z</dcterms:modified>
  <cp:category/>
</cp:coreProperties>
</file>