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40C" w:rsidRDefault="00A52E7D">
      <w:r>
        <w:rPr>
          <w:rFonts w:hint="eastAsia"/>
        </w:rPr>
        <w:t>1、十年国债——债权信托</w:t>
      </w:r>
    </w:p>
    <w:p w:rsidR="00A52E7D" w:rsidRDefault="00A52E7D">
      <w:pPr>
        <w:rPr>
          <w:rFonts w:hint="eastAsia"/>
        </w:rPr>
      </w:pPr>
      <w:r>
        <w:rPr>
          <w:noProof/>
        </w:rPr>
        <w:drawing>
          <wp:inline distT="0" distB="0" distL="0" distR="0" wp14:anchorId="7D115F94" wp14:editId="1E8CA701">
            <wp:extent cx="5274310" cy="35972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84D" w:rsidRDefault="00E9184D">
      <w:r>
        <w:rPr>
          <w:rFonts w:hint="eastAsia"/>
        </w:rPr>
        <w:t>蓝线（主坐标轴）是十年期国债收益率</w:t>
      </w:r>
    </w:p>
    <w:p w:rsidR="00E9184D" w:rsidRDefault="00E9184D">
      <w:r>
        <w:rPr>
          <w:rFonts w:hint="eastAsia"/>
        </w:rPr>
        <w:t>黄线（次坐标轴）是债权类信托一年收益率</w:t>
      </w:r>
    </w:p>
    <w:p w:rsidR="00E9184D" w:rsidRDefault="00E9184D">
      <w:r>
        <w:rPr>
          <w:rFonts w:hint="eastAsia"/>
        </w:rPr>
        <w:t>可以看出国债是信托的领先指标且走势更稳</w:t>
      </w:r>
    </w:p>
    <w:p w:rsidR="00A52E7D" w:rsidRDefault="00A52E7D"/>
    <w:p w:rsidR="00A52E7D" w:rsidRDefault="00A52E7D">
      <w:pPr>
        <w:rPr>
          <w:rFonts w:hint="eastAsia"/>
        </w:rPr>
      </w:pPr>
      <w:r>
        <w:rPr>
          <w:rFonts w:hint="eastAsia"/>
        </w:rPr>
        <w:t>2、十年国债——银行理财产品收益</w:t>
      </w:r>
    </w:p>
    <w:p w:rsidR="00E9184D" w:rsidRDefault="00E9184D">
      <w:r>
        <w:rPr>
          <w:noProof/>
        </w:rPr>
        <w:drawing>
          <wp:inline distT="0" distB="0" distL="0" distR="0" wp14:anchorId="452EEC74" wp14:editId="058B5331">
            <wp:extent cx="5274310" cy="34963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84D" w:rsidRDefault="00E9184D">
      <w:r>
        <w:rPr>
          <w:rFonts w:hint="eastAsia"/>
        </w:rPr>
        <w:t>十年期国债和银行理财产品的收益率走势也很接近</w:t>
      </w:r>
    </w:p>
    <w:p w:rsidR="00C158BB" w:rsidRDefault="00A52E7D">
      <w:pPr>
        <w:rPr>
          <w:rFonts w:hint="eastAsia"/>
        </w:rPr>
      </w:pPr>
      <w:r>
        <w:rPr>
          <w:rFonts w:hint="eastAsia"/>
        </w:rPr>
        <w:lastRenderedPageBreak/>
        <w:t>3、十年国债——民间借贷</w:t>
      </w:r>
    </w:p>
    <w:p w:rsidR="000210F6" w:rsidRDefault="00C158BB">
      <w:r>
        <w:rPr>
          <w:noProof/>
        </w:rPr>
        <w:drawing>
          <wp:inline distT="0" distB="0" distL="0" distR="0" wp14:anchorId="66FCF5A6" wp14:editId="6EFBFA66">
            <wp:extent cx="5274310" cy="34937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8BB" w:rsidRDefault="00A52E7D">
      <w:r>
        <w:rPr>
          <w:rFonts w:hint="eastAsia"/>
        </w:rPr>
        <w:t>民间借贷理论走势和十年国债就明显不是一种走势</w:t>
      </w:r>
      <w:r w:rsidR="00422736">
        <w:rPr>
          <w:rFonts w:hint="eastAsia"/>
        </w:rPr>
        <w:t>。</w:t>
      </w:r>
    </w:p>
    <w:p w:rsidR="00903B70" w:rsidRDefault="00903B70"/>
    <w:p w:rsidR="00903B70" w:rsidRDefault="00654FCF">
      <w:r>
        <w:rPr>
          <w:rFonts w:hint="eastAsia"/>
        </w:rPr>
        <w:t>12年以前的民间借贷的季度数据可以从</w:t>
      </w:r>
      <w:r w:rsidR="00C833DF">
        <w:rPr>
          <w:rFonts w:hint="eastAsia"/>
        </w:rPr>
        <w:t>历年的浙江省金融运行报告中找到，然后进行平滑的差值处理成月度数据</w:t>
      </w:r>
      <w:r w:rsidR="007C06BD">
        <w:rPr>
          <w:rFonts w:hint="eastAsia"/>
        </w:rPr>
        <w:t>以保持数据频率的前后一致性</w:t>
      </w:r>
      <w:r w:rsidR="00C833DF">
        <w:rPr>
          <w:rFonts w:hint="eastAsia"/>
        </w:rPr>
        <w:t>。</w:t>
      </w:r>
      <w:r w:rsidR="00903B70">
        <w:rPr>
          <w:rFonts w:hint="eastAsia"/>
        </w:rPr>
        <w:t>将</w:t>
      </w:r>
      <w:r w:rsidR="0086266E">
        <w:rPr>
          <w:rFonts w:hint="eastAsia"/>
        </w:rPr>
        <w:t>缺失值补全后的民间借贷与十年国债的对比图如下：</w:t>
      </w:r>
    </w:p>
    <w:p w:rsidR="0086266E" w:rsidRDefault="0086266E">
      <w:r>
        <w:rPr>
          <w:noProof/>
        </w:rPr>
        <w:drawing>
          <wp:inline distT="0" distB="0" distL="0" distR="0" wp14:anchorId="1C780726" wp14:editId="4768683C">
            <wp:extent cx="5274310" cy="3469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66E" w:rsidRDefault="002A17C4">
      <w:r>
        <w:rPr>
          <w:rFonts w:hint="eastAsia"/>
        </w:rPr>
        <w:t>从上图可以看出，</w:t>
      </w:r>
      <w:r w:rsidR="0086266E">
        <w:rPr>
          <w:rFonts w:hint="eastAsia"/>
        </w:rPr>
        <w:t>在2013年之前二者具有一定的相关性</w:t>
      </w:r>
      <w:r>
        <w:rPr>
          <w:rFonts w:hint="eastAsia"/>
        </w:rPr>
        <w:t>，其民间借贷利率是十年国债利率的滞后指标</w:t>
      </w:r>
      <w:r w:rsidR="0086266E">
        <w:rPr>
          <w:rFonts w:hint="eastAsia"/>
        </w:rPr>
        <w:t>但随后</w:t>
      </w:r>
      <w:r>
        <w:rPr>
          <w:rFonts w:hint="eastAsia"/>
        </w:rPr>
        <w:t>二者的</w:t>
      </w:r>
      <w:r w:rsidR="0086266E">
        <w:rPr>
          <w:rFonts w:hint="eastAsia"/>
        </w:rPr>
        <w:t>相关性失去</w:t>
      </w:r>
      <w:r w:rsidR="0046691F">
        <w:rPr>
          <w:rFonts w:hint="eastAsia"/>
        </w:rPr>
        <w:t>。</w:t>
      </w:r>
      <w:bookmarkStart w:id="0" w:name="_GoBack"/>
      <w:bookmarkEnd w:id="0"/>
    </w:p>
    <w:p w:rsidR="00736B4F" w:rsidRDefault="00736B4F">
      <w:pPr>
        <w:rPr>
          <w:rFonts w:hint="eastAsia"/>
        </w:rPr>
      </w:pPr>
      <w:r>
        <w:rPr>
          <w:rFonts w:hint="eastAsia"/>
        </w:rPr>
        <w:lastRenderedPageBreak/>
        <w:t>综上所述：</w:t>
      </w:r>
      <w:r w:rsidR="00654FCF">
        <w:rPr>
          <w:rFonts w:hint="eastAsia"/>
        </w:rPr>
        <w:t>官方利率应使用十年期国债收益率，民间利率可以使用补全</w:t>
      </w:r>
      <w:r w:rsidR="00C833DF">
        <w:rPr>
          <w:rFonts w:hint="eastAsia"/>
        </w:rPr>
        <w:t>之后的民间借贷数据</w:t>
      </w:r>
    </w:p>
    <w:sectPr w:rsidR="00736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39F9" w:rsidRDefault="00E239F9" w:rsidP="00C833DF">
      <w:r>
        <w:separator/>
      </w:r>
    </w:p>
  </w:endnote>
  <w:endnote w:type="continuationSeparator" w:id="0">
    <w:p w:rsidR="00E239F9" w:rsidRDefault="00E239F9" w:rsidP="00C83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39F9" w:rsidRDefault="00E239F9" w:rsidP="00C833DF">
      <w:r>
        <w:separator/>
      </w:r>
    </w:p>
  </w:footnote>
  <w:footnote w:type="continuationSeparator" w:id="0">
    <w:p w:rsidR="00E239F9" w:rsidRDefault="00E239F9" w:rsidP="00C833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092"/>
    <w:rsid w:val="000210F6"/>
    <w:rsid w:val="00163EC5"/>
    <w:rsid w:val="002A17C4"/>
    <w:rsid w:val="002C640C"/>
    <w:rsid w:val="00422736"/>
    <w:rsid w:val="0046691F"/>
    <w:rsid w:val="004E79B0"/>
    <w:rsid w:val="005F0892"/>
    <w:rsid w:val="00654FCF"/>
    <w:rsid w:val="00736B4F"/>
    <w:rsid w:val="007C06BD"/>
    <w:rsid w:val="0086266E"/>
    <w:rsid w:val="008C5092"/>
    <w:rsid w:val="00903B70"/>
    <w:rsid w:val="00A52E7D"/>
    <w:rsid w:val="00C158BB"/>
    <w:rsid w:val="00C833DF"/>
    <w:rsid w:val="00E239F9"/>
    <w:rsid w:val="00E9184D"/>
    <w:rsid w:val="00F0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9108B"/>
  <w15:chartTrackingRefBased/>
  <w15:docId w15:val="{EB66AE75-09F2-45AB-812C-11C55759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33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33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33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33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3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jiahui yao</dc:creator>
  <cp:keywords/>
  <dc:description/>
  <cp:lastModifiedBy>jiahui yao</cp:lastModifiedBy>
  <cp:revision>4</cp:revision>
  <dcterms:created xsi:type="dcterms:W3CDTF">2017-10-24T02:35:00Z</dcterms:created>
  <dcterms:modified xsi:type="dcterms:W3CDTF">2017-10-24T12:01:00Z</dcterms:modified>
</cp:coreProperties>
</file>